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3"/>
        <w:tblW w:w="8522" w:type="dxa"/>
        <w:jc w:val="center"/>
        <w:tblBorders>
          <w:top w:val="none" w:color="auto" w:sz="0" w:space="0"/>
          <w:left w:val="none" w:color="auto" w:sz="0" w:space="0"/>
          <w:bottom w:val="single" w:color="auto"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43"/>
        <w:gridCol w:w="1679"/>
      </w:tblGrid>
      <w:tr w14:paraId="295042BB">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 w:hRule="atLeast"/>
          <w:jc w:val="center"/>
        </w:trPr>
        <w:tc>
          <w:tcPr>
            <w:tcW w:w="8522" w:type="dxa"/>
            <w:gridSpan w:val="2"/>
            <w:tcBorders>
              <w:tl2br w:val="nil"/>
              <w:tr2bl w:val="nil"/>
            </w:tcBorders>
            <w:vAlign w:val="center"/>
          </w:tcPr>
          <w:p w14:paraId="4FE21587">
            <w:pPr>
              <w:pStyle w:val="43"/>
              <w:spacing w:before="62"/>
              <w:ind w:left="440" w:hanging="440"/>
              <w:jc w:val="left"/>
              <w:rPr>
                <w:rFonts w:ascii="Times New Roman" w:hAnsi="Times New Roman" w:eastAsia="华文仿宋" w:cs="Times New Roman"/>
                <w:b/>
                <w:bCs/>
                <w:caps/>
                <w:color w:val="auto"/>
                <w:highlight w:val="none"/>
              </w:rPr>
            </w:pPr>
            <w:r>
              <w:rPr>
                <w:rFonts w:ascii="Times New Roman" w:hAnsi="Times New Roman" w:eastAsia="华文仿宋" w:cs="Times New Roman"/>
                <w:b/>
                <w:bCs/>
                <w:caps/>
                <w:color w:val="auto"/>
                <w:highlight w:val="none"/>
              </w:rPr>
              <w:t>UDC</w:t>
            </w:r>
          </w:p>
        </w:tc>
      </w:tr>
      <w:tr w14:paraId="5D949E80">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8522" w:type="dxa"/>
            <w:gridSpan w:val="2"/>
            <w:tcBorders>
              <w:bottom w:val="single" w:color="auto" w:sz="4" w:space="0"/>
            </w:tcBorders>
            <w:vAlign w:val="center"/>
          </w:tcPr>
          <w:p w14:paraId="702AC59A">
            <w:pPr>
              <w:pStyle w:val="43"/>
              <w:snapToGrid w:val="0"/>
              <w:ind w:left="198"/>
              <w:jc w:val="right"/>
              <w:rPr>
                <w:rFonts w:ascii="Times New Roman" w:hAnsi="Times New Roman" w:cs="Times New Roman"/>
                <w:b/>
                <w:bCs/>
                <w:color w:val="auto"/>
                <w:sz w:val="72"/>
                <w:szCs w:val="72"/>
                <w:highlight w:val="none"/>
              </w:rPr>
            </w:pPr>
            <w:r>
              <w:rPr>
                <w:rFonts w:ascii="Times New Roman" w:hAnsi="Times New Roman" w:cs="Times New Roman"/>
                <w:b/>
                <w:bCs/>
                <w:color w:val="auto"/>
                <w:sz w:val="30"/>
                <w:szCs w:val="30"/>
                <w:highlight w:val="none"/>
              </w:rPr>
              <w:t>云南省工程建设地方标准</w:t>
            </w:r>
            <w:r>
              <w:rPr>
                <w:rFonts w:hint="eastAsia" w:ascii="Times New Roman" w:hAnsi="Times New Roman" w:cs="Times New Roman"/>
                <w:b/>
                <w:bCs/>
                <w:color w:val="auto"/>
                <w:sz w:val="30"/>
                <w:szCs w:val="30"/>
                <w:highlight w:val="none"/>
                <w:lang w:eastAsia="zh-CN"/>
              </w:rPr>
              <w:t xml:space="preserve">     </w:t>
            </w:r>
            <w:r>
              <w:rPr>
                <w:rFonts w:ascii="Times New Roman" w:hAnsi="Times New Roman" w:cs="Times New Roman"/>
                <w:b/>
                <w:bCs/>
                <w:color w:val="auto"/>
                <w:sz w:val="72"/>
                <w:szCs w:val="72"/>
                <w:highlight w:val="none"/>
              </w:rPr>
              <w:t>DB</w:t>
            </w:r>
          </w:p>
          <w:p w14:paraId="0363625F">
            <w:pPr>
              <w:pStyle w:val="43"/>
              <w:adjustRightInd/>
              <w:spacing w:before="156" w:beforeLines="50"/>
              <w:jc w:val="right"/>
              <w:rPr>
                <w:rFonts w:ascii="Times New Roman" w:hAnsi="Times New Roman" w:cs="Times New Roman"/>
                <w:b/>
                <w:bCs/>
                <w:color w:val="auto"/>
                <w:sz w:val="28"/>
                <w:szCs w:val="28"/>
                <w:highlight w:val="none"/>
              </w:rPr>
            </w:pPr>
            <w:r>
              <w:rPr>
                <w:rFonts w:ascii="Times New Roman" w:hAnsi="Times New Roman" w:cs="Times New Roman"/>
                <w:b/>
                <w:bCs/>
                <w:color w:val="auto"/>
                <w:sz w:val="28"/>
                <w:szCs w:val="28"/>
                <w:highlight w:val="none"/>
              </w:rPr>
              <w:t>DBJ XXX-202X</w:t>
            </w:r>
          </w:p>
          <w:p w14:paraId="448E7CF1">
            <w:pPr>
              <w:pStyle w:val="43"/>
              <w:adjustRightInd/>
              <w:jc w:val="both"/>
              <w:rPr>
                <w:rFonts w:ascii="Times New Roman" w:hAnsi="Times New Roman" w:cs="Times New Roman"/>
                <w:b/>
                <w:bCs/>
                <w:color w:val="auto"/>
                <w:highlight w:val="none"/>
              </w:rPr>
            </w:pPr>
            <w:r>
              <w:rPr>
                <w:rFonts w:ascii="Times New Roman" w:hAnsi="Times New Roman" w:cs="Times New Roman"/>
                <w:b/>
                <w:bCs/>
                <w:color w:val="auto"/>
                <w:highlight w:val="none"/>
              </w:rPr>
              <w:t>P</w:t>
            </w:r>
            <w:r>
              <w:rPr>
                <w:rFonts w:hint="eastAsia" w:ascii="Times New Roman" w:hAnsi="Times New Roman" w:cs="Times New Roman"/>
                <w:b/>
                <w:bCs/>
                <w:color w:val="auto"/>
                <w:highlight w:val="none"/>
                <w:lang w:eastAsia="zh-CN"/>
              </w:rPr>
              <w:t xml:space="preserve">               </w:t>
            </w:r>
            <w:r>
              <w:rPr>
                <w:rFonts w:hint="eastAsia" w:ascii="Times New Roman" w:hAnsi="Times New Roman" w:cs="Times New Roman"/>
                <w:b/>
                <w:bCs/>
                <w:color w:val="auto"/>
                <w:highlight w:val="none"/>
                <w:lang w:val="en-US" w:eastAsia="zh-CN"/>
              </w:rPr>
              <w:t xml:space="preserve">                        </w:t>
            </w:r>
            <w:r>
              <w:rPr>
                <w:rFonts w:hint="eastAsia" w:ascii="Times New Roman" w:hAnsi="Times New Roman" w:cs="Times New Roman"/>
                <w:b/>
                <w:bCs/>
                <w:color w:val="auto"/>
                <w:highlight w:val="none"/>
                <w:lang w:eastAsia="zh-CN"/>
              </w:rPr>
              <w:t xml:space="preserve">         </w:t>
            </w:r>
            <w:r>
              <w:rPr>
                <w:rFonts w:ascii="Times New Roman" w:hAnsi="Times New Roman" w:cs="Times New Roman"/>
                <w:b/>
                <w:bCs/>
                <w:color w:val="auto"/>
                <w:highlight w:val="none"/>
              </w:rPr>
              <w:t>备案号：XXXXX-202X</w:t>
            </w:r>
          </w:p>
        </w:tc>
      </w:tr>
      <w:tr w14:paraId="07B5742C">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522" w:type="dxa"/>
            <w:gridSpan w:val="2"/>
            <w:tcBorders>
              <w:top w:val="single" w:color="auto" w:sz="4" w:space="0"/>
              <w:tl2br w:val="nil"/>
              <w:tr2bl w:val="nil"/>
            </w:tcBorders>
            <w:vAlign w:val="center"/>
          </w:tcPr>
          <w:p w14:paraId="51EC9E4A">
            <w:pPr>
              <w:pStyle w:val="43"/>
              <w:snapToGrid w:val="0"/>
              <w:jc w:val="center"/>
              <w:rPr>
                <w:rFonts w:ascii="Times New Roman" w:hAnsi="Times New Roman" w:cs="Times New Roman"/>
                <w:b/>
                <w:bCs/>
                <w:color w:val="auto"/>
                <w:sz w:val="44"/>
                <w:szCs w:val="44"/>
                <w:highlight w:val="none"/>
              </w:rPr>
            </w:pPr>
            <w:bookmarkStart w:id="0" w:name="OLE_LINK153"/>
            <w:bookmarkStart w:id="1" w:name="OLE_LINK152"/>
          </w:p>
          <w:p w14:paraId="4E74B6BA">
            <w:pPr>
              <w:pStyle w:val="43"/>
              <w:snapToGrid w:val="0"/>
              <w:jc w:val="center"/>
              <w:rPr>
                <w:rFonts w:ascii="Times New Roman" w:hAnsi="Times New Roman" w:cs="Times New Roman"/>
                <w:b/>
                <w:bCs/>
                <w:color w:val="auto"/>
                <w:sz w:val="44"/>
                <w:szCs w:val="44"/>
                <w:highlight w:val="none"/>
              </w:rPr>
            </w:pPr>
          </w:p>
          <w:p w14:paraId="366F54F3">
            <w:pPr>
              <w:pStyle w:val="43"/>
              <w:snapToGrid w:val="0"/>
              <w:jc w:val="center"/>
              <w:rPr>
                <w:rFonts w:hint="default" w:ascii="Times New Roman" w:hAnsi="Times New Roman" w:cs="Times New Roman"/>
                <w:b/>
                <w:bCs/>
                <w:color w:val="auto"/>
                <w:sz w:val="44"/>
                <w:szCs w:val="44"/>
                <w:highlight w:val="none"/>
                <w:lang w:val="en-US"/>
              </w:rPr>
            </w:pPr>
            <w:r>
              <w:rPr>
                <w:rFonts w:hint="eastAsia" w:ascii="Times New Roman" w:hAnsi="Times New Roman" w:cs="Times New Roman"/>
                <w:b/>
                <w:bCs/>
                <w:color w:val="auto"/>
                <w:sz w:val="44"/>
                <w:szCs w:val="44"/>
                <w:highlight w:val="none"/>
                <w:lang w:val="en-US" w:eastAsia="zh-CN"/>
              </w:rPr>
              <w:t>云南省既有建筑改造消防技术标准</w:t>
            </w:r>
          </w:p>
          <w:bookmarkEnd w:id="0"/>
          <w:bookmarkEnd w:id="1"/>
          <w:p w14:paraId="5039CE50">
            <w:pPr>
              <w:pStyle w:val="43"/>
              <w:snapToGrid w:val="0"/>
              <w:jc w:val="center"/>
              <w:rPr>
                <w:rFonts w:ascii="Times New Roman" w:hAnsi="Times New Roman" w:cs="Times New Roman"/>
                <w:b/>
                <w:bCs/>
                <w:color w:val="auto"/>
                <w:sz w:val="44"/>
                <w:szCs w:val="44"/>
                <w:highlight w:val="none"/>
              </w:rPr>
            </w:pPr>
            <w:r>
              <w:rPr>
                <w:rFonts w:ascii="Times New Roman" w:hAnsi="Times New Roman" w:cs="Times New Roman"/>
                <w:b/>
                <w:bCs/>
                <w:color w:val="auto"/>
                <w:sz w:val="36"/>
                <w:szCs w:val="36"/>
                <w:highlight w:val="none"/>
              </w:rPr>
              <w:t>（</w:t>
            </w:r>
            <w:r>
              <w:rPr>
                <w:rFonts w:hint="eastAsia" w:ascii="Times New Roman" w:hAnsi="Times New Roman" w:cs="Times New Roman"/>
                <w:b/>
                <w:bCs/>
                <w:color w:val="auto"/>
                <w:sz w:val="36"/>
                <w:szCs w:val="36"/>
                <w:highlight w:val="none"/>
                <w:lang w:val="en-US" w:eastAsia="zh-CN"/>
              </w:rPr>
              <w:t>征求意见</w:t>
            </w:r>
            <w:r>
              <w:rPr>
                <w:rFonts w:ascii="Times New Roman" w:hAnsi="Times New Roman" w:cs="Times New Roman"/>
                <w:b/>
                <w:bCs/>
                <w:color w:val="auto"/>
                <w:sz w:val="36"/>
                <w:szCs w:val="36"/>
                <w:highlight w:val="none"/>
              </w:rPr>
              <w:t>稿）</w:t>
            </w:r>
          </w:p>
        </w:tc>
      </w:tr>
      <w:tr w14:paraId="2FE4E5AA">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522" w:type="dxa"/>
            <w:gridSpan w:val="2"/>
            <w:tcBorders>
              <w:tl2br w:val="nil"/>
              <w:tr2bl w:val="nil"/>
            </w:tcBorders>
            <w:vAlign w:val="center"/>
          </w:tcPr>
          <w:p w14:paraId="5BC6A4F2">
            <w:pPr>
              <w:pStyle w:val="43"/>
              <w:adjustRightInd/>
              <w:snapToGrid w:val="0"/>
              <w:jc w:val="center"/>
              <w:rPr>
                <w:rFonts w:ascii="Times New Roman" w:hAnsi="Times New Roman" w:cs="Times New Roman"/>
                <w:b/>
                <w:bCs/>
                <w:color w:val="auto"/>
                <w:sz w:val="28"/>
                <w:szCs w:val="28"/>
                <w:highlight w:val="none"/>
              </w:rPr>
            </w:pPr>
          </w:p>
          <w:p w14:paraId="7CCDEDA0">
            <w:pPr>
              <w:pStyle w:val="43"/>
              <w:adjustRightInd/>
              <w:snapToGrid w:val="0"/>
              <w:spacing w:line="480" w:lineRule="exact"/>
              <w:jc w:val="center"/>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Technical Standard</w:t>
            </w:r>
            <w:r>
              <w:rPr>
                <w:rFonts w:hint="eastAsia" w:ascii="Times New Roman" w:hAnsi="Times New Roman" w:eastAsia="宋体" w:cs="Times New Roman"/>
                <w:b/>
                <w:bCs/>
                <w:color w:val="auto"/>
                <w:sz w:val="24"/>
                <w:szCs w:val="24"/>
                <w:highlight w:val="none"/>
              </w:rPr>
              <w:t xml:space="preserve"> for Fire Protection of Existing Building</w:t>
            </w:r>
            <w:r>
              <w:rPr>
                <w:rFonts w:hint="eastAsia" w:ascii="Times New Roman" w:hAnsi="Times New Roman" w:eastAsia="宋体" w:cs="Times New Roman"/>
                <w:b/>
                <w:bCs/>
                <w:color w:val="auto"/>
                <w:sz w:val="24"/>
                <w:szCs w:val="24"/>
                <w:highlight w:val="none"/>
                <w:lang w:val="en-US" w:eastAsia="zh-CN"/>
              </w:rPr>
              <w:t>s</w:t>
            </w:r>
            <w:r>
              <w:rPr>
                <w:rFonts w:hint="eastAsia" w:ascii="Times New Roman" w:hAnsi="Times New Roman" w:eastAsia="宋体" w:cs="Times New Roman"/>
                <w:b/>
                <w:bCs/>
                <w:color w:val="auto"/>
                <w:sz w:val="24"/>
                <w:szCs w:val="24"/>
                <w:highlight w:val="none"/>
              </w:rPr>
              <w:t xml:space="preserve"> Rehabilitation</w:t>
            </w:r>
          </w:p>
          <w:p w14:paraId="4335CF68">
            <w:pPr>
              <w:pStyle w:val="43"/>
              <w:spacing w:before="62"/>
              <w:ind w:left="440" w:hanging="440"/>
              <w:jc w:val="center"/>
              <w:rPr>
                <w:rFonts w:ascii="Times New Roman" w:hAnsi="Times New Roman" w:cs="Times New Roman"/>
                <w:b/>
                <w:bCs/>
                <w:color w:val="auto"/>
                <w:highlight w:val="none"/>
              </w:rPr>
            </w:pPr>
          </w:p>
        </w:tc>
      </w:tr>
      <w:tr w14:paraId="3BA32121">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522" w:type="dxa"/>
            <w:gridSpan w:val="2"/>
            <w:tcBorders>
              <w:bottom w:val="single" w:color="auto" w:sz="4" w:space="0"/>
              <w:tl2br w:val="nil"/>
              <w:tr2bl w:val="nil"/>
            </w:tcBorders>
            <w:vAlign w:val="center"/>
          </w:tcPr>
          <w:p w14:paraId="6CA98EE2">
            <w:pPr>
              <w:pStyle w:val="43"/>
              <w:spacing w:before="62"/>
              <w:ind w:left="442" w:hanging="442"/>
              <w:jc w:val="center"/>
              <w:rPr>
                <w:rFonts w:ascii="Times New Roman" w:hAnsi="Times New Roman" w:cs="Times New Roman"/>
                <w:b/>
                <w:bCs/>
                <w:color w:val="auto"/>
                <w:highlight w:val="none"/>
              </w:rPr>
            </w:pPr>
          </w:p>
          <w:p w14:paraId="42EE9A19">
            <w:pPr>
              <w:pStyle w:val="43"/>
              <w:spacing w:before="62"/>
              <w:ind w:left="442" w:hanging="442"/>
              <w:jc w:val="center"/>
              <w:rPr>
                <w:rFonts w:ascii="Times New Roman" w:hAnsi="Times New Roman" w:cs="Times New Roman"/>
                <w:b/>
                <w:bCs/>
                <w:color w:val="auto"/>
                <w:highlight w:val="none"/>
              </w:rPr>
            </w:pPr>
          </w:p>
          <w:p w14:paraId="5D615F8A">
            <w:pPr>
              <w:pStyle w:val="43"/>
              <w:spacing w:before="62"/>
              <w:ind w:left="442" w:hanging="442"/>
              <w:jc w:val="center"/>
              <w:rPr>
                <w:rFonts w:ascii="Times New Roman" w:hAnsi="Times New Roman" w:cs="Times New Roman"/>
                <w:b/>
                <w:bCs/>
                <w:color w:val="auto"/>
                <w:highlight w:val="none"/>
              </w:rPr>
            </w:pPr>
          </w:p>
          <w:p w14:paraId="59902D42">
            <w:pPr>
              <w:pStyle w:val="2"/>
              <w:numPr>
                <w:ilvl w:val="0"/>
                <w:numId w:val="0"/>
              </w:numPr>
              <w:spacing w:before="156" w:after="156"/>
              <w:jc w:val="both"/>
              <w:rPr>
                <w:rFonts w:eastAsia="宋体" w:cs="Times New Roman"/>
                <w:bCs/>
                <w:color w:val="auto"/>
                <w:highlight w:val="none"/>
              </w:rPr>
            </w:pPr>
          </w:p>
          <w:p w14:paraId="6D300A89">
            <w:pPr>
              <w:ind w:firstLine="482"/>
              <w:jc w:val="center"/>
              <w:rPr>
                <w:rFonts w:cs="Times New Roman"/>
                <w:b/>
                <w:bCs/>
                <w:color w:val="auto"/>
                <w:highlight w:val="none"/>
              </w:rPr>
            </w:pPr>
          </w:p>
          <w:p w14:paraId="38D33AB4">
            <w:pPr>
              <w:pStyle w:val="5"/>
              <w:rPr>
                <w:rFonts w:cs="Times New Roman"/>
                <w:b/>
                <w:bCs/>
                <w:color w:val="auto"/>
                <w:highlight w:val="none"/>
              </w:rPr>
            </w:pPr>
          </w:p>
          <w:p w14:paraId="49C16584">
            <w:pPr>
              <w:rPr>
                <w:rFonts w:cs="Times New Roman"/>
                <w:b/>
                <w:bCs/>
                <w:color w:val="auto"/>
                <w:highlight w:val="none"/>
              </w:rPr>
            </w:pPr>
          </w:p>
          <w:p w14:paraId="496E8EF9">
            <w:pPr>
              <w:pStyle w:val="5"/>
              <w:rPr>
                <w:color w:val="auto"/>
                <w:highlight w:val="none"/>
              </w:rPr>
            </w:pPr>
          </w:p>
          <w:p w14:paraId="72141089">
            <w:pPr>
              <w:ind w:firstLine="482"/>
              <w:jc w:val="center"/>
              <w:rPr>
                <w:rFonts w:cs="Times New Roman"/>
                <w:b/>
                <w:bCs/>
                <w:color w:val="auto"/>
                <w:highlight w:val="none"/>
              </w:rPr>
            </w:pPr>
          </w:p>
          <w:p w14:paraId="7F331495">
            <w:pPr>
              <w:ind w:firstLine="482"/>
              <w:jc w:val="center"/>
              <w:rPr>
                <w:rFonts w:cs="Times New Roman"/>
                <w:b/>
                <w:bCs/>
                <w:color w:val="auto"/>
                <w:highlight w:val="none"/>
              </w:rPr>
            </w:pPr>
          </w:p>
          <w:p w14:paraId="0CCB49F9">
            <w:pPr>
              <w:pStyle w:val="43"/>
              <w:jc w:val="center"/>
              <w:rPr>
                <w:rFonts w:ascii="Times New Roman" w:hAnsi="Times New Roman" w:cs="Times New Roman"/>
                <w:b/>
                <w:bCs/>
                <w:color w:val="auto"/>
                <w:sz w:val="32"/>
                <w:szCs w:val="32"/>
                <w:highlight w:val="none"/>
              </w:rPr>
            </w:pPr>
          </w:p>
          <w:p w14:paraId="4DB618A6">
            <w:pPr>
              <w:pStyle w:val="43"/>
              <w:jc w:val="center"/>
              <w:rPr>
                <w:rFonts w:ascii="Times New Roman" w:hAnsi="Times New Roman" w:cs="Times New Roman"/>
                <w:b/>
                <w:bCs/>
                <w:color w:val="auto"/>
                <w:sz w:val="32"/>
                <w:szCs w:val="32"/>
                <w:highlight w:val="none"/>
              </w:rPr>
            </w:pPr>
            <w:r>
              <w:rPr>
                <w:rFonts w:hint="default" w:ascii="Times New Roman" w:hAnsi="Times New Roman" w:cs="Times New Roman"/>
                <w:b/>
                <w:bCs/>
                <w:color w:val="auto"/>
                <w:sz w:val="32"/>
                <w:szCs w:val="32"/>
                <w:highlight w:val="none"/>
              </w:rPr>
              <w:t>202</w:t>
            </w:r>
            <w:r>
              <w:rPr>
                <w:rFonts w:hint="default" w:ascii="Times New Roman" w:hAnsi="Times New Roman" w:cs="Times New Roman"/>
                <w:b/>
                <w:bCs/>
                <w:color w:val="auto"/>
                <w:sz w:val="32"/>
                <w:szCs w:val="32"/>
                <w:highlight w:val="none"/>
                <w:lang w:val="en-US" w:eastAsia="zh-CN"/>
              </w:rPr>
              <w:t>6</w:t>
            </w:r>
            <w:r>
              <w:rPr>
                <w:rFonts w:hint="default" w:ascii="Times New Roman" w:hAnsi="Times New Roman" w:cs="Times New Roman"/>
                <w:b/>
                <w:bCs/>
                <w:color w:val="auto"/>
                <w:sz w:val="32"/>
                <w:szCs w:val="32"/>
                <w:highlight w:val="none"/>
              </w:rPr>
              <w:t>-XX-XX 发布</w:t>
            </w:r>
            <w:r>
              <w:rPr>
                <w:rFonts w:hint="default" w:ascii="Times New Roman" w:hAnsi="Times New Roman" w:cs="Times New Roman"/>
                <w:b/>
                <w:bCs/>
                <w:color w:val="auto"/>
                <w:sz w:val="32"/>
                <w:szCs w:val="32"/>
                <w:highlight w:val="none"/>
                <w:lang w:eastAsia="zh-CN"/>
              </w:rPr>
              <w:t xml:space="preserve">    </w:t>
            </w:r>
            <w:r>
              <w:rPr>
                <w:rFonts w:hint="default" w:ascii="Times New Roman" w:hAnsi="Times New Roman" w:cs="Times New Roman"/>
                <w:b/>
                <w:bCs/>
                <w:color w:val="auto"/>
                <w:sz w:val="32"/>
                <w:szCs w:val="32"/>
                <w:highlight w:val="none"/>
                <w:lang w:val="en-US" w:eastAsia="zh-CN"/>
              </w:rPr>
              <w:t xml:space="preserve">     </w:t>
            </w:r>
            <w:r>
              <w:rPr>
                <w:rFonts w:hint="eastAsia" w:ascii="Times New Roman" w:hAnsi="Times New Roman" w:cs="Times New Roman"/>
                <w:b/>
                <w:bCs/>
                <w:color w:val="auto"/>
                <w:sz w:val="32"/>
                <w:szCs w:val="32"/>
                <w:highlight w:val="none"/>
                <w:lang w:val="en-US" w:eastAsia="zh-CN"/>
              </w:rPr>
              <w:t xml:space="preserve">  </w:t>
            </w:r>
            <w:r>
              <w:rPr>
                <w:rFonts w:hint="default" w:ascii="Times New Roman" w:hAnsi="Times New Roman" w:cs="Times New Roman"/>
                <w:b/>
                <w:bCs/>
                <w:color w:val="auto"/>
                <w:sz w:val="32"/>
                <w:szCs w:val="32"/>
                <w:highlight w:val="none"/>
                <w:lang w:val="en-US" w:eastAsia="zh-CN"/>
              </w:rPr>
              <w:t xml:space="preserve">  </w:t>
            </w:r>
            <w:r>
              <w:rPr>
                <w:rFonts w:hint="default" w:ascii="Times New Roman" w:hAnsi="Times New Roman" w:cs="Times New Roman"/>
                <w:b/>
                <w:bCs/>
                <w:color w:val="auto"/>
                <w:sz w:val="32"/>
                <w:szCs w:val="32"/>
                <w:highlight w:val="none"/>
                <w:lang w:eastAsia="zh-CN"/>
              </w:rPr>
              <w:t xml:space="preserve">     </w:t>
            </w:r>
            <w:r>
              <w:rPr>
                <w:rFonts w:hint="default" w:ascii="Times New Roman" w:hAnsi="Times New Roman" w:cs="Times New Roman"/>
                <w:b/>
                <w:bCs/>
                <w:color w:val="auto"/>
                <w:sz w:val="32"/>
                <w:szCs w:val="32"/>
                <w:highlight w:val="none"/>
              </w:rPr>
              <w:t xml:space="preserve"> 202</w:t>
            </w:r>
            <w:r>
              <w:rPr>
                <w:rFonts w:hint="default" w:ascii="Times New Roman" w:hAnsi="Times New Roman" w:cs="Times New Roman"/>
                <w:b/>
                <w:bCs/>
                <w:color w:val="auto"/>
                <w:sz w:val="32"/>
                <w:szCs w:val="32"/>
                <w:highlight w:val="none"/>
                <w:lang w:val="en-US" w:eastAsia="zh-CN"/>
              </w:rPr>
              <w:t>6</w:t>
            </w:r>
            <w:r>
              <w:rPr>
                <w:rFonts w:hint="default" w:ascii="Times New Roman" w:hAnsi="Times New Roman" w:cs="Times New Roman"/>
                <w:b/>
                <w:bCs/>
                <w:color w:val="auto"/>
                <w:sz w:val="32"/>
                <w:szCs w:val="32"/>
                <w:highlight w:val="none"/>
              </w:rPr>
              <w:t>-XX-XX 实施</w:t>
            </w:r>
          </w:p>
        </w:tc>
      </w:tr>
      <w:tr w14:paraId="02158A59">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8522" w:type="dxa"/>
            <w:gridSpan w:val="2"/>
            <w:tcBorders>
              <w:top w:val="single" w:color="auto" w:sz="4" w:space="0"/>
            </w:tcBorders>
            <w:vAlign w:val="center"/>
          </w:tcPr>
          <w:p w14:paraId="7E5BFBE2">
            <w:pPr>
              <w:pStyle w:val="43"/>
              <w:jc w:val="left"/>
              <w:rPr>
                <w:rFonts w:ascii="Times New Roman" w:hAnsi="Times New Roman" w:eastAsia="华文仿宋" w:cs="Times New Roman"/>
                <w:b/>
                <w:bCs/>
                <w:color w:val="auto"/>
                <w:sz w:val="32"/>
                <w:szCs w:val="32"/>
                <w:highlight w:val="none"/>
              </w:rPr>
            </w:pPr>
          </w:p>
        </w:tc>
      </w:tr>
      <w:tr w14:paraId="19EA2D58">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843" w:type="dxa"/>
            <w:tcBorders>
              <w:bottom w:val="nil"/>
            </w:tcBorders>
            <w:vAlign w:val="center"/>
          </w:tcPr>
          <w:p w14:paraId="79782DCE">
            <w:pPr>
              <w:tabs>
                <w:tab w:val="center" w:pos="3373"/>
                <w:tab w:val="left" w:pos="5622"/>
              </w:tabs>
              <w:snapToGrid w:val="0"/>
              <w:spacing w:line="440" w:lineRule="exact"/>
              <w:ind w:firstLine="0" w:firstLineChars="0"/>
              <w:jc w:val="left"/>
              <w:rPr>
                <w:rFonts w:eastAsia="华文仿宋" w:cs="Times New Roman"/>
                <w:b/>
                <w:bCs/>
                <w:color w:val="auto"/>
                <w:sz w:val="32"/>
                <w:szCs w:val="32"/>
                <w:highlight w:val="none"/>
              </w:rPr>
            </w:pPr>
            <w:r>
              <w:rPr>
                <w:rFonts w:eastAsia="黑体" w:cs="Times New Roman"/>
                <w:b/>
                <w:color w:val="auto"/>
                <w:sz w:val="30"/>
                <w:szCs w:val="30"/>
                <w:highlight w:val="none"/>
              </w:rPr>
              <w:tab/>
            </w:r>
            <w:r>
              <w:rPr>
                <w:rFonts w:eastAsia="黑体" w:cs="Times New Roman"/>
                <w:b/>
                <w:color w:val="auto"/>
                <w:sz w:val="30"/>
                <w:szCs w:val="30"/>
                <w:highlight w:val="none"/>
              </w:rPr>
              <w:t>云 南 省 住 房 和 城 乡 建 设 厅</w:t>
            </w:r>
          </w:p>
        </w:tc>
        <w:tc>
          <w:tcPr>
            <w:tcW w:w="1679" w:type="dxa"/>
            <w:tcBorders>
              <w:bottom w:val="nil"/>
            </w:tcBorders>
            <w:vAlign w:val="center"/>
          </w:tcPr>
          <w:p w14:paraId="74BF4AE1">
            <w:pPr>
              <w:pStyle w:val="43"/>
              <w:wordWrap w:val="0"/>
              <w:rPr>
                <w:rFonts w:ascii="Times New Roman" w:hAnsi="Times New Roman" w:eastAsia="黑体" w:cs="Times New Roman"/>
                <w:b/>
                <w:color w:val="auto"/>
                <w:sz w:val="30"/>
                <w:szCs w:val="30"/>
                <w:highlight w:val="none"/>
              </w:rPr>
            </w:pPr>
            <w:r>
              <w:rPr>
                <w:rFonts w:ascii="Times New Roman" w:hAnsi="Times New Roman" w:eastAsia="黑体" w:cs="Times New Roman"/>
                <w:b/>
                <w:color w:val="auto"/>
                <w:sz w:val="30"/>
                <w:szCs w:val="30"/>
                <w:highlight w:val="none"/>
              </w:rPr>
              <w:t xml:space="preserve">发 布 </w:t>
            </w:r>
          </w:p>
        </w:tc>
      </w:tr>
    </w:tbl>
    <w:p w14:paraId="6FD2B9B2">
      <w:pPr>
        <w:ind w:firstLine="641"/>
        <w:rPr>
          <w:rFonts w:eastAsia="华文细黑" w:cs="Times New Roman"/>
          <w:b/>
          <w:color w:val="000000" w:themeColor="text1"/>
          <w:sz w:val="32"/>
          <w:szCs w:val="32"/>
          <w:highlight w:val="none"/>
          <w14:textFill>
            <w14:solidFill>
              <w14:schemeClr w14:val="tx1"/>
            </w14:solidFill>
          </w14:textFill>
        </w:rPr>
      </w:pPr>
      <w:r>
        <w:rPr>
          <w:rFonts w:eastAsia="华文细黑" w:cs="Times New Roman"/>
          <w:b/>
          <w:color w:val="000000" w:themeColor="text1"/>
          <w:sz w:val="32"/>
          <w:szCs w:val="32"/>
          <w:highlight w:val="none"/>
          <w14:textFill>
            <w14:solidFill>
              <w14:schemeClr w14:val="tx1"/>
            </w14:solidFill>
          </w14:textFill>
        </w:rPr>
        <w:br w:type="page"/>
      </w:r>
    </w:p>
    <w:p w14:paraId="213EE733">
      <w:pPr>
        <w:spacing w:before="156" w:beforeLines="50" w:after="468" w:afterLines="150"/>
        <w:ind w:firstLine="0" w:firstLineChars="0"/>
        <w:jc w:val="center"/>
        <w:rPr>
          <w:rFonts w:eastAsia="华文细黑" w:cs="Times New Roman"/>
          <w:b/>
          <w:color w:val="000000" w:themeColor="text1"/>
          <w:sz w:val="32"/>
          <w:szCs w:val="32"/>
          <w:highlight w:val="none"/>
          <w14:textFill>
            <w14:solidFill>
              <w14:schemeClr w14:val="tx1"/>
            </w14:solidFill>
          </w14:textFill>
        </w:rPr>
      </w:pPr>
      <w:r>
        <w:rPr>
          <w:rFonts w:eastAsia="华文细黑" w:cs="Times New Roman"/>
          <w:b/>
          <w:color w:val="000000" w:themeColor="text1"/>
          <w:sz w:val="32"/>
          <w:szCs w:val="32"/>
          <w:highlight w:val="none"/>
          <w14:textFill>
            <w14:solidFill>
              <w14:schemeClr w14:val="tx1"/>
            </w14:solidFill>
          </w14:textFill>
        </w:rPr>
        <w:t>前</w:t>
      </w:r>
      <w:r>
        <w:rPr>
          <w:rFonts w:hint="eastAsia" w:eastAsia="华文细黑" w:cs="Times New Roman"/>
          <w:b/>
          <w:color w:val="000000" w:themeColor="text1"/>
          <w:sz w:val="32"/>
          <w:szCs w:val="32"/>
          <w:highlight w:val="none"/>
          <w:lang w:val="en-US" w:eastAsia="zh-CN"/>
          <w14:textFill>
            <w14:solidFill>
              <w14:schemeClr w14:val="tx1"/>
            </w14:solidFill>
          </w14:textFill>
        </w:rPr>
        <w:t xml:space="preserve"> </w:t>
      </w:r>
      <w:r>
        <w:rPr>
          <w:rFonts w:eastAsia="华文细黑" w:cs="Times New Roman"/>
          <w:b/>
          <w:color w:val="000000" w:themeColor="text1"/>
          <w:sz w:val="32"/>
          <w:szCs w:val="32"/>
          <w:highlight w:val="none"/>
          <w14:textFill>
            <w14:solidFill>
              <w14:schemeClr w14:val="tx1"/>
            </w14:solidFill>
          </w14:textFill>
        </w:rPr>
        <w:t>言</w:t>
      </w:r>
    </w:p>
    <w:p w14:paraId="5B2D06CE">
      <w:pPr>
        <w:pStyle w:val="5"/>
        <w:rPr>
          <w:rFonts w:hint="eastAsia"/>
          <w:color w:val="auto"/>
          <w:highlight w:val="none"/>
        </w:rPr>
      </w:pPr>
      <w:r>
        <w:rPr>
          <w:rFonts w:hint="eastAsia"/>
          <w:color w:val="auto"/>
          <w:highlight w:val="none"/>
        </w:rPr>
        <w:t>为贯彻落实《中华人民共和国消防法》、《云南省消防条例》、《建设工程消防设计审查验收管理暂行规定》（中华人民共和国住房和城乡建设部令第58号）、《建设工程消防设计审查验收工作细则》（建科规〔2024〕3号），推动实施城市更新，切实解决</w:t>
      </w:r>
      <w:r>
        <w:rPr>
          <w:rFonts w:hint="eastAsia"/>
          <w:color w:val="auto"/>
          <w:highlight w:val="none"/>
          <w:lang w:val="en-US" w:eastAsia="zh-CN"/>
        </w:rPr>
        <w:t>云南省</w:t>
      </w:r>
      <w:r>
        <w:rPr>
          <w:rFonts w:hint="eastAsia"/>
          <w:color w:val="auto"/>
          <w:highlight w:val="none"/>
        </w:rPr>
        <w:t>既有建筑改造工程消防设计、审查验收中的难点问题，制定本标准。</w:t>
      </w:r>
    </w:p>
    <w:p w14:paraId="3FFE25B7">
      <w:pPr>
        <w:pStyle w:val="5"/>
        <w:rPr>
          <w:rFonts w:hint="eastAsia"/>
          <w:color w:val="auto"/>
          <w:highlight w:val="none"/>
        </w:rPr>
      </w:pPr>
      <w:r>
        <w:rPr>
          <w:rFonts w:hint="eastAsia"/>
          <w:color w:val="auto"/>
          <w:highlight w:val="none"/>
        </w:rPr>
        <w:t>本标准旨在统一云南省既有建筑改造工程消防技术执行标准。编制过程中，编制组广泛征求各地住房和城乡建设行政主管部门、消防救援机构、设计单位、施工图审查机构、施工单位意见，并借鉴了国内其它省份相关问题的执行情况，编制成果经国内消防专家和云南省消防专家委员会成员审查后定稿。</w:t>
      </w:r>
    </w:p>
    <w:p w14:paraId="64D581BC">
      <w:pPr>
        <w:pStyle w:val="5"/>
        <w:rPr>
          <w:rFonts w:hint="eastAsia"/>
          <w:color w:val="auto"/>
          <w:highlight w:val="none"/>
        </w:rPr>
      </w:pPr>
      <w:r>
        <w:rPr>
          <w:rFonts w:hint="eastAsia"/>
          <w:color w:val="auto"/>
          <w:highlight w:val="none"/>
        </w:rPr>
        <w:t>本标准遵循《建筑防火通用规范》GB 55037</w:t>
      </w:r>
      <w:r>
        <w:rPr>
          <w:rFonts w:hint="eastAsia"/>
          <w:color w:val="auto"/>
          <w:highlight w:val="none"/>
          <w:lang w:eastAsia="zh-CN"/>
        </w:rPr>
        <w:t>“</w:t>
      </w:r>
      <w:r>
        <w:rPr>
          <w:rFonts w:hint="eastAsia"/>
          <w:color w:val="auto"/>
          <w:highlight w:val="none"/>
        </w:rPr>
        <w:t>对于既有建筑改造项目（指不改变现有使用功能），当条件不具备、执行现行规范确有困难时，应不低于原建造时的标准</w:t>
      </w:r>
      <w:r>
        <w:rPr>
          <w:rFonts w:hint="eastAsia"/>
          <w:color w:val="auto"/>
          <w:highlight w:val="none"/>
          <w:lang w:eastAsia="zh-CN"/>
        </w:rPr>
        <w:t>”</w:t>
      </w:r>
      <w:r>
        <w:rPr>
          <w:rFonts w:hint="eastAsia"/>
          <w:color w:val="auto"/>
          <w:highlight w:val="none"/>
        </w:rPr>
        <w:t>。存在空间、结构等客观条件限制的，应采取人防、物防、技防等加强措施，提升火灾预防和处置能力，以确保不降低原建筑消防安全水平，对既有建筑不同改造情形下新老消防技术标准适用原则进行了明确。</w:t>
      </w:r>
    </w:p>
    <w:p w14:paraId="49D865E6">
      <w:pPr>
        <w:pStyle w:val="5"/>
        <w:rPr>
          <w:rFonts w:hint="eastAsia"/>
          <w:color w:val="auto"/>
          <w:highlight w:val="none"/>
        </w:rPr>
      </w:pPr>
      <w:r>
        <w:rPr>
          <w:rFonts w:hint="eastAsia"/>
          <w:color w:val="auto"/>
          <w:highlight w:val="none"/>
        </w:rPr>
        <w:t>本标准共分七个部分，主要内容包括：</w:t>
      </w:r>
      <w:r>
        <w:rPr>
          <w:rFonts w:hint="eastAsia"/>
          <w:color w:val="auto"/>
          <w:highlight w:val="none"/>
          <w:lang w:val="en-US" w:eastAsia="zh-CN"/>
        </w:rPr>
        <w:t xml:space="preserve">1 </w:t>
      </w:r>
      <w:r>
        <w:rPr>
          <w:rFonts w:hint="eastAsia"/>
          <w:color w:val="auto"/>
          <w:highlight w:val="none"/>
        </w:rPr>
        <w:t>总则</w:t>
      </w:r>
      <w:r>
        <w:rPr>
          <w:rFonts w:cs="Times New Roman"/>
          <w:color w:val="auto"/>
          <w:highlight w:val="none"/>
        </w:rPr>
        <w:t>；</w:t>
      </w:r>
      <w:r>
        <w:rPr>
          <w:rFonts w:hint="eastAsia" w:cs="Times New Roman"/>
          <w:color w:val="auto"/>
          <w:highlight w:val="none"/>
          <w:lang w:val="en-US" w:eastAsia="zh-CN"/>
        </w:rPr>
        <w:t xml:space="preserve">2 </w:t>
      </w:r>
      <w:r>
        <w:rPr>
          <w:rFonts w:hint="eastAsia"/>
          <w:color w:val="auto"/>
          <w:highlight w:val="none"/>
        </w:rPr>
        <w:t>术语</w:t>
      </w:r>
      <w:r>
        <w:rPr>
          <w:rFonts w:cs="Times New Roman"/>
          <w:color w:val="auto"/>
          <w:highlight w:val="none"/>
        </w:rPr>
        <w:t>；</w:t>
      </w:r>
      <w:r>
        <w:rPr>
          <w:rFonts w:hint="eastAsia" w:cs="Times New Roman"/>
          <w:color w:val="auto"/>
          <w:highlight w:val="none"/>
          <w:lang w:val="en-US" w:eastAsia="zh-CN"/>
        </w:rPr>
        <w:t xml:space="preserve">3 </w:t>
      </w:r>
      <w:r>
        <w:rPr>
          <w:rFonts w:hint="eastAsia"/>
          <w:color w:val="auto"/>
          <w:highlight w:val="none"/>
        </w:rPr>
        <w:t>基本规定</w:t>
      </w:r>
      <w:r>
        <w:rPr>
          <w:rFonts w:hint="eastAsia"/>
          <w:color w:val="auto"/>
          <w:highlight w:val="none"/>
          <w:lang w:eastAsia="zh-CN"/>
        </w:rPr>
        <w:t>；</w:t>
      </w:r>
      <w:r>
        <w:rPr>
          <w:rFonts w:hint="eastAsia"/>
          <w:color w:val="auto"/>
          <w:highlight w:val="none"/>
          <w:lang w:val="en-US" w:eastAsia="zh-CN"/>
        </w:rPr>
        <w:t xml:space="preserve">4 </w:t>
      </w:r>
      <w:r>
        <w:rPr>
          <w:rFonts w:hint="eastAsia"/>
          <w:color w:val="auto"/>
          <w:highlight w:val="none"/>
        </w:rPr>
        <w:t>建筑防火</w:t>
      </w:r>
      <w:r>
        <w:rPr>
          <w:rFonts w:hint="eastAsia"/>
          <w:color w:val="auto"/>
          <w:highlight w:val="none"/>
          <w:lang w:eastAsia="zh-CN"/>
        </w:rPr>
        <w:t>；</w:t>
      </w:r>
      <w:r>
        <w:rPr>
          <w:rFonts w:hint="eastAsia"/>
          <w:color w:val="auto"/>
          <w:highlight w:val="none"/>
          <w:lang w:val="en-US" w:eastAsia="zh-CN"/>
        </w:rPr>
        <w:t xml:space="preserve">5 </w:t>
      </w:r>
      <w:r>
        <w:rPr>
          <w:rFonts w:hint="eastAsia"/>
          <w:color w:val="auto"/>
          <w:highlight w:val="none"/>
        </w:rPr>
        <w:t>消防给水和灭火设施</w:t>
      </w:r>
      <w:r>
        <w:rPr>
          <w:rFonts w:hint="eastAsia"/>
          <w:color w:val="auto"/>
          <w:highlight w:val="none"/>
          <w:lang w:eastAsia="zh-CN"/>
        </w:rPr>
        <w:t>；</w:t>
      </w:r>
      <w:r>
        <w:rPr>
          <w:rFonts w:hint="eastAsia"/>
          <w:color w:val="auto"/>
          <w:highlight w:val="none"/>
          <w:lang w:val="en-US" w:eastAsia="zh-CN"/>
        </w:rPr>
        <w:t xml:space="preserve">6 </w:t>
      </w:r>
      <w:r>
        <w:rPr>
          <w:rFonts w:hint="eastAsia"/>
          <w:color w:val="auto"/>
          <w:highlight w:val="none"/>
        </w:rPr>
        <w:t>消防通风</w:t>
      </w:r>
      <w:r>
        <w:rPr>
          <w:rFonts w:hint="eastAsia"/>
          <w:color w:val="auto"/>
          <w:highlight w:val="none"/>
          <w:lang w:eastAsia="zh-CN"/>
        </w:rPr>
        <w:t>；</w:t>
      </w:r>
      <w:r>
        <w:rPr>
          <w:rFonts w:hint="eastAsia"/>
          <w:color w:val="auto"/>
          <w:highlight w:val="none"/>
          <w:lang w:val="en-US" w:eastAsia="zh-CN"/>
        </w:rPr>
        <w:t>7</w:t>
      </w:r>
      <w:r>
        <w:rPr>
          <w:rFonts w:hint="eastAsia"/>
          <w:color w:val="auto"/>
          <w:highlight w:val="none"/>
        </w:rPr>
        <w:t>消防电气。</w:t>
      </w:r>
    </w:p>
    <w:p w14:paraId="77C8E760">
      <w:pPr>
        <w:spacing w:after="312" w:afterLines="100"/>
        <w:rPr>
          <w:rFonts w:cs="Times New Roman"/>
          <w:color w:val="auto"/>
          <w:highlight w:val="none"/>
        </w:rPr>
      </w:pPr>
      <w:r>
        <w:rPr>
          <w:rFonts w:hint="eastAsia"/>
          <w:color w:val="auto"/>
          <w:highlight w:val="none"/>
        </w:rPr>
        <w:t>本标准由云南省住房和城乡建设厅负责管理，云南省设计院集团有限公司负责具体技术内容解释。</w:t>
      </w:r>
      <w:r>
        <w:rPr>
          <w:rFonts w:cs="Times New Roman"/>
          <w:color w:val="auto"/>
          <w:highlight w:val="none"/>
        </w:rPr>
        <w:t>执行过程中如有意见或建议，请寄送云南省设计院集团有限公司（</w:t>
      </w:r>
      <w:r>
        <w:rPr>
          <w:rFonts w:hint="eastAsia" w:cs="Times New Roman"/>
          <w:color w:val="auto"/>
          <w:highlight w:val="none"/>
        </w:rPr>
        <w:t>地址：</w:t>
      </w:r>
      <w:r>
        <w:rPr>
          <w:rFonts w:cs="Times New Roman"/>
          <w:color w:val="auto"/>
          <w:highlight w:val="none"/>
        </w:rPr>
        <w:t>云南省昆明市拥金路1号，邮编</w:t>
      </w:r>
      <w:r>
        <w:rPr>
          <w:rFonts w:hint="eastAsia" w:cs="Times New Roman"/>
          <w:color w:val="auto"/>
          <w:highlight w:val="none"/>
        </w:rPr>
        <w:t>：</w:t>
      </w:r>
      <w:r>
        <w:rPr>
          <w:rFonts w:cs="Times New Roman"/>
          <w:color w:val="auto"/>
          <w:highlight w:val="none"/>
        </w:rPr>
        <w:t>650228）。</w:t>
      </w:r>
    </w:p>
    <w:tbl>
      <w:tblPr>
        <w:tblStyle w:val="24"/>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77"/>
        <w:gridCol w:w="5945"/>
      </w:tblGrid>
      <w:tr w14:paraId="2BA4D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577" w:type="dxa"/>
            <w:tcBorders>
              <w:tl2br w:val="nil"/>
              <w:tr2bl w:val="nil"/>
            </w:tcBorders>
          </w:tcPr>
          <w:p w14:paraId="34D431FB">
            <w:pPr>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本标准主编单位：</w:t>
            </w:r>
          </w:p>
        </w:tc>
        <w:tc>
          <w:tcPr>
            <w:tcW w:w="5945" w:type="dxa"/>
            <w:tcBorders>
              <w:tl2br w:val="nil"/>
              <w:tr2bl w:val="nil"/>
            </w:tcBorders>
          </w:tcPr>
          <w:p w14:paraId="78DF12CD">
            <w:pPr>
              <w:ind w:firstLine="0" w:firstLineChars="0"/>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云南省设计院集团有限公司</w:t>
            </w:r>
          </w:p>
        </w:tc>
      </w:tr>
      <w:tr w14:paraId="27C5E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577" w:type="dxa"/>
            <w:tcBorders>
              <w:tl2br w:val="nil"/>
              <w:tr2bl w:val="nil"/>
            </w:tcBorders>
          </w:tcPr>
          <w:p w14:paraId="00FC5EFF">
            <w:pPr>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本标准参编单位：</w:t>
            </w:r>
          </w:p>
        </w:tc>
        <w:tc>
          <w:tcPr>
            <w:tcW w:w="5945" w:type="dxa"/>
            <w:tcBorders>
              <w:tl2br w:val="nil"/>
              <w:tr2bl w:val="nil"/>
            </w:tcBorders>
            <w:vAlign w:val="top"/>
          </w:tcPr>
          <w:p w14:paraId="7E3DFC24">
            <w:pPr>
              <w:ind w:firstLine="480" w:firstLineChars="200"/>
              <w:rPr>
                <w:rFonts w:cs="Times New Roman"/>
                <w:color w:val="000000" w:themeColor="text1"/>
                <w:highlight w:val="none"/>
                <w14:textFill>
                  <w14:solidFill>
                    <w14:schemeClr w14:val="tx1"/>
                  </w14:solidFill>
                </w14:textFill>
              </w:rPr>
            </w:pPr>
          </w:p>
        </w:tc>
      </w:tr>
      <w:tr w14:paraId="50F59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577" w:type="dxa"/>
            <w:tcBorders>
              <w:tl2br w:val="nil"/>
              <w:tr2bl w:val="nil"/>
            </w:tcBorders>
          </w:tcPr>
          <w:p w14:paraId="0B96CD1B">
            <w:pPr>
              <w:rPr>
                <w:rFonts w:cs="Times New Roman"/>
                <w:color w:val="000000" w:themeColor="text1"/>
                <w:highlight w:val="none"/>
                <w14:textFill>
                  <w14:solidFill>
                    <w14:schemeClr w14:val="tx1"/>
                  </w14:solidFill>
                </w14:textFill>
              </w:rPr>
            </w:pPr>
          </w:p>
        </w:tc>
        <w:tc>
          <w:tcPr>
            <w:tcW w:w="5945" w:type="dxa"/>
            <w:tcBorders>
              <w:tl2br w:val="nil"/>
              <w:tr2bl w:val="nil"/>
            </w:tcBorders>
            <w:vAlign w:val="top"/>
          </w:tcPr>
          <w:p w14:paraId="32EF2B49">
            <w:pPr>
              <w:ind w:firstLine="0" w:firstLineChars="0"/>
              <w:rPr>
                <w:rFonts w:cs="Times New Roman"/>
                <w:color w:val="000000" w:themeColor="text1"/>
                <w:highlight w:val="none"/>
                <w14:textFill>
                  <w14:solidFill>
                    <w14:schemeClr w14:val="tx1"/>
                  </w14:solidFill>
                </w14:textFill>
              </w:rPr>
            </w:pPr>
          </w:p>
        </w:tc>
      </w:tr>
    </w:tbl>
    <w:p w14:paraId="67759C31">
      <w:pPr>
        <w:ind w:firstLine="0" w:firstLineChars="0"/>
        <w:rPr>
          <w:rFonts w:cs="Times New Roman"/>
          <w:color w:val="000000" w:themeColor="text1"/>
          <w:highlight w:val="none"/>
          <w14:textFill>
            <w14:solidFill>
              <w14:schemeClr w14:val="tx1"/>
            </w14:solidFill>
          </w14:textFill>
        </w:rPr>
      </w:pPr>
    </w:p>
    <w:tbl>
      <w:tblPr>
        <w:tblStyle w:val="24"/>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0"/>
        <w:gridCol w:w="1330"/>
        <w:gridCol w:w="1194"/>
        <w:gridCol w:w="1194"/>
        <w:gridCol w:w="1194"/>
        <w:gridCol w:w="1195"/>
        <w:gridCol w:w="1195"/>
      </w:tblGrid>
      <w:tr w14:paraId="6B959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50" w:type="dxa"/>
            <w:gridSpan w:val="2"/>
            <w:tcBorders>
              <w:tl2br w:val="nil"/>
              <w:tr2bl w:val="nil"/>
            </w:tcBorders>
          </w:tcPr>
          <w:p w14:paraId="219AB8E4">
            <w:pPr>
              <w:ind w:firstLine="0" w:firstLineChars="0"/>
              <w:rPr>
                <w:rFonts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本标准主要起草人员：</w:t>
            </w:r>
          </w:p>
        </w:tc>
        <w:tc>
          <w:tcPr>
            <w:tcW w:w="1194" w:type="dxa"/>
            <w:tcBorders>
              <w:tl2br w:val="nil"/>
              <w:tr2bl w:val="nil"/>
            </w:tcBorders>
            <w:vAlign w:val="top"/>
          </w:tcPr>
          <w:p w14:paraId="2D320B8E">
            <w:pPr>
              <w:ind w:firstLine="480" w:firstLineChars="200"/>
              <w:rPr>
                <w:color w:val="000000" w:themeColor="text1"/>
                <w:highlight w:val="none"/>
                <w14:textFill>
                  <w14:solidFill>
                    <w14:schemeClr w14:val="tx1"/>
                  </w14:solidFill>
                </w14:textFill>
              </w:rPr>
            </w:pPr>
          </w:p>
        </w:tc>
        <w:tc>
          <w:tcPr>
            <w:tcW w:w="1194" w:type="dxa"/>
            <w:tcBorders>
              <w:tl2br w:val="nil"/>
              <w:tr2bl w:val="nil"/>
            </w:tcBorders>
            <w:vAlign w:val="top"/>
          </w:tcPr>
          <w:p w14:paraId="1CF42D9F">
            <w:pPr>
              <w:ind w:firstLine="480" w:firstLineChars="200"/>
              <w:rPr>
                <w:color w:val="000000" w:themeColor="text1"/>
                <w:highlight w:val="none"/>
                <w14:textFill>
                  <w14:solidFill>
                    <w14:schemeClr w14:val="tx1"/>
                  </w14:solidFill>
                </w14:textFill>
              </w:rPr>
            </w:pPr>
          </w:p>
        </w:tc>
        <w:tc>
          <w:tcPr>
            <w:tcW w:w="1194" w:type="dxa"/>
            <w:tcBorders>
              <w:tl2br w:val="nil"/>
              <w:tr2bl w:val="nil"/>
            </w:tcBorders>
            <w:vAlign w:val="top"/>
          </w:tcPr>
          <w:p w14:paraId="1E52A3B0">
            <w:pPr>
              <w:ind w:firstLine="480" w:firstLineChars="200"/>
              <w:rPr>
                <w:color w:val="000000" w:themeColor="text1"/>
                <w:highlight w:val="none"/>
                <w14:textFill>
                  <w14:solidFill>
                    <w14:schemeClr w14:val="tx1"/>
                  </w14:solidFill>
                </w14:textFill>
              </w:rPr>
            </w:pPr>
          </w:p>
        </w:tc>
        <w:tc>
          <w:tcPr>
            <w:tcW w:w="1195" w:type="dxa"/>
            <w:tcBorders>
              <w:tl2br w:val="nil"/>
              <w:tr2bl w:val="nil"/>
            </w:tcBorders>
            <w:vAlign w:val="top"/>
          </w:tcPr>
          <w:p w14:paraId="384283DB">
            <w:pPr>
              <w:ind w:firstLine="480" w:firstLineChars="200"/>
              <w:rPr>
                <w:color w:val="000000" w:themeColor="text1"/>
                <w:highlight w:val="none"/>
                <w14:textFill>
                  <w14:solidFill>
                    <w14:schemeClr w14:val="tx1"/>
                  </w14:solidFill>
                </w14:textFill>
              </w:rPr>
            </w:pPr>
          </w:p>
        </w:tc>
        <w:tc>
          <w:tcPr>
            <w:tcW w:w="1195" w:type="dxa"/>
            <w:tcBorders>
              <w:tl2br w:val="nil"/>
              <w:tr2bl w:val="nil"/>
            </w:tcBorders>
            <w:vAlign w:val="top"/>
          </w:tcPr>
          <w:p w14:paraId="1175EFA0">
            <w:pPr>
              <w:ind w:firstLine="480" w:firstLineChars="200"/>
              <w:rPr>
                <w:color w:val="000000" w:themeColor="text1"/>
                <w:highlight w:val="none"/>
                <w14:textFill>
                  <w14:solidFill>
                    <w14:schemeClr w14:val="tx1"/>
                  </w14:solidFill>
                </w14:textFill>
              </w:rPr>
            </w:pPr>
          </w:p>
        </w:tc>
      </w:tr>
      <w:tr w14:paraId="6CD19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20" w:type="dxa"/>
            <w:tcBorders>
              <w:tl2br w:val="nil"/>
              <w:tr2bl w:val="nil"/>
            </w:tcBorders>
          </w:tcPr>
          <w:p w14:paraId="0A7E1FFB">
            <w:pPr>
              <w:ind w:firstLine="0" w:firstLineChars="0"/>
              <w:rPr>
                <w:rFonts w:cs="Times New Roman"/>
                <w:color w:val="000000" w:themeColor="text1"/>
                <w:highlight w:val="none"/>
                <w14:textFill>
                  <w14:solidFill>
                    <w14:schemeClr w14:val="tx1"/>
                  </w14:solidFill>
                </w14:textFill>
              </w:rPr>
            </w:pPr>
          </w:p>
        </w:tc>
        <w:tc>
          <w:tcPr>
            <w:tcW w:w="1330" w:type="dxa"/>
            <w:tcBorders>
              <w:tl2br w:val="nil"/>
              <w:tr2bl w:val="nil"/>
            </w:tcBorders>
          </w:tcPr>
          <w:p w14:paraId="09900267">
            <w:pPr>
              <w:pStyle w:val="5"/>
              <w:ind w:firstLine="0" w:firstLineChars="0"/>
              <w:outlineLvl w:val="3"/>
              <w:rPr>
                <w:color w:val="000000" w:themeColor="text1"/>
                <w:highlight w:val="none"/>
                <w14:textFill>
                  <w14:solidFill>
                    <w14:schemeClr w14:val="tx1"/>
                  </w14:solidFill>
                </w14:textFill>
              </w:rPr>
            </w:pPr>
          </w:p>
        </w:tc>
        <w:tc>
          <w:tcPr>
            <w:tcW w:w="1194" w:type="dxa"/>
            <w:tcBorders>
              <w:tl2br w:val="nil"/>
              <w:tr2bl w:val="nil"/>
            </w:tcBorders>
            <w:vAlign w:val="top"/>
          </w:tcPr>
          <w:p w14:paraId="1C9996B4">
            <w:pPr>
              <w:ind w:firstLine="0" w:firstLineChars="0"/>
              <w:rPr>
                <w:color w:val="000000" w:themeColor="text1"/>
                <w:highlight w:val="none"/>
                <w14:textFill>
                  <w14:solidFill>
                    <w14:schemeClr w14:val="tx1"/>
                  </w14:solidFill>
                </w14:textFill>
              </w:rPr>
            </w:pPr>
          </w:p>
        </w:tc>
        <w:tc>
          <w:tcPr>
            <w:tcW w:w="1194" w:type="dxa"/>
            <w:tcBorders>
              <w:tl2br w:val="nil"/>
              <w:tr2bl w:val="nil"/>
            </w:tcBorders>
            <w:vAlign w:val="top"/>
          </w:tcPr>
          <w:p w14:paraId="1D4838AD">
            <w:pPr>
              <w:ind w:firstLine="0" w:firstLineChars="0"/>
              <w:rPr>
                <w:color w:val="000000" w:themeColor="text1"/>
                <w:highlight w:val="none"/>
                <w14:textFill>
                  <w14:solidFill>
                    <w14:schemeClr w14:val="tx1"/>
                  </w14:solidFill>
                </w14:textFill>
              </w:rPr>
            </w:pPr>
          </w:p>
        </w:tc>
        <w:tc>
          <w:tcPr>
            <w:tcW w:w="1194" w:type="dxa"/>
            <w:tcBorders>
              <w:tl2br w:val="nil"/>
              <w:tr2bl w:val="nil"/>
            </w:tcBorders>
            <w:vAlign w:val="top"/>
          </w:tcPr>
          <w:p w14:paraId="3FD2C09C">
            <w:pPr>
              <w:ind w:firstLine="0" w:firstLineChars="0"/>
              <w:rPr>
                <w:color w:val="000000" w:themeColor="text1"/>
                <w:highlight w:val="none"/>
                <w14:textFill>
                  <w14:solidFill>
                    <w14:schemeClr w14:val="tx1"/>
                  </w14:solidFill>
                </w14:textFill>
              </w:rPr>
            </w:pPr>
          </w:p>
        </w:tc>
        <w:tc>
          <w:tcPr>
            <w:tcW w:w="1195" w:type="dxa"/>
            <w:tcBorders>
              <w:tl2br w:val="nil"/>
              <w:tr2bl w:val="nil"/>
            </w:tcBorders>
            <w:vAlign w:val="top"/>
          </w:tcPr>
          <w:p w14:paraId="34653CA6">
            <w:pPr>
              <w:ind w:firstLine="0" w:firstLineChars="0"/>
              <w:rPr>
                <w:color w:val="000000" w:themeColor="text1"/>
                <w:highlight w:val="none"/>
                <w14:textFill>
                  <w14:solidFill>
                    <w14:schemeClr w14:val="tx1"/>
                  </w14:solidFill>
                </w14:textFill>
              </w:rPr>
            </w:pPr>
          </w:p>
        </w:tc>
        <w:tc>
          <w:tcPr>
            <w:tcW w:w="1195" w:type="dxa"/>
            <w:tcBorders>
              <w:tl2br w:val="nil"/>
              <w:tr2bl w:val="nil"/>
            </w:tcBorders>
            <w:vAlign w:val="top"/>
          </w:tcPr>
          <w:p w14:paraId="1F5E5AA1">
            <w:pPr>
              <w:ind w:firstLine="0" w:firstLineChars="0"/>
              <w:rPr>
                <w:color w:val="000000" w:themeColor="text1"/>
                <w:highlight w:val="none"/>
                <w14:textFill>
                  <w14:solidFill>
                    <w14:schemeClr w14:val="tx1"/>
                  </w14:solidFill>
                </w14:textFill>
              </w:rPr>
            </w:pPr>
          </w:p>
        </w:tc>
      </w:tr>
      <w:tr w14:paraId="22964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20" w:type="dxa"/>
            <w:tcBorders>
              <w:tl2br w:val="nil"/>
              <w:tr2bl w:val="nil"/>
            </w:tcBorders>
          </w:tcPr>
          <w:p w14:paraId="5969E38A">
            <w:pPr>
              <w:ind w:firstLine="0" w:firstLineChars="0"/>
              <w:rPr>
                <w:rFonts w:cs="Times New Roman"/>
                <w:color w:val="000000" w:themeColor="text1"/>
                <w:highlight w:val="none"/>
                <w14:textFill>
                  <w14:solidFill>
                    <w14:schemeClr w14:val="tx1"/>
                  </w14:solidFill>
                </w14:textFill>
              </w:rPr>
            </w:pPr>
          </w:p>
        </w:tc>
        <w:tc>
          <w:tcPr>
            <w:tcW w:w="1330" w:type="dxa"/>
            <w:tcBorders>
              <w:tl2br w:val="nil"/>
              <w:tr2bl w:val="nil"/>
            </w:tcBorders>
          </w:tcPr>
          <w:p w14:paraId="6E07D252">
            <w:pPr>
              <w:pStyle w:val="5"/>
              <w:ind w:firstLine="0" w:firstLineChars="0"/>
              <w:outlineLvl w:val="3"/>
              <w:rPr>
                <w:color w:val="000000" w:themeColor="text1"/>
                <w:highlight w:val="none"/>
                <w14:textFill>
                  <w14:solidFill>
                    <w14:schemeClr w14:val="tx1"/>
                  </w14:solidFill>
                </w14:textFill>
              </w:rPr>
            </w:pPr>
          </w:p>
        </w:tc>
        <w:tc>
          <w:tcPr>
            <w:tcW w:w="1194" w:type="dxa"/>
            <w:tcBorders>
              <w:tl2br w:val="nil"/>
              <w:tr2bl w:val="nil"/>
            </w:tcBorders>
            <w:vAlign w:val="top"/>
          </w:tcPr>
          <w:p w14:paraId="2606C7BB">
            <w:pPr>
              <w:ind w:firstLine="480" w:firstLineChars="200"/>
              <w:rPr>
                <w:color w:val="000000" w:themeColor="text1"/>
                <w:highlight w:val="none"/>
                <w14:textFill>
                  <w14:solidFill>
                    <w14:schemeClr w14:val="tx1"/>
                  </w14:solidFill>
                </w14:textFill>
              </w:rPr>
            </w:pPr>
          </w:p>
        </w:tc>
        <w:tc>
          <w:tcPr>
            <w:tcW w:w="1194" w:type="dxa"/>
            <w:tcBorders>
              <w:tl2br w:val="nil"/>
              <w:tr2bl w:val="nil"/>
            </w:tcBorders>
            <w:vAlign w:val="top"/>
          </w:tcPr>
          <w:p w14:paraId="55C9551A">
            <w:pPr>
              <w:ind w:firstLine="480" w:firstLineChars="200"/>
              <w:rPr>
                <w:color w:val="000000" w:themeColor="text1"/>
                <w:highlight w:val="none"/>
                <w14:textFill>
                  <w14:solidFill>
                    <w14:schemeClr w14:val="tx1"/>
                  </w14:solidFill>
                </w14:textFill>
              </w:rPr>
            </w:pPr>
          </w:p>
        </w:tc>
        <w:tc>
          <w:tcPr>
            <w:tcW w:w="1194" w:type="dxa"/>
            <w:tcBorders>
              <w:tl2br w:val="nil"/>
              <w:tr2bl w:val="nil"/>
            </w:tcBorders>
            <w:vAlign w:val="top"/>
          </w:tcPr>
          <w:p w14:paraId="39BF71ED">
            <w:pPr>
              <w:ind w:firstLine="480" w:firstLineChars="200"/>
              <w:rPr>
                <w:color w:val="000000" w:themeColor="text1"/>
                <w:highlight w:val="none"/>
                <w14:textFill>
                  <w14:solidFill>
                    <w14:schemeClr w14:val="tx1"/>
                  </w14:solidFill>
                </w14:textFill>
              </w:rPr>
            </w:pPr>
          </w:p>
        </w:tc>
        <w:tc>
          <w:tcPr>
            <w:tcW w:w="1195" w:type="dxa"/>
            <w:tcBorders>
              <w:tl2br w:val="nil"/>
              <w:tr2bl w:val="nil"/>
            </w:tcBorders>
            <w:vAlign w:val="top"/>
          </w:tcPr>
          <w:p w14:paraId="4609DF1D">
            <w:pPr>
              <w:ind w:firstLine="480" w:firstLineChars="200"/>
              <w:rPr>
                <w:color w:val="000000" w:themeColor="text1"/>
                <w:highlight w:val="none"/>
                <w14:textFill>
                  <w14:solidFill>
                    <w14:schemeClr w14:val="tx1"/>
                  </w14:solidFill>
                </w14:textFill>
              </w:rPr>
            </w:pPr>
          </w:p>
        </w:tc>
        <w:tc>
          <w:tcPr>
            <w:tcW w:w="1195" w:type="dxa"/>
            <w:tcBorders>
              <w:tl2br w:val="nil"/>
              <w:tr2bl w:val="nil"/>
            </w:tcBorders>
            <w:vAlign w:val="top"/>
          </w:tcPr>
          <w:p w14:paraId="26D895C4">
            <w:pPr>
              <w:ind w:firstLine="480" w:firstLineChars="200"/>
              <w:rPr>
                <w:color w:val="000000" w:themeColor="text1"/>
                <w:highlight w:val="none"/>
                <w14:textFill>
                  <w14:solidFill>
                    <w14:schemeClr w14:val="tx1"/>
                  </w14:solidFill>
                </w14:textFill>
              </w:rPr>
            </w:pPr>
          </w:p>
        </w:tc>
      </w:tr>
      <w:tr w14:paraId="47D6A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2" w:type="dxa"/>
            <w:gridSpan w:val="7"/>
            <w:tcBorders>
              <w:tl2br w:val="nil"/>
              <w:tr2bl w:val="nil"/>
            </w:tcBorders>
          </w:tcPr>
          <w:p w14:paraId="5A238FDD">
            <w:pPr>
              <w:ind w:firstLine="480" w:firstLineChars="200"/>
              <w:rPr>
                <w:color w:val="000000" w:themeColor="text1"/>
                <w:highlight w:val="none"/>
                <w14:textFill>
                  <w14:solidFill>
                    <w14:schemeClr w14:val="tx1"/>
                  </w14:solidFill>
                </w14:textFill>
              </w:rPr>
            </w:pPr>
          </w:p>
        </w:tc>
      </w:tr>
      <w:tr w14:paraId="2DC81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2" w:type="dxa"/>
            <w:gridSpan w:val="7"/>
            <w:tcBorders>
              <w:tl2br w:val="nil"/>
              <w:tr2bl w:val="nil"/>
            </w:tcBorders>
          </w:tcPr>
          <w:p w14:paraId="04CA974C">
            <w:pPr>
              <w:ind w:firstLine="0" w:firstLineChars="0"/>
              <w:jc w:val="center"/>
              <w:rPr>
                <w:color w:val="000000" w:themeColor="text1"/>
                <w:highlight w:val="none"/>
                <w14:textFill>
                  <w14:solidFill>
                    <w14:schemeClr w14:val="tx1"/>
                  </w14:solidFill>
                </w14:textFill>
              </w:rPr>
            </w:pPr>
          </w:p>
        </w:tc>
      </w:tr>
      <w:tr w14:paraId="095CF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50" w:type="dxa"/>
            <w:gridSpan w:val="2"/>
            <w:tcBorders>
              <w:right w:val="nil"/>
              <w:tl2br w:val="nil"/>
              <w:tr2bl w:val="nil"/>
            </w:tcBorders>
          </w:tcPr>
          <w:p w14:paraId="5F72210C">
            <w:pPr>
              <w:ind w:firstLine="0" w:firstLineChars="0"/>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本标准主要审查人员：</w:t>
            </w:r>
          </w:p>
        </w:tc>
        <w:tc>
          <w:tcPr>
            <w:tcW w:w="1194" w:type="dxa"/>
            <w:tcBorders>
              <w:tl2br w:val="nil"/>
              <w:tr2bl w:val="nil"/>
            </w:tcBorders>
            <w:vAlign w:val="top"/>
          </w:tcPr>
          <w:p w14:paraId="0F87D675">
            <w:pPr>
              <w:ind w:firstLine="480" w:firstLineChars="200"/>
              <w:rPr>
                <w:rFonts w:cs="Times New Roman"/>
                <w:color w:val="000000" w:themeColor="text1"/>
                <w:highlight w:val="none"/>
                <w14:textFill>
                  <w14:solidFill>
                    <w14:schemeClr w14:val="tx1"/>
                  </w14:solidFill>
                </w14:textFill>
              </w:rPr>
            </w:pPr>
          </w:p>
        </w:tc>
        <w:tc>
          <w:tcPr>
            <w:tcW w:w="1194" w:type="dxa"/>
            <w:tcBorders>
              <w:tl2br w:val="nil"/>
              <w:tr2bl w:val="nil"/>
            </w:tcBorders>
            <w:vAlign w:val="top"/>
          </w:tcPr>
          <w:p w14:paraId="50378144">
            <w:pPr>
              <w:ind w:firstLine="480" w:firstLineChars="200"/>
              <w:rPr>
                <w:rFonts w:cs="Times New Roman"/>
                <w:color w:val="000000" w:themeColor="text1"/>
                <w:highlight w:val="none"/>
                <w14:textFill>
                  <w14:solidFill>
                    <w14:schemeClr w14:val="tx1"/>
                  </w14:solidFill>
                </w14:textFill>
              </w:rPr>
            </w:pPr>
          </w:p>
        </w:tc>
        <w:tc>
          <w:tcPr>
            <w:tcW w:w="1194" w:type="dxa"/>
            <w:tcBorders>
              <w:tl2br w:val="nil"/>
              <w:tr2bl w:val="nil"/>
            </w:tcBorders>
            <w:vAlign w:val="top"/>
          </w:tcPr>
          <w:p w14:paraId="734B2875">
            <w:pPr>
              <w:ind w:firstLine="480" w:firstLineChars="200"/>
              <w:rPr>
                <w:rFonts w:cs="Times New Roman"/>
                <w:color w:val="000000" w:themeColor="text1"/>
                <w:highlight w:val="none"/>
                <w14:textFill>
                  <w14:solidFill>
                    <w14:schemeClr w14:val="tx1"/>
                  </w14:solidFill>
                </w14:textFill>
              </w:rPr>
            </w:pPr>
          </w:p>
        </w:tc>
        <w:tc>
          <w:tcPr>
            <w:tcW w:w="1195" w:type="dxa"/>
            <w:tcBorders>
              <w:tl2br w:val="nil"/>
              <w:tr2bl w:val="nil"/>
            </w:tcBorders>
            <w:vAlign w:val="top"/>
          </w:tcPr>
          <w:p w14:paraId="365BD64C">
            <w:pPr>
              <w:ind w:firstLine="480" w:firstLineChars="200"/>
              <w:rPr>
                <w:rFonts w:cs="Times New Roman"/>
                <w:color w:val="000000" w:themeColor="text1"/>
                <w:highlight w:val="none"/>
                <w14:textFill>
                  <w14:solidFill>
                    <w14:schemeClr w14:val="tx1"/>
                  </w14:solidFill>
                </w14:textFill>
              </w:rPr>
            </w:pPr>
          </w:p>
        </w:tc>
        <w:tc>
          <w:tcPr>
            <w:tcW w:w="1195" w:type="dxa"/>
            <w:tcBorders>
              <w:tl2br w:val="nil"/>
              <w:tr2bl w:val="nil"/>
            </w:tcBorders>
            <w:vAlign w:val="top"/>
          </w:tcPr>
          <w:p w14:paraId="6A035F1D">
            <w:pPr>
              <w:ind w:firstLine="480" w:firstLineChars="200"/>
              <w:rPr>
                <w:rFonts w:cs="Times New Roman"/>
                <w:color w:val="000000" w:themeColor="text1"/>
                <w:highlight w:val="none"/>
                <w14:textFill>
                  <w14:solidFill>
                    <w14:schemeClr w14:val="tx1"/>
                  </w14:solidFill>
                </w14:textFill>
              </w:rPr>
            </w:pPr>
          </w:p>
        </w:tc>
      </w:tr>
      <w:tr w14:paraId="07A04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20" w:type="dxa"/>
            <w:tcBorders>
              <w:tl2br w:val="nil"/>
              <w:tr2bl w:val="nil"/>
            </w:tcBorders>
          </w:tcPr>
          <w:p w14:paraId="1F8DDE9A">
            <w:pPr>
              <w:ind w:firstLine="0" w:firstLineChars="0"/>
              <w:rPr>
                <w:rFonts w:cs="Times New Roman"/>
                <w:color w:val="000000" w:themeColor="text1"/>
                <w:highlight w:val="none"/>
                <w14:textFill>
                  <w14:solidFill>
                    <w14:schemeClr w14:val="tx1"/>
                  </w14:solidFill>
                </w14:textFill>
              </w:rPr>
            </w:pPr>
          </w:p>
        </w:tc>
        <w:tc>
          <w:tcPr>
            <w:tcW w:w="1330" w:type="dxa"/>
            <w:tcBorders>
              <w:top w:val="nil"/>
              <w:left w:val="nil"/>
              <w:bottom w:val="nil"/>
              <w:right w:val="nil"/>
              <w:tl2br w:val="nil"/>
              <w:tr2bl w:val="nil"/>
            </w:tcBorders>
          </w:tcPr>
          <w:p w14:paraId="6CB2CED9">
            <w:pPr>
              <w:ind w:firstLine="0" w:firstLineChars="0"/>
              <w:rPr>
                <w:rFonts w:cs="Times New Roman"/>
                <w:color w:val="000000" w:themeColor="text1"/>
                <w:highlight w:val="none"/>
                <w14:textFill>
                  <w14:solidFill>
                    <w14:schemeClr w14:val="tx1"/>
                  </w14:solidFill>
                </w14:textFill>
              </w:rPr>
            </w:pPr>
          </w:p>
        </w:tc>
        <w:tc>
          <w:tcPr>
            <w:tcW w:w="1194" w:type="dxa"/>
            <w:tcBorders>
              <w:tl2br w:val="nil"/>
              <w:tr2bl w:val="nil"/>
            </w:tcBorders>
            <w:vAlign w:val="top"/>
          </w:tcPr>
          <w:p w14:paraId="7D1E99CC">
            <w:pPr>
              <w:ind w:firstLine="0" w:firstLineChars="0"/>
              <w:rPr>
                <w:rFonts w:cs="Times New Roman"/>
                <w:color w:val="000000" w:themeColor="text1"/>
                <w:highlight w:val="none"/>
                <w14:textFill>
                  <w14:solidFill>
                    <w14:schemeClr w14:val="tx1"/>
                  </w14:solidFill>
                </w14:textFill>
              </w:rPr>
            </w:pPr>
          </w:p>
        </w:tc>
        <w:tc>
          <w:tcPr>
            <w:tcW w:w="1194" w:type="dxa"/>
            <w:tcBorders>
              <w:tl2br w:val="nil"/>
              <w:tr2bl w:val="nil"/>
            </w:tcBorders>
            <w:vAlign w:val="top"/>
          </w:tcPr>
          <w:p w14:paraId="680611C9">
            <w:pPr>
              <w:ind w:firstLine="0" w:firstLineChars="0"/>
              <w:rPr>
                <w:rFonts w:cs="Times New Roman"/>
                <w:color w:val="000000" w:themeColor="text1"/>
                <w:highlight w:val="none"/>
                <w14:textFill>
                  <w14:solidFill>
                    <w14:schemeClr w14:val="tx1"/>
                  </w14:solidFill>
                </w14:textFill>
              </w:rPr>
            </w:pPr>
          </w:p>
        </w:tc>
        <w:tc>
          <w:tcPr>
            <w:tcW w:w="1194" w:type="dxa"/>
            <w:tcBorders>
              <w:tl2br w:val="nil"/>
              <w:tr2bl w:val="nil"/>
            </w:tcBorders>
            <w:vAlign w:val="top"/>
          </w:tcPr>
          <w:p w14:paraId="4FE52142">
            <w:pPr>
              <w:ind w:firstLine="0" w:firstLineChars="0"/>
              <w:rPr>
                <w:rFonts w:cs="Times New Roman"/>
                <w:color w:val="000000" w:themeColor="text1"/>
                <w:highlight w:val="none"/>
                <w14:textFill>
                  <w14:solidFill>
                    <w14:schemeClr w14:val="tx1"/>
                  </w14:solidFill>
                </w14:textFill>
              </w:rPr>
            </w:pPr>
          </w:p>
        </w:tc>
        <w:tc>
          <w:tcPr>
            <w:tcW w:w="1195" w:type="dxa"/>
            <w:tcBorders>
              <w:tl2br w:val="nil"/>
              <w:tr2bl w:val="nil"/>
            </w:tcBorders>
            <w:vAlign w:val="top"/>
          </w:tcPr>
          <w:p w14:paraId="432CDC21">
            <w:pPr>
              <w:ind w:firstLine="0" w:firstLineChars="0"/>
              <w:rPr>
                <w:rFonts w:cs="Times New Roman"/>
                <w:color w:val="000000" w:themeColor="text1"/>
                <w:highlight w:val="none"/>
                <w14:textFill>
                  <w14:solidFill>
                    <w14:schemeClr w14:val="tx1"/>
                  </w14:solidFill>
                </w14:textFill>
              </w:rPr>
            </w:pPr>
          </w:p>
        </w:tc>
        <w:tc>
          <w:tcPr>
            <w:tcW w:w="1195" w:type="dxa"/>
            <w:tcBorders>
              <w:tl2br w:val="nil"/>
              <w:tr2bl w:val="nil"/>
            </w:tcBorders>
            <w:vAlign w:val="top"/>
          </w:tcPr>
          <w:p w14:paraId="3E2D0A15">
            <w:pPr>
              <w:ind w:firstLine="0" w:firstLineChars="0"/>
              <w:rPr>
                <w:rFonts w:cs="Times New Roman"/>
                <w:color w:val="000000" w:themeColor="text1"/>
                <w:highlight w:val="none"/>
                <w14:textFill>
                  <w14:solidFill>
                    <w14:schemeClr w14:val="tx1"/>
                  </w14:solidFill>
                </w14:textFill>
              </w:rPr>
            </w:pPr>
          </w:p>
        </w:tc>
      </w:tr>
    </w:tbl>
    <w:p w14:paraId="0483DAD1">
      <w:pPr>
        <w:ind w:left="0" w:leftChars="0" w:firstLine="0" w:firstLineChars="0"/>
        <w:rPr>
          <w:rFonts w:eastAsia="黑体" w:cs="Times New Roman"/>
          <w:b/>
          <w:color w:val="000000" w:themeColor="text1"/>
          <w:sz w:val="30"/>
          <w:szCs w:val="30"/>
          <w:highlight w:val="none"/>
          <w14:textFill>
            <w14:solidFill>
              <w14:schemeClr w14:val="tx1"/>
            </w14:solidFill>
          </w14:textFill>
        </w:rPr>
      </w:pPr>
      <w:r>
        <w:rPr>
          <w:rFonts w:eastAsia="黑体" w:cs="Times New Roman"/>
          <w:b/>
          <w:color w:val="000000" w:themeColor="text1"/>
          <w:sz w:val="30"/>
          <w:szCs w:val="30"/>
          <w:highlight w:val="none"/>
          <w14:textFill>
            <w14:solidFill>
              <w14:schemeClr w14:val="tx1"/>
            </w14:solidFill>
          </w14:textFill>
        </w:rPr>
        <w:br w:type="page"/>
      </w:r>
    </w:p>
    <w:p w14:paraId="01880CE0">
      <w:pPr>
        <w:spacing w:line="720" w:lineRule="auto"/>
        <w:ind w:firstLine="0" w:firstLineChars="0"/>
        <w:jc w:val="center"/>
        <w:rPr>
          <w:rFonts w:eastAsia="华文细黑" w:cs="Times New Roman"/>
          <w:b/>
          <w:bCs/>
          <w:color w:val="000000" w:themeColor="text1"/>
          <w:sz w:val="32"/>
          <w:szCs w:val="32"/>
          <w:highlight w:val="none"/>
          <w14:textFill>
            <w14:solidFill>
              <w14:schemeClr w14:val="tx1"/>
            </w14:solidFill>
          </w14:textFill>
        </w:rPr>
      </w:pPr>
      <w:r>
        <w:rPr>
          <w:rFonts w:eastAsia="华文细黑" w:cs="Times New Roman"/>
          <w:b/>
          <w:bCs/>
          <w:color w:val="000000" w:themeColor="text1"/>
          <w:sz w:val="32"/>
          <w:szCs w:val="32"/>
          <w:highlight w:val="none"/>
          <w14:textFill>
            <w14:solidFill>
              <w14:schemeClr w14:val="tx1"/>
            </w14:solidFill>
          </w14:textFill>
        </w:rPr>
        <w:t>目</w:t>
      </w:r>
      <w:r>
        <w:rPr>
          <w:rFonts w:hint="eastAsia" w:eastAsia="华文细黑" w:cs="Times New Roman"/>
          <w:b/>
          <w:bCs/>
          <w:color w:val="000000" w:themeColor="text1"/>
          <w:sz w:val="32"/>
          <w:szCs w:val="32"/>
          <w:highlight w:val="none"/>
          <w:lang w:eastAsia="zh-CN"/>
          <w14:textFill>
            <w14:solidFill>
              <w14:schemeClr w14:val="tx1"/>
            </w14:solidFill>
          </w14:textFill>
        </w:rPr>
        <w:t xml:space="preserve"> </w:t>
      </w:r>
      <w:r>
        <w:rPr>
          <w:rFonts w:eastAsia="华文细黑" w:cs="Times New Roman"/>
          <w:b/>
          <w:bCs/>
          <w:color w:val="000000" w:themeColor="text1"/>
          <w:sz w:val="32"/>
          <w:szCs w:val="32"/>
          <w:highlight w:val="none"/>
          <w14:textFill>
            <w14:solidFill>
              <w14:schemeClr w14:val="tx1"/>
            </w14:solidFill>
          </w14:textFill>
        </w:rPr>
        <w:t xml:space="preserve"> 次</w:t>
      </w:r>
    </w:p>
    <w:p w14:paraId="12F8D438">
      <w:pPr>
        <w:pStyle w:val="17"/>
        <w:tabs>
          <w:tab w:val="right" w:leader="dot" w:pos="8306"/>
        </w:tabs>
        <w:rPr>
          <w:color w:val="auto"/>
          <w:highlight w:val="none"/>
        </w:rPr>
      </w:pPr>
      <w:r>
        <w:rPr>
          <w:rFonts w:cs="Times New Roman"/>
          <w:color w:val="auto"/>
          <w:highlight w:val="none"/>
        </w:rPr>
        <w:fldChar w:fldCharType="begin"/>
      </w:r>
      <w:r>
        <w:rPr>
          <w:rFonts w:cs="Times New Roman"/>
          <w:color w:val="auto"/>
          <w:highlight w:val="none"/>
        </w:rPr>
        <w:instrText xml:space="preserve">TOC \o "1-2" \h \u </w:instrText>
      </w:r>
      <w:r>
        <w:rPr>
          <w:rFonts w:cs="Times New Roman"/>
          <w:color w:val="auto"/>
          <w:highlight w:val="none"/>
        </w:rPr>
        <w:fldChar w:fldCharType="separate"/>
      </w:r>
      <w:r>
        <w:rPr>
          <w:rFonts w:cs="Times New Roman"/>
          <w:color w:val="auto"/>
          <w:highlight w:val="none"/>
        </w:rPr>
        <w:fldChar w:fldCharType="begin"/>
      </w:r>
      <w:r>
        <w:rPr>
          <w:rFonts w:cs="Times New Roman"/>
          <w:color w:val="auto"/>
          <w:highlight w:val="none"/>
        </w:rPr>
        <w:instrText xml:space="preserve"> HYPERLINK \l _Toc9626 </w:instrText>
      </w:r>
      <w:r>
        <w:rPr>
          <w:rFonts w:cs="Times New Roman"/>
          <w:color w:val="auto"/>
          <w:highlight w:val="none"/>
        </w:rPr>
        <w:fldChar w:fldCharType="separate"/>
      </w:r>
      <w:r>
        <w:rPr>
          <w:rFonts w:hint="default" w:ascii="宋体" w:hAnsi="宋体" w:eastAsia="宋体" w:cs="宋体"/>
          <w:color w:val="auto"/>
          <w:highlight w:val="none"/>
        </w:rPr>
        <w:t xml:space="preserve">1 </w:t>
      </w:r>
      <w:r>
        <w:rPr>
          <w:rFonts w:cs="Times New Roman"/>
          <w:color w:val="auto"/>
          <w:highlight w:val="none"/>
        </w:rPr>
        <w:t>总</w:t>
      </w:r>
      <w:r>
        <w:rPr>
          <w:rFonts w:hint="eastAsia" w:cs="Times New Roman"/>
          <w:color w:val="auto"/>
          <w:highlight w:val="none"/>
          <w:lang w:eastAsia="zh-CN"/>
        </w:rPr>
        <w:t xml:space="preserve"> </w:t>
      </w:r>
      <w:r>
        <w:rPr>
          <w:rFonts w:cs="Times New Roman"/>
          <w:color w:val="auto"/>
          <w:highlight w:val="none"/>
        </w:rPr>
        <w:t>则</w:t>
      </w:r>
      <w:r>
        <w:rPr>
          <w:color w:val="auto"/>
          <w:highlight w:val="none"/>
        </w:rPr>
        <w:tab/>
      </w:r>
      <w:r>
        <w:rPr>
          <w:color w:val="auto"/>
          <w:highlight w:val="none"/>
        </w:rPr>
        <w:fldChar w:fldCharType="begin"/>
      </w:r>
      <w:r>
        <w:rPr>
          <w:color w:val="auto"/>
          <w:highlight w:val="none"/>
        </w:rPr>
        <w:instrText xml:space="preserve"> PAGEREF _Toc9626 \h </w:instrText>
      </w:r>
      <w:r>
        <w:rPr>
          <w:color w:val="auto"/>
          <w:highlight w:val="none"/>
        </w:rPr>
        <w:fldChar w:fldCharType="separate"/>
      </w:r>
      <w:r>
        <w:rPr>
          <w:color w:val="auto"/>
          <w:highlight w:val="none"/>
        </w:rPr>
        <w:t>1</w:t>
      </w:r>
      <w:r>
        <w:rPr>
          <w:color w:val="auto"/>
          <w:highlight w:val="none"/>
        </w:rPr>
        <w:fldChar w:fldCharType="end"/>
      </w:r>
      <w:r>
        <w:rPr>
          <w:rFonts w:cs="Times New Roman"/>
          <w:color w:val="auto"/>
          <w:highlight w:val="none"/>
        </w:rPr>
        <w:fldChar w:fldCharType="end"/>
      </w:r>
    </w:p>
    <w:p w14:paraId="3A4B3AB8">
      <w:pPr>
        <w:pStyle w:val="17"/>
        <w:tabs>
          <w:tab w:val="right" w:leader="dot" w:pos="8306"/>
        </w:tabs>
        <w:rPr>
          <w:color w:val="auto"/>
          <w:highlight w:val="none"/>
        </w:rPr>
      </w:pPr>
      <w:r>
        <w:rPr>
          <w:rFonts w:cs="Times New Roman"/>
          <w:color w:val="auto"/>
          <w:highlight w:val="none"/>
        </w:rPr>
        <w:fldChar w:fldCharType="begin"/>
      </w:r>
      <w:r>
        <w:rPr>
          <w:rFonts w:cs="Times New Roman"/>
          <w:color w:val="auto"/>
          <w:highlight w:val="none"/>
        </w:rPr>
        <w:instrText xml:space="preserve"> HYPERLINK \l _Toc20003 </w:instrText>
      </w:r>
      <w:r>
        <w:rPr>
          <w:rFonts w:cs="Times New Roman"/>
          <w:color w:val="auto"/>
          <w:highlight w:val="none"/>
        </w:rPr>
        <w:fldChar w:fldCharType="separate"/>
      </w:r>
      <w:r>
        <w:rPr>
          <w:rFonts w:hint="default" w:ascii="宋体" w:hAnsi="宋体" w:eastAsia="宋体" w:cs="宋体"/>
          <w:color w:val="auto"/>
          <w:highlight w:val="none"/>
        </w:rPr>
        <w:t xml:space="preserve">2 </w:t>
      </w:r>
      <w:r>
        <w:rPr>
          <w:rFonts w:cs="Times New Roman"/>
          <w:color w:val="auto"/>
          <w:highlight w:val="none"/>
        </w:rPr>
        <w:t>术</w:t>
      </w:r>
      <w:r>
        <w:rPr>
          <w:rFonts w:hint="eastAsia" w:cs="Times New Roman"/>
          <w:color w:val="auto"/>
          <w:highlight w:val="none"/>
          <w:lang w:val="en-US" w:eastAsia="zh-CN"/>
        </w:rPr>
        <w:t xml:space="preserve"> </w:t>
      </w:r>
      <w:r>
        <w:rPr>
          <w:rFonts w:cs="Times New Roman"/>
          <w:color w:val="auto"/>
          <w:highlight w:val="none"/>
        </w:rPr>
        <w:t>语</w:t>
      </w:r>
      <w:r>
        <w:rPr>
          <w:color w:val="auto"/>
          <w:highlight w:val="none"/>
        </w:rPr>
        <w:tab/>
      </w:r>
      <w:r>
        <w:rPr>
          <w:color w:val="auto"/>
          <w:highlight w:val="none"/>
        </w:rPr>
        <w:fldChar w:fldCharType="begin"/>
      </w:r>
      <w:r>
        <w:rPr>
          <w:color w:val="auto"/>
          <w:highlight w:val="none"/>
        </w:rPr>
        <w:instrText xml:space="preserve"> PAGEREF _Toc20003 \h </w:instrText>
      </w:r>
      <w:r>
        <w:rPr>
          <w:color w:val="auto"/>
          <w:highlight w:val="none"/>
        </w:rPr>
        <w:fldChar w:fldCharType="separate"/>
      </w:r>
      <w:r>
        <w:rPr>
          <w:color w:val="auto"/>
          <w:highlight w:val="none"/>
        </w:rPr>
        <w:t>2</w:t>
      </w:r>
      <w:r>
        <w:rPr>
          <w:color w:val="auto"/>
          <w:highlight w:val="none"/>
        </w:rPr>
        <w:fldChar w:fldCharType="end"/>
      </w:r>
      <w:r>
        <w:rPr>
          <w:rFonts w:cs="Times New Roman"/>
          <w:color w:val="auto"/>
          <w:highlight w:val="none"/>
        </w:rPr>
        <w:fldChar w:fldCharType="end"/>
      </w:r>
    </w:p>
    <w:p w14:paraId="5FBB567D">
      <w:pPr>
        <w:pStyle w:val="17"/>
        <w:tabs>
          <w:tab w:val="right" w:leader="dot" w:pos="8306"/>
        </w:tabs>
        <w:rPr>
          <w:color w:val="auto"/>
          <w:highlight w:val="none"/>
        </w:rPr>
      </w:pPr>
      <w:r>
        <w:rPr>
          <w:rFonts w:cs="Times New Roman"/>
          <w:color w:val="auto"/>
          <w:highlight w:val="none"/>
        </w:rPr>
        <w:fldChar w:fldCharType="begin"/>
      </w:r>
      <w:r>
        <w:rPr>
          <w:rFonts w:cs="Times New Roman"/>
          <w:color w:val="auto"/>
          <w:highlight w:val="none"/>
        </w:rPr>
        <w:instrText xml:space="preserve"> HYPERLINK \l _Toc2172 </w:instrText>
      </w:r>
      <w:r>
        <w:rPr>
          <w:rFonts w:cs="Times New Roman"/>
          <w:color w:val="auto"/>
          <w:highlight w:val="none"/>
        </w:rPr>
        <w:fldChar w:fldCharType="separate"/>
      </w:r>
      <w:r>
        <w:rPr>
          <w:rFonts w:hint="default" w:ascii="宋体" w:hAnsi="宋体" w:eastAsia="宋体" w:cs="宋体"/>
          <w:color w:val="auto"/>
          <w:highlight w:val="none"/>
        </w:rPr>
        <w:t xml:space="preserve">3 </w:t>
      </w:r>
      <w:r>
        <w:rPr>
          <w:rFonts w:cs="Times New Roman"/>
          <w:color w:val="auto"/>
          <w:highlight w:val="none"/>
        </w:rPr>
        <w:t>基本规定</w:t>
      </w:r>
      <w:r>
        <w:rPr>
          <w:color w:val="auto"/>
          <w:highlight w:val="none"/>
        </w:rPr>
        <w:tab/>
      </w:r>
      <w:r>
        <w:rPr>
          <w:color w:val="auto"/>
          <w:highlight w:val="none"/>
        </w:rPr>
        <w:fldChar w:fldCharType="begin"/>
      </w:r>
      <w:r>
        <w:rPr>
          <w:color w:val="auto"/>
          <w:highlight w:val="none"/>
        </w:rPr>
        <w:instrText xml:space="preserve"> PAGEREF _Toc2172 \h </w:instrText>
      </w:r>
      <w:r>
        <w:rPr>
          <w:color w:val="auto"/>
          <w:highlight w:val="none"/>
        </w:rPr>
        <w:fldChar w:fldCharType="separate"/>
      </w:r>
      <w:r>
        <w:rPr>
          <w:color w:val="auto"/>
          <w:highlight w:val="none"/>
        </w:rPr>
        <w:t>4</w:t>
      </w:r>
      <w:r>
        <w:rPr>
          <w:color w:val="auto"/>
          <w:highlight w:val="none"/>
        </w:rPr>
        <w:fldChar w:fldCharType="end"/>
      </w:r>
      <w:r>
        <w:rPr>
          <w:rFonts w:cs="Times New Roman"/>
          <w:color w:val="auto"/>
          <w:highlight w:val="none"/>
        </w:rPr>
        <w:fldChar w:fldCharType="end"/>
      </w:r>
    </w:p>
    <w:p w14:paraId="02B68224">
      <w:pPr>
        <w:pStyle w:val="17"/>
        <w:tabs>
          <w:tab w:val="right" w:leader="dot" w:pos="8306"/>
        </w:tabs>
        <w:rPr>
          <w:color w:val="auto"/>
          <w:highlight w:val="none"/>
        </w:rPr>
      </w:pPr>
      <w:r>
        <w:rPr>
          <w:rFonts w:cs="Times New Roman"/>
          <w:color w:val="auto"/>
          <w:highlight w:val="none"/>
        </w:rPr>
        <w:fldChar w:fldCharType="begin"/>
      </w:r>
      <w:r>
        <w:rPr>
          <w:rFonts w:cs="Times New Roman"/>
          <w:color w:val="auto"/>
          <w:highlight w:val="none"/>
        </w:rPr>
        <w:instrText xml:space="preserve"> HYPERLINK \l _Toc9480 </w:instrText>
      </w:r>
      <w:r>
        <w:rPr>
          <w:rFonts w:cs="Times New Roman"/>
          <w:color w:val="auto"/>
          <w:highlight w:val="none"/>
        </w:rPr>
        <w:fldChar w:fldCharType="separate"/>
      </w:r>
      <w:r>
        <w:rPr>
          <w:rFonts w:hint="default" w:ascii="宋体" w:hAnsi="宋体" w:eastAsia="宋体" w:cs="宋体"/>
          <w:color w:val="auto"/>
          <w:highlight w:val="none"/>
        </w:rPr>
        <w:t xml:space="preserve">4 </w:t>
      </w:r>
      <w:r>
        <w:rPr>
          <w:rFonts w:hint="eastAsia" w:cs="Times New Roman"/>
          <w:color w:val="auto"/>
          <w:highlight w:val="none"/>
          <w:lang w:val="en-US" w:eastAsia="zh-CN"/>
        </w:rPr>
        <w:t>建筑防火</w:t>
      </w:r>
      <w:r>
        <w:rPr>
          <w:color w:val="auto"/>
          <w:highlight w:val="none"/>
        </w:rPr>
        <w:tab/>
      </w:r>
      <w:r>
        <w:rPr>
          <w:color w:val="auto"/>
          <w:highlight w:val="none"/>
        </w:rPr>
        <w:fldChar w:fldCharType="begin"/>
      </w:r>
      <w:r>
        <w:rPr>
          <w:color w:val="auto"/>
          <w:highlight w:val="none"/>
        </w:rPr>
        <w:instrText xml:space="preserve"> PAGEREF _Toc9480 \h </w:instrText>
      </w:r>
      <w:r>
        <w:rPr>
          <w:color w:val="auto"/>
          <w:highlight w:val="none"/>
        </w:rPr>
        <w:fldChar w:fldCharType="separate"/>
      </w:r>
      <w:r>
        <w:rPr>
          <w:color w:val="auto"/>
          <w:highlight w:val="none"/>
        </w:rPr>
        <w:t>4</w:t>
      </w:r>
      <w:r>
        <w:rPr>
          <w:color w:val="auto"/>
          <w:highlight w:val="none"/>
        </w:rPr>
        <w:fldChar w:fldCharType="end"/>
      </w:r>
      <w:r>
        <w:rPr>
          <w:rFonts w:cs="Times New Roman"/>
          <w:color w:val="auto"/>
          <w:highlight w:val="none"/>
        </w:rPr>
        <w:fldChar w:fldCharType="end"/>
      </w:r>
    </w:p>
    <w:p w14:paraId="6C79D62C">
      <w:pPr>
        <w:pStyle w:val="20"/>
        <w:tabs>
          <w:tab w:val="right" w:leader="dot" w:pos="8306"/>
        </w:tabs>
        <w:rPr>
          <w:color w:val="auto"/>
          <w:highlight w:val="none"/>
        </w:rPr>
      </w:pPr>
      <w:r>
        <w:rPr>
          <w:rFonts w:cs="Times New Roman"/>
          <w:color w:val="auto"/>
          <w:highlight w:val="none"/>
        </w:rPr>
        <w:fldChar w:fldCharType="begin"/>
      </w:r>
      <w:r>
        <w:rPr>
          <w:rFonts w:cs="Times New Roman"/>
          <w:color w:val="auto"/>
          <w:highlight w:val="none"/>
        </w:rPr>
        <w:instrText xml:space="preserve"> HYPERLINK \l _Toc30287 </w:instrText>
      </w:r>
      <w:r>
        <w:rPr>
          <w:rFonts w:cs="Times New Roman"/>
          <w:color w:val="auto"/>
          <w:highlight w:val="none"/>
        </w:rPr>
        <w:fldChar w:fldCharType="separate"/>
      </w:r>
      <w:r>
        <w:rPr>
          <w:rFonts w:hint="default" w:ascii="宋体" w:hAnsi="宋体" w:eastAsia="宋体" w:cs="宋体"/>
          <w:color w:val="auto"/>
          <w:highlight w:val="none"/>
        </w:rPr>
        <w:t xml:space="preserve">4.1 </w:t>
      </w:r>
      <w:r>
        <w:rPr>
          <w:rFonts w:hint="eastAsia" w:ascii="Times New Roman" w:hAnsi="Times New Roman" w:cs="Times New Roman"/>
          <w:color w:val="auto"/>
          <w:highlight w:val="none"/>
          <w:lang w:val="en-US" w:eastAsia="zh-CN"/>
        </w:rPr>
        <w:t>建筑分类与耐火等级</w:t>
      </w:r>
      <w:r>
        <w:rPr>
          <w:color w:val="auto"/>
          <w:highlight w:val="none"/>
        </w:rPr>
        <w:tab/>
      </w:r>
      <w:r>
        <w:rPr>
          <w:color w:val="auto"/>
          <w:highlight w:val="none"/>
        </w:rPr>
        <w:fldChar w:fldCharType="begin"/>
      </w:r>
      <w:r>
        <w:rPr>
          <w:color w:val="auto"/>
          <w:highlight w:val="none"/>
        </w:rPr>
        <w:instrText xml:space="preserve"> PAGEREF _Toc30287 \h </w:instrText>
      </w:r>
      <w:r>
        <w:rPr>
          <w:color w:val="auto"/>
          <w:highlight w:val="none"/>
        </w:rPr>
        <w:fldChar w:fldCharType="separate"/>
      </w:r>
      <w:r>
        <w:rPr>
          <w:color w:val="auto"/>
          <w:highlight w:val="none"/>
        </w:rPr>
        <w:t>7</w:t>
      </w:r>
      <w:r>
        <w:rPr>
          <w:color w:val="auto"/>
          <w:highlight w:val="none"/>
        </w:rPr>
        <w:fldChar w:fldCharType="end"/>
      </w:r>
      <w:r>
        <w:rPr>
          <w:rFonts w:cs="Times New Roman"/>
          <w:color w:val="auto"/>
          <w:highlight w:val="none"/>
        </w:rPr>
        <w:fldChar w:fldCharType="end"/>
      </w:r>
    </w:p>
    <w:p w14:paraId="52699039">
      <w:pPr>
        <w:pStyle w:val="20"/>
        <w:tabs>
          <w:tab w:val="right" w:leader="dot" w:pos="8306"/>
        </w:tabs>
        <w:rPr>
          <w:color w:val="auto"/>
          <w:highlight w:val="none"/>
        </w:rPr>
      </w:pPr>
      <w:r>
        <w:rPr>
          <w:rFonts w:cs="Times New Roman"/>
          <w:color w:val="auto"/>
          <w:highlight w:val="none"/>
        </w:rPr>
        <w:fldChar w:fldCharType="begin"/>
      </w:r>
      <w:r>
        <w:rPr>
          <w:rFonts w:cs="Times New Roman"/>
          <w:color w:val="auto"/>
          <w:highlight w:val="none"/>
        </w:rPr>
        <w:instrText xml:space="preserve"> HYPERLINK \l _Toc12455 </w:instrText>
      </w:r>
      <w:r>
        <w:rPr>
          <w:rFonts w:cs="Times New Roman"/>
          <w:color w:val="auto"/>
          <w:highlight w:val="none"/>
        </w:rPr>
        <w:fldChar w:fldCharType="separate"/>
      </w:r>
      <w:r>
        <w:rPr>
          <w:rFonts w:hint="default" w:ascii="宋体" w:hAnsi="宋体" w:eastAsia="宋体" w:cs="宋体"/>
          <w:color w:val="auto"/>
          <w:highlight w:val="none"/>
          <w:lang w:val="en-US" w:eastAsia="zh-CN"/>
        </w:rPr>
        <w:t xml:space="preserve">4.2 </w:t>
      </w:r>
      <w:r>
        <w:rPr>
          <w:rFonts w:hint="eastAsia" w:ascii="Times New Roman" w:hAnsi="Times New Roman" w:cs="Times New Roman"/>
          <w:color w:val="auto"/>
          <w:highlight w:val="none"/>
          <w:lang w:val="en-US" w:eastAsia="zh-CN"/>
        </w:rPr>
        <w:t>建筑总平面布局</w:t>
      </w:r>
      <w:r>
        <w:rPr>
          <w:color w:val="auto"/>
          <w:highlight w:val="none"/>
        </w:rPr>
        <w:tab/>
      </w:r>
      <w:r>
        <w:rPr>
          <w:color w:val="auto"/>
          <w:highlight w:val="none"/>
        </w:rPr>
        <w:fldChar w:fldCharType="begin"/>
      </w:r>
      <w:r>
        <w:rPr>
          <w:color w:val="auto"/>
          <w:highlight w:val="none"/>
        </w:rPr>
        <w:instrText xml:space="preserve"> PAGEREF _Toc12455 \h </w:instrText>
      </w:r>
      <w:r>
        <w:rPr>
          <w:color w:val="auto"/>
          <w:highlight w:val="none"/>
        </w:rPr>
        <w:fldChar w:fldCharType="separate"/>
      </w:r>
      <w:r>
        <w:rPr>
          <w:color w:val="auto"/>
          <w:highlight w:val="none"/>
        </w:rPr>
        <w:t>7</w:t>
      </w:r>
      <w:r>
        <w:rPr>
          <w:color w:val="auto"/>
          <w:highlight w:val="none"/>
        </w:rPr>
        <w:fldChar w:fldCharType="end"/>
      </w:r>
      <w:r>
        <w:rPr>
          <w:rFonts w:cs="Times New Roman"/>
          <w:color w:val="auto"/>
          <w:highlight w:val="none"/>
        </w:rPr>
        <w:fldChar w:fldCharType="end"/>
      </w:r>
    </w:p>
    <w:p w14:paraId="150189FA">
      <w:pPr>
        <w:pStyle w:val="20"/>
        <w:tabs>
          <w:tab w:val="right" w:leader="dot" w:pos="8306"/>
        </w:tabs>
        <w:rPr>
          <w:color w:val="auto"/>
          <w:highlight w:val="none"/>
        </w:rPr>
      </w:pPr>
      <w:r>
        <w:rPr>
          <w:rFonts w:cs="Times New Roman"/>
          <w:color w:val="auto"/>
          <w:highlight w:val="none"/>
        </w:rPr>
        <w:fldChar w:fldCharType="begin"/>
      </w:r>
      <w:r>
        <w:rPr>
          <w:rFonts w:cs="Times New Roman"/>
          <w:color w:val="auto"/>
          <w:highlight w:val="none"/>
        </w:rPr>
        <w:instrText xml:space="preserve"> HYPERLINK \l _Toc20042 </w:instrText>
      </w:r>
      <w:r>
        <w:rPr>
          <w:rFonts w:cs="Times New Roman"/>
          <w:color w:val="auto"/>
          <w:highlight w:val="none"/>
        </w:rPr>
        <w:fldChar w:fldCharType="separate"/>
      </w:r>
      <w:r>
        <w:rPr>
          <w:rFonts w:hint="default" w:ascii="宋体" w:hAnsi="宋体" w:eastAsia="宋体" w:cs="宋体"/>
          <w:color w:val="auto"/>
          <w:highlight w:val="none"/>
        </w:rPr>
        <w:t xml:space="preserve">4.3 </w:t>
      </w:r>
      <w:r>
        <w:rPr>
          <w:rFonts w:hint="eastAsia"/>
          <w:color w:val="auto"/>
          <w:highlight w:val="none"/>
        </w:rPr>
        <w:t>建筑防火分区和平面布置</w:t>
      </w:r>
      <w:r>
        <w:rPr>
          <w:color w:val="auto"/>
          <w:highlight w:val="none"/>
        </w:rPr>
        <w:tab/>
      </w:r>
      <w:r>
        <w:rPr>
          <w:color w:val="auto"/>
          <w:highlight w:val="none"/>
        </w:rPr>
        <w:fldChar w:fldCharType="begin"/>
      </w:r>
      <w:r>
        <w:rPr>
          <w:color w:val="auto"/>
          <w:highlight w:val="none"/>
        </w:rPr>
        <w:instrText xml:space="preserve"> PAGEREF _Toc20042 \h </w:instrText>
      </w:r>
      <w:r>
        <w:rPr>
          <w:color w:val="auto"/>
          <w:highlight w:val="none"/>
        </w:rPr>
        <w:fldChar w:fldCharType="separate"/>
      </w:r>
      <w:r>
        <w:rPr>
          <w:color w:val="auto"/>
          <w:highlight w:val="none"/>
        </w:rPr>
        <w:t>8</w:t>
      </w:r>
      <w:r>
        <w:rPr>
          <w:color w:val="auto"/>
          <w:highlight w:val="none"/>
        </w:rPr>
        <w:fldChar w:fldCharType="end"/>
      </w:r>
      <w:r>
        <w:rPr>
          <w:rFonts w:cs="Times New Roman"/>
          <w:color w:val="auto"/>
          <w:highlight w:val="none"/>
        </w:rPr>
        <w:fldChar w:fldCharType="end"/>
      </w:r>
    </w:p>
    <w:p w14:paraId="19F3AD22">
      <w:pPr>
        <w:pStyle w:val="20"/>
        <w:tabs>
          <w:tab w:val="right" w:leader="dot" w:pos="8306"/>
        </w:tabs>
        <w:rPr>
          <w:color w:val="auto"/>
          <w:highlight w:val="none"/>
        </w:rPr>
      </w:pPr>
      <w:r>
        <w:rPr>
          <w:rFonts w:cs="Times New Roman"/>
          <w:color w:val="auto"/>
          <w:highlight w:val="none"/>
        </w:rPr>
        <w:fldChar w:fldCharType="begin"/>
      </w:r>
      <w:r>
        <w:rPr>
          <w:rFonts w:cs="Times New Roman"/>
          <w:color w:val="auto"/>
          <w:highlight w:val="none"/>
        </w:rPr>
        <w:instrText xml:space="preserve"> HYPERLINK \l _Toc18892 </w:instrText>
      </w:r>
      <w:r>
        <w:rPr>
          <w:rFonts w:cs="Times New Roman"/>
          <w:color w:val="auto"/>
          <w:highlight w:val="none"/>
        </w:rPr>
        <w:fldChar w:fldCharType="separate"/>
      </w:r>
      <w:r>
        <w:rPr>
          <w:rFonts w:hint="default" w:ascii="宋体" w:hAnsi="宋体" w:eastAsia="宋体" w:cs="宋体"/>
          <w:color w:val="auto"/>
          <w:highlight w:val="none"/>
        </w:rPr>
        <w:t xml:space="preserve">4.4 </w:t>
      </w:r>
      <w:r>
        <w:rPr>
          <w:rFonts w:hint="eastAsia"/>
          <w:color w:val="auto"/>
          <w:highlight w:val="none"/>
        </w:rPr>
        <w:t>安全疏散和避难</w:t>
      </w:r>
      <w:r>
        <w:rPr>
          <w:color w:val="auto"/>
          <w:highlight w:val="none"/>
        </w:rPr>
        <w:tab/>
      </w:r>
      <w:r>
        <w:rPr>
          <w:color w:val="auto"/>
          <w:highlight w:val="none"/>
        </w:rPr>
        <w:fldChar w:fldCharType="begin"/>
      </w:r>
      <w:r>
        <w:rPr>
          <w:color w:val="auto"/>
          <w:highlight w:val="none"/>
        </w:rPr>
        <w:instrText xml:space="preserve"> PAGEREF _Toc18892 \h </w:instrText>
      </w:r>
      <w:r>
        <w:rPr>
          <w:color w:val="auto"/>
          <w:highlight w:val="none"/>
        </w:rPr>
        <w:fldChar w:fldCharType="separate"/>
      </w:r>
      <w:r>
        <w:rPr>
          <w:color w:val="auto"/>
          <w:highlight w:val="none"/>
        </w:rPr>
        <w:t>10</w:t>
      </w:r>
      <w:r>
        <w:rPr>
          <w:color w:val="auto"/>
          <w:highlight w:val="none"/>
        </w:rPr>
        <w:fldChar w:fldCharType="end"/>
      </w:r>
      <w:r>
        <w:rPr>
          <w:rFonts w:cs="Times New Roman"/>
          <w:color w:val="auto"/>
          <w:highlight w:val="none"/>
        </w:rPr>
        <w:fldChar w:fldCharType="end"/>
      </w:r>
    </w:p>
    <w:p w14:paraId="6526DF3D">
      <w:pPr>
        <w:pStyle w:val="20"/>
        <w:tabs>
          <w:tab w:val="right" w:leader="dot" w:pos="8306"/>
        </w:tabs>
        <w:rPr>
          <w:color w:val="auto"/>
          <w:highlight w:val="none"/>
        </w:rPr>
      </w:pPr>
      <w:r>
        <w:rPr>
          <w:rFonts w:cs="Times New Roman"/>
          <w:color w:val="auto"/>
          <w:highlight w:val="none"/>
        </w:rPr>
        <w:fldChar w:fldCharType="begin"/>
      </w:r>
      <w:r>
        <w:rPr>
          <w:rFonts w:cs="Times New Roman"/>
          <w:color w:val="auto"/>
          <w:highlight w:val="none"/>
        </w:rPr>
        <w:instrText xml:space="preserve"> HYPERLINK \l _Toc27313 </w:instrText>
      </w:r>
      <w:r>
        <w:rPr>
          <w:rFonts w:cs="Times New Roman"/>
          <w:color w:val="auto"/>
          <w:highlight w:val="none"/>
        </w:rPr>
        <w:fldChar w:fldCharType="separate"/>
      </w:r>
      <w:r>
        <w:rPr>
          <w:rFonts w:hint="default" w:ascii="宋体" w:hAnsi="宋体" w:eastAsia="宋体" w:cs="宋体"/>
          <w:color w:val="auto"/>
          <w:highlight w:val="none"/>
        </w:rPr>
        <w:t xml:space="preserve">4.5 </w:t>
      </w:r>
      <w:r>
        <w:rPr>
          <w:rFonts w:hint="eastAsia"/>
          <w:color w:val="auto"/>
          <w:highlight w:val="none"/>
        </w:rPr>
        <w:t>建筑构造与装修</w:t>
      </w:r>
      <w:r>
        <w:rPr>
          <w:color w:val="auto"/>
          <w:highlight w:val="none"/>
        </w:rPr>
        <w:tab/>
      </w:r>
      <w:r>
        <w:rPr>
          <w:color w:val="auto"/>
          <w:highlight w:val="none"/>
        </w:rPr>
        <w:fldChar w:fldCharType="begin"/>
      </w:r>
      <w:r>
        <w:rPr>
          <w:color w:val="auto"/>
          <w:highlight w:val="none"/>
        </w:rPr>
        <w:instrText xml:space="preserve"> PAGEREF _Toc27313 \h </w:instrText>
      </w:r>
      <w:r>
        <w:rPr>
          <w:color w:val="auto"/>
          <w:highlight w:val="none"/>
        </w:rPr>
        <w:fldChar w:fldCharType="separate"/>
      </w:r>
      <w:r>
        <w:rPr>
          <w:color w:val="auto"/>
          <w:highlight w:val="none"/>
        </w:rPr>
        <w:t>12</w:t>
      </w:r>
      <w:r>
        <w:rPr>
          <w:color w:val="auto"/>
          <w:highlight w:val="none"/>
        </w:rPr>
        <w:fldChar w:fldCharType="end"/>
      </w:r>
      <w:r>
        <w:rPr>
          <w:rFonts w:cs="Times New Roman"/>
          <w:color w:val="auto"/>
          <w:highlight w:val="none"/>
        </w:rPr>
        <w:fldChar w:fldCharType="end"/>
      </w:r>
    </w:p>
    <w:p w14:paraId="635D4DFB">
      <w:pPr>
        <w:pStyle w:val="20"/>
        <w:tabs>
          <w:tab w:val="right" w:leader="dot" w:pos="8306"/>
        </w:tabs>
        <w:rPr>
          <w:color w:val="auto"/>
          <w:highlight w:val="none"/>
        </w:rPr>
      </w:pPr>
      <w:r>
        <w:rPr>
          <w:rFonts w:cs="Times New Roman"/>
          <w:color w:val="auto"/>
          <w:highlight w:val="none"/>
        </w:rPr>
        <w:fldChar w:fldCharType="begin"/>
      </w:r>
      <w:r>
        <w:rPr>
          <w:rFonts w:cs="Times New Roman"/>
          <w:color w:val="auto"/>
          <w:highlight w:val="none"/>
        </w:rPr>
        <w:instrText xml:space="preserve"> HYPERLINK \l _Toc23475 </w:instrText>
      </w:r>
      <w:r>
        <w:rPr>
          <w:rFonts w:cs="Times New Roman"/>
          <w:color w:val="auto"/>
          <w:highlight w:val="none"/>
        </w:rPr>
        <w:fldChar w:fldCharType="separate"/>
      </w:r>
      <w:r>
        <w:rPr>
          <w:rFonts w:hint="default" w:ascii="宋体" w:hAnsi="宋体" w:eastAsia="宋体" w:cs="宋体"/>
          <w:color w:val="auto"/>
          <w:highlight w:val="none"/>
        </w:rPr>
        <w:t xml:space="preserve">4.6 </w:t>
      </w:r>
      <w:r>
        <w:rPr>
          <w:rFonts w:hint="eastAsia"/>
          <w:color w:val="auto"/>
          <w:highlight w:val="none"/>
        </w:rPr>
        <w:t>灭火救援设施</w:t>
      </w:r>
      <w:r>
        <w:rPr>
          <w:color w:val="auto"/>
          <w:highlight w:val="none"/>
        </w:rPr>
        <w:tab/>
      </w:r>
      <w:r>
        <w:rPr>
          <w:color w:val="auto"/>
          <w:highlight w:val="none"/>
        </w:rPr>
        <w:fldChar w:fldCharType="begin"/>
      </w:r>
      <w:r>
        <w:rPr>
          <w:color w:val="auto"/>
          <w:highlight w:val="none"/>
        </w:rPr>
        <w:instrText xml:space="preserve"> PAGEREF _Toc23475 \h </w:instrText>
      </w:r>
      <w:r>
        <w:rPr>
          <w:color w:val="auto"/>
          <w:highlight w:val="none"/>
        </w:rPr>
        <w:fldChar w:fldCharType="separate"/>
      </w:r>
      <w:r>
        <w:rPr>
          <w:color w:val="auto"/>
          <w:highlight w:val="none"/>
        </w:rPr>
        <w:t>15</w:t>
      </w:r>
      <w:r>
        <w:rPr>
          <w:color w:val="auto"/>
          <w:highlight w:val="none"/>
        </w:rPr>
        <w:fldChar w:fldCharType="end"/>
      </w:r>
      <w:r>
        <w:rPr>
          <w:rFonts w:cs="Times New Roman"/>
          <w:color w:val="auto"/>
          <w:highlight w:val="none"/>
        </w:rPr>
        <w:fldChar w:fldCharType="end"/>
      </w:r>
    </w:p>
    <w:p w14:paraId="1D62D2CE">
      <w:pPr>
        <w:pStyle w:val="17"/>
        <w:tabs>
          <w:tab w:val="right" w:leader="dot" w:pos="8306"/>
        </w:tabs>
        <w:rPr>
          <w:color w:val="auto"/>
          <w:highlight w:val="none"/>
        </w:rPr>
      </w:pPr>
      <w:r>
        <w:rPr>
          <w:rFonts w:cs="Times New Roman"/>
          <w:color w:val="auto"/>
          <w:highlight w:val="none"/>
        </w:rPr>
        <w:fldChar w:fldCharType="begin"/>
      </w:r>
      <w:r>
        <w:rPr>
          <w:rFonts w:cs="Times New Roman"/>
          <w:color w:val="auto"/>
          <w:highlight w:val="none"/>
        </w:rPr>
        <w:instrText xml:space="preserve"> HYPERLINK \l _Toc9166 </w:instrText>
      </w:r>
      <w:r>
        <w:rPr>
          <w:rFonts w:cs="Times New Roman"/>
          <w:color w:val="auto"/>
          <w:highlight w:val="none"/>
        </w:rPr>
        <w:fldChar w:fldCharType="separate"/>
      </w:r>
      <w:r>
        <w:rPr>
          <w:rFonts w:hint="default" w:ascii="宋体" w:hAnsi="宋体" w:eastAsia="宋体" w:cs="宋体"/>
          <w:color w:val="auto"/>
          <w:highlight w:val="none"/>
        </w:rPr>
        <w:t xml:space="preserve">5 </w:t>
      </w:r>
      <w:r>
        <w:rPr>
          <w:rFonts w:hint="eastAsia" w:cs="Times New Roman"/>
          <w:color w:val="auto"/>
          <w:highlight w:val="none"/>
          <w:lang w:val="en-US" w:eastAsia="zh-CN"/>
        </w:rPr>
        <w:t>消防给水和灭火设施</w:t>
      </w:r>
      <w:r>
        <w:rPr>
          <w:color w:val="auto"/>
          <w:highlight w:val="none"/>
        </w:rPr>
        <w:tab/>
      </w:r>
      <w:r>
        <w:rPr>
          <w:color w:val="auto"/>
          <w:highlight w:val="none"/>
        </w:rPr>
        <w:fldChar w:fldCharType="begin"/>
      </w:r>
      <w:r>
        <w:rPr>
          <w:color w:val="auto"/>
          <w:highlight w:val="none"/>
        </w:rPr>
        <w:instrText xml:space="preserve"> PAGEREF _Toc9166 \h </w:instrText>
      </w:r>
      <w:r>
        <w:rPr>
          <w:color w:val="auto"/>
          <w:highlight w:val="none"/>
        </w:rPr>
        <w:fldChar w:fldCharType="separate"/>
      </w:r>
      <w:r>
        <w:rPr>
          <w:color w:val="auto"/>
          <w:highlight w:val="none"/>
        </w:rPr>
        <w:t>19</w:t>
      </w:r>
      <w:r>
        <w:rPr>
          <w:color w:val="auto"/>
          <w:highlight w:val="none"/>
        </w:rPr>
        <w:fldChar w:fldCharType="end"/>
      </w:r>
      <w:r>
        <w:rPr>
          <w:rFonts w:cs="Times New Roman"/>
          <w:color w:val="auto"/>
          <w:highlight w:val="none"/>
        </w:rPr>
        <w:fldChar w:fldCharType="end"/>
      </w:r>
    </w:p>
    <w:p w14:paraId="0EF7C674">
      <w:pPr>
        <w:pStyle w:val="20"/>
        <w:tabs>
          <w:tab w:val="right" w:leader="dot" w:pos="8306"/>
        </w:tabs>
        <w:rPr>
          <w:color w:val="auto"/>
          <w:highlight w:val="none"/>
        </w:rPr>
      </w:pPr>
      <w:r>
        <w:rPr>
          <w:rFonts w:cs="Times New Roman"/>
          <w:color w:val="auto"/>
          <w:highlight w:val="none"/>
        </w:rPr>
        <w:fldChar w:fldCharType="begin"/>
      </w:r>
      <w:r>
        <w:rPr>
          <w:rFonts w:cs="Times New Roman"/>
          <w:color w:val="auto"/>
          <w:highlight w:val="none"/>
        </w:rPr>
        <w:instrText xml:space="preserve"> HYPERLINK \l _Toc30602 </w:instrText>
      </w:r>
      <w:r>
        <w:rPr>
          <w:rFonts w:cs="Times New Roman"/>
          <w:color w:val="auto"/>
          <w:highlight w:val="none"/>
        </w:rPr>
        <w:fldChar w:fldCharType="separate"/>
      </w:r>
      <w:r>
        <w:rPr>
          <w:rFonts w:hint="default" w:ascii="宋体" w:hAnsi="宋体" w:eastAsia="宋体" w:cs="宋体"/>
          <w:color w:val="auto"/>
          <w:highlight w:val="none"/>
        </w:rPr>
        <w:t xml:space="preserve">5.1 </w:t>
      </w:r>
      <w:r>
        <w:rPr>
          <w:rFonts w:hint="eastAsia" w:ascii="Times New Roman" w:hAnsi="Times New Roman" w:cs="Times New Roman"/>
          <w:color w:val="auto"/>
          <w:highlight w:val="none"/>
          <w:lang w:val="en-US" w:eastAsia="zh-CN"/>
        </w:rPr>
        <w:t>一般规定</w:t>
      </w:r>
      <w:r>
        <w:rPr>
          <w:color w:val="auto"/>
          <w:highlight w:val="none"/>
        </w:rPr>
        <w:tab/>
      </w:r>
      <w:r>
        <w:rPr>
          <w:color w:val="auto"/>
          <w:highlight w:val="none"/>
        </w:rPr>
        <w:fldChar w:fldCharType="begin"/>
      </w:r>
      <w:r>
        <w:rPr>
          <w:color w:val="auto"/>
          <w:highlight w:val="none"/>
        </w:rPr>
        <w:instrText xml:space="preserve"> PAGEREF _Toc30602 \h </w:instrText>
      </w:r>
      <w:r>
        <w:rPr>
          <w:color w:val="auto"/>
          <w:highlight w:val="none"/>
        </w:rPr>
        <w:fldChar w:fldCharType="separate"/>
      </w:r>
      <w:r>
        <w:rPr>
          <w:color w:val="auto"/>
          <w:highlight w:val="none"/>
        </w:rPr>
        <w:t>19</w:t>
      </w:r>
      <w:r>
        <w:rPr>
          <w:color w:val="auto"/>
          <w:highlight w:val="none"/>
        </w:rPr>
        <w:fldChar w:fldCharType="end"/>
      </w:r>
      <w:r>
        <w:rPr>
          <w:rFonts w:cs="Times New Roman"/>
          <w:color w:val="auto"/>
          <w:highlight w:val="none"/>
        </w:rPr>
        <w:fldChar w:fldCharType="end"/>
      </w:r>
    </w:p>
    <w:p w14:paraId="589C8F35">
      <w:pPr>
        <w:pStyle w:val="20"/>
        <w:tabs>
          <w:tab w:val="right" w:leader="dot" w:pos="8306"/>
        </w:tabs>
        <w:rPr>
          <w:color w:val="auto"/>
          <w:highlight w:val="none"/>
        </w:rPr>
      </w:pPr>
      <w:r>
        <w:rPr>
          <w:rFonts w:cs="Times New Roman"/>
          <w:color w:val="auto"/>
          <w:highlight w:val="none"/>
        </w:rPr>
        <w:fldChar w:fldCharType="begin"/>
      </w:r>
      <w:r>
        <w:rPr>
          <w:rFonts w:cs="Times New Roman"/>
          <w:color w:val="auto"/>
          <w:highlight w:val="none"/>
        </w:rPr>
        <w:instrText xml:space="preserve"> HYPERLINK \l _Toc16348 </w:instrText>
      </w:r>
      <w:r>
        <w:rPr>
          <w:rFonts w:cs="Times New Roman"/>
          <w:color w:val="auto"/>
          <w:highlight w:val="none"/>
        </w:rPr>
        <w:fldChar w:fldCharType="separate"/>
      </w:r>
      <w:r>
        <w:rPr>
          <w:rFonts w:hint="default" w:ascii="宋体" w:hAnsi="宋体" w:eastAsia="宋体" w:cs="宋体"/>
          <w:color w:val="auto"/>
          <w:highlight w:val="none"/>
        </w:rPr>
        <w:t xml:space="preserve">5.2 </w:t>
      </w:r>
      <w:r>
        <w:rPr>
          <w:rFonts w:ascii="Times New Roman" w:hAnsi="Times New Roman" w:eastAsia="宋体" w:cs="Times New Roman"/>
          <w:snapToGrid/>
          <w:color w:val="auto"/>
          <w:kern w:val="2"/>
          <w:szCs w:val="24"/>
          <w:highlight w:val="none"/>
          <w:lang w:eastAsia="zh-CN"/>
        </w:rPr>
        <w:t>消防水池、高位消防水箱及水泵房</w:t>
      </w:r>
      <w:r>
        <w:rPr>
          <w:color w:val="auto"/>
          <w:highlight w:val="none"/>
        </w:rPr>
        <w:tab/>
      </w:r>
      <w:r>
        <w:rPr>
          <w:color w:val="auto"/>
          <w:highlight w:val="none"/>
        </w:rPr>
        <w:fldChar w:fldCharType="begin"/>
      </w:r>
      <w:r>
        <w:rPr>
          <w:color w:val="auto"/>
          <w:highlight w:val="none"/>
        </w:rPr>
        <w:instrText xml:space="preserve"> PAGEREF _Toc16348 \h </w:instrText>
      </w:r>
      <w:r>
        <w:rPr>
          <w:color w:val="auto"/>
          <w:highlight w:val="none"/>
        </w:rPr>
        <w:fldChar w:fldCharType="separate"/>
      </w:r>
      <w:r>
        <w:rPr>
          <w:color w:val="auto"/>
          <w:highlight w:val="none"/>
        </w:rPr>
        <w:t>19</w:t>
      </w:r>
      <w:r>
        <w:rPr>
          <w:color w:val="auto"/>
          <w:highlight w:val="none"/>
        </w:rPr>
        <w:fldChar w:fldCharType="end"/>
      </w:r>
      <w:r>
        <w:rPr>
          <w:rFonts w:cs="Times New Roman"/>
          <w:color w:val="auto"/>
          <w:highlight w:val="none"/>
        </w:rPr>
        <w:fldChar w:fldCharType="end"/>
      </w:r>
    </w:p>
    <w:p w14:paraId="6453583C">
      <w:pPr>
        <w:pStyle w:val="20"/>
        <w:tabs>
          <w:tab w:val="right" w:leader="dot" w:pos="8306"/>
        </w:tabs>
        <w:rPr>
          <w:color w:val="auto"/>
          <w:highlight w:val="none"/>
        </w:rPr>
      </w:pPr>
      <w:r>
        <w:rPr>
          <w:rFonts w:cs="Times New Roman"/>
          <w:color w:val="auto"/>
          <w:highlight w:val="none"/>
        </w:rPr>
        <w:fldChar w:fldCharType="begin"/>
      </w:r>
      <w:r>
        <w:rPr>
          <w:rFonts w:cs="Times New Roman"/>
          <w:color w:val="auto"/>
          <w:highlight w:val="none"/>
        </w:rPr>
        <w:instrText xml:space="preserve"> HYPERLINK \l _Toc1349 </w:instrText>
      </w:r>
      <w:r>
        <w:rPr>
          <w:rFonts w:cs="Times New Roman"/>
          <w:color w:val="auto"/>
          <w:highlight w:val="none"/>
        </w:rPr>
        <w:fldChar w:fldCharType="separate"/>
      </w:r>
      <w:r>
        <w:rPr>
          <w:rFonts w:hint="default" w:ascii="宋体" w:hAnsi="宋体" w:eastAsia="宋体" w:cs="宋体"/>
          <w:color w:val="auto"/>
          <w:highlight w:val="none"/>
        </w:rPr>
        <w:t xml:space="preserve">5.3 </w:t>
      </w:r>
      <w:r>
        <w:rPr>
          <w:color w:val="auto"/>
          <w:highlight w:val="none"/>
          <w:lang w:eastAsia="zh-CN"/>
        </w:rPr>
        <w:t>室外消火栓系统</w:t>
      </w:r>
      <w:r>
        <w:rPr>
          <w:color w:val="auto"/>
          <w:highlight w:val="none"/>
        </w:rPr>
        <w:tab/>
      </w:r>
      <w:r>
        <w:rPr>
          <w:color w:val="auto"/>
          <w:highlight w:val="none"/>
        </w:rPr>
        <w:fldChar w:fldCharType="begin"/>
      </w:r>
      <w:r>
        <w:rPr>
          <w:color w:val="auto"/>
          <w:highlight w:val="none"/>
        </w:rPr>
        <w:instrText xml:space="preserve"> PAGEREF _Toc1349 \h </w:instrText>
      </w:r>
      <w:r>
        <w:rPr>
          <w:color w:val="auto"/>
          <w:highlight w:val="none"/>
        </w:rPr>
        <w:fldChar w:fldCharType="separate"/>
      </w:r>
      <w:r>
        <w:rPr>
          <w:color w:val="auto"/>
          <w:highlight w:val="none"/>
        </w:rPr>
        <w:t>20</w:t>
      </w:r>
      <w:r>
        <w:rPr>
          <w:color w:val="auto"/>
          <w:highlight w:val="none"/>
        </w:rPr>
        <w:fldChar w:fldCharType="end"/>
      </w:r>
      <w:r>
        <w:rPr>
          <w:rFonts w:cs="Times New Roman"/>
          <w:color w:val="auto"/>
          <w:highlight w:val="none"/>
        </w:rPr>
        <w:fldChar w:fldCharType="end"/>
      </w:r>
    </w:p>
    <w:p w14:paraId="0960265B">
      <w:pPr>
        <w:pStyle w:val="20"/>
        <w:tabs>
          <w:tab w:val="right" w:leader="dot" w:pos="8306"/>
        </w:tabs>
        <w:rPr>
          <w:color w:val="auto"/>
          <w:highlight w:val="none"/>
        </w:rPr>
      </w:pPr>
      <w:r>
        <w:rPr>
          <w:rFonts w:cs="Times New Roman"/>
          <w:color w:val="auto"/>
          <w:highlight w:val="none"/>
        </w:rPr>
        <w:fldChar w:fldCharType="begin"/>
      </w:r>
      <w:r>
        <w:rPr>
          <w:rFonts w:cs="Times New Roman"/>
          <w:color w:val="auto"/>
          <w:highlight w:val="none"/>
        </w:rPr>
        <w:instrText xml:space="preserve"> HYPERLINK \l _Toc24347 </w:instrText>
      </w:r>
      <w:r>
        <w:rPr>
          <w:rFonts w:cs="Times New Roman"/>
          <w:color w:val="auto"/>
          <w:highlight w:val="none"/>
        </w:rPr>
        <w:fldChar w:fldCharType="separate"/>
      </w:r>
      <w:r>
        <w:rPr>
          <w:rFonts w:hint="default" w:ascii="宋体" w:hAnsi="宋体" w:eastAsia="宋体" w:cs="宋体"/>
          <w:color w:val="auto"/>
          <w:highlight w:val="none"/>
          <w:lang w:eastAsia="zh-CN"/>
        </w:rPr>
        <w:t xml:space="preserve">5.4 </w:t>
      </w:r>
      <w:r>
        <w:rPr>
          <w:color w:val="auto"/>
          <w:highlight w:val="none"/>
          <w:lang w:eastAsia="zh-CN"/>
        </w:rPr>
        <w:t>室内消火栓系统</w:t>
      </w:r>
      <w:r>
        <w:rPr>
          <w:color w:val="auto"/>
          <w:highlight w:val="none"/>
        </w:rPr>
        <w:tab/>
      </w:r>
      <w:r>
        <w:rPr>
          <w:color w:val="auto"/>
          <w:highlight w:val="none"/>
        </w:rPr>
        <w:fldChar w:fldCharType="begin"/>
      </w:r>
      <w:r>
        <w:rPr>
          <w:color w:val="auto"/>
          <w:highlight w:val="none"/>
        </w:rPr>
        <w:instrText xml:space="preserve"> PAGEREF _Toc24347 \h </w:instrText>
      </w:r>
      <w:r>
        <w:rPr>
          <w:color w:val="auto"/>
          <w:highlight w:val="none"/>
        </w:rPr>
        <w:fldChar w:fldCharType="separate"/>
      </w:r>
      <w:r>
        <w:rPr>
          <w:color w:val="auto"/>
          <w:highlight w:val="none"/>
        </w:rPr>
        <w:t>20</w:t>
      </w:r>
      <w:r>
        <w:rPr>
          <w:color w:val="auto"/>
          <w:highlight w:val="none"/>
        </w:rPr>
        <w:fldChar w:fldCharType="end"/>
      </w:r>
      <w:r>
        <w:rPr>
          <w:rFonts w:cs="Times New Roman"/>
          <w:color w:val="auto"/>
          <w:highlight w:val="none"/>
        </w:rPr>
        <w:fldChar w:fldCharType="end"/>
      </w:r>
    </w:p>
    <w:p w14:paraId="18D6FCE8">
      <w:pPr>
        <w:pStyle w:val="20"/>
        <w:tabs>
          <w:tab w:val="right" w:leader="dot" w:pos="8306"/>
        </w:tabs>
        <w:rPr>
          <w:color w:val="auto"/>
          <w:highlight w:val="none"/>
        </w:rPr>
      </w:pPr>
      <w:r>
        <w:rPr>
          <w:rFonts w:cs="Times New Roman"/>
          <w:color w:val="auto"/>
          <w:highlight w:val="none"/>
        </w:rPr>
        <w:fldChar w:fldCharType="begin"/>
      </w:r>
      <w:r>
        <w:rPr>
          <w:rFonts w:cs="Times New Roman"/>
          <w:color w:val="auto"/>
          <w:highlight w:val="none"/>
        </w:rPr>
        <w:instrText xml:space="preserve"> HYPERLINK \l _Toc982 </w:instrText>
      </w:r>
      <w:r>
        <w:rPr>
          <w:rFonts w:cs="Times New Roman"/>
          <w:color w:val="auto"/>
          <w:highlight w:val="none"/>
        </w:rPr>
        <w:fldChar w:fldCharType="separate"/>
      </w:r>
      <w:r>
        <w:rPr>
          <w:rFonts w:hint="default" w:ascii="宋体" w:hAnsi="宋体" w:eastAsia="宋体" w:cs="宋体"/>
          <w:color w:val="auto"/>
          <w:highlight w:val="none"/>
          <w:lang w:eastAsia="zh-CN"/>
        </w:rPr>
        <w:t xml:space="preserve">5.5 </w:t>
      </w:r>
      <w:r>
        <w:rPr>
          <w:color w:val="auto"/>
          <w:highlight w:val="none"/>
          <w:lang w:eastAsia="zh-CN"/>
        </w:rPr>
        <w:t>自动喷水灭火系统</w:t>
      </w:r>
      <w:r>
        <w:rPr>
          <w:color w:val="auto"/>
          <w:highlight w:val="none"/>
        </w:rPr>
        <w:tab/>
      </w:r>
      <w:r>
        <w:rPr>
          <w:color w:val="auto"/>
          <w:highlight w:val="none"/>
        </w:rPr>
        <w:fldChar w:fldCharType="begin"/>
      </w:r>
      <w:r>
        <w:rPr>
          <w:color w:val="auto"/>
          <w:highlight w:val="none"/>
        </w:rPr>
        <w:instrText xml:space="preserve"> PAGEREF _Toc982 \h </w:instrText>
      </w:r>
      <w:r>
        <w:rPr>
          <w:color w:val="auto"/>
          <w:highlight w:val="none"/>
        </w:rPr>
        <w:fldChar w:fldCharType="separate"/>
      </w:r>
      <w:r>
        <w:rPr>
          <w:color w:val="auto"/>
          <w:highlight w:val="none"/>
        </w:rPr>
        <w:t>21</w:t>
      </w:r>
      <w:r>
        <w:rPr>
          <w:color w:val="auto"/>
          <w:highlight w:val="none"/>
        </w:rPr>
        <w:fldChar w:fldCharType="end"/>
      </w:r>
      <w:r>
        <w:rPr>
          <w:rFonts w:cs="Times New Roman"/>
          <w:color w:val="auto"/>
          <w:highlight w:val="none"/>
        </w:rPr>
        <w:fldChar w:fldCharType="end"/>
      </w:r>
    </w:p>
    <w:p w14:paraId="70A14F04">
      <w:pPr>
        <w:pStyle w:val="20"/>
        <w:tabs>
          <w:tab w:val="right" w:leader="dot" w:pos="8306"/>
        </w:tabs>
        <w:rPr>
          <w:color w:val="auto"/>
          <w:highlight w:val="none"/>
        </w:rPr>
      </w:pPr>
      <w:r>
        <w:rPr>
          <w:rFonts w:cs="Times New Roman"/>
          <w:color w:val="auto"/>
          <w:highlight w:val="none"/>
        </w:rPr>
        <w:fldChar w:fldCharType="begin"/>
      </w:r>
      <w:r>
        <w:rPr>
          <w:rFonts w:cs="Times New Roman"/>
          <w:color w:val="auto"/>
          <w:highlight w:val="none"/>
        </w:rPr>
        <w:instrText xml:space="preserve"> HYPERLINK \l _Toc11681 </w:instrText>
      </w:r>
      <w:r>
        <w:rPr>
          <w:rFonts w:cs="Times New Roman"/>
          <w:color w:val="auto"/>
          <w:highlight w:val="none"/>
        </w:rPr>
        <w:fldChar w:fldCharType="separate"/>
      </w:r>
      <w:r>
        <w:rPr>
          <w:rFonts w:hint="default" w:ascii="宋体" w:hAnsi="宋体" w:eastAsia="宋体" w:cs="宋体"/>
          <w:color w:val="auto"/>
          <w:highlight w:val="none"/>
          <w:lang w:eastAsia="zh-CN"/>
        </w:rPr>
        <w:t xml:space="preserve">5.6 </w:t>
      </w:r>
      <w:r>
        <w:rPr>
          <w:color w:val="auto"/>
          <w:highlight w:val="none"/>
          <w:lang w:eastAsia="zh-CN"/>
        </w:rPr>
        <w:t>其他灭火系统</w:t>
      </w:r>
      <w:r>
        <w:rPr>
          <w:color w:val="auto"/>
          <w:highlight w:val="none"/>
        </w:rPr>
        <w:tab/>
      </w:r>
      <w:r>
        <w:rPr>
          <w:color w:val="auto"/>
          <w:highlight w:val="none"/>
        </w:rPr>
        <w:fldChar w:fldCharType="begin"/>
      </w:r>
      <w:r>
        <w:rPr>
          <w:color w:val="auto"/>
          <w:highlight w:val="none"/>
        </w:rPr>
        <w:instrText xml:space="preserve"> PAGEREF _Toc11681 \h </w:instrText>
      </w:r>
      <w:r>
        <w:rPr>
          <w:color w:val="auto"/>
          <w:highlight w:val="none"/>
        </w:rPr>
        <w:fldChar w:fldCharType="separate"/>
      </w:r>
      <w:r>
        <w:rPr>
          <w:color w:val="auto"/>
          <w:highlight w:val="none"/>
        </w:rPr>
        <w:t>22</w:t>
      </w:r>
      <w:r>
        <w:rPr>
          <w:color w:val="auto"/>
          <w:highlight w:val="none"/>
        </w:rPr>
        <w:fldChar w:fldCharType="end"/>
      </w:r>
      <w:r>
        <w:rPr>
          <w:rFonts w:cs="Times New Roman"/>
          <w:color w:val="auto"/>
          <w:highlight w:val="none"/>
        </w:rPr>
        <w:fldChar w:fldCharType="end"/>
      </w:r>
    </w:p>
    <w:p w14:paraId="2DECB5E8">
      <w:pPr>
        <w:pStyle w:val="17"/>
        <w:tabs>
          <w:tab w:val="right" w:leader="dot" w:pos="8306"/>
        </w:tabs>
        <w:rPr>
          <w:color w:val="auto"/>
          <w:highlight w:val="none"/>
        </w:rPr>
      </w:pPr>
      <w:r>
        <w:rPr>
          <w:rFonts w:cs="Times New Roman"/>
          <w:color w:val="auto"/>
          <w:highlight w:val="none"/>
        </w:rPr>
        <w:fldChar w:fldCharType="begin"/>
      </w:r>
      <w:r>
        <w:rPr>
          <w:rFonts w:cs="Times New Roman"/>
          <w:color w:val="auto"/>
          <w:highlight w:val="none"/>
        </w:rPr>
        <w:instrText xml:space="preserve"> HYPERLINK \l _Toc7227 </w:instrText>
      </w:r>
      <w:r>
        <w:rPr>
          <w:rFonts w:cs="Times New Roman"/>
          <w:color w:val="auto"/>
          <w:highlight w:val="none"/>
        </w:rPr>
        <w:fldChar w:fldCharType="separate"/>
      </w:r>
      <w:r>
        <w:rPr>
          <w:rFonts w:hint="default" w:ascii="宋体" w:hAnsi="宋体" w:eastAsia="宋体" w:cs="宋体"/>
          <w:color w:val="auto"/>
          <w:highlight w:val="none"/>
        </w:rPr>
        <w:t xml:space="preserve">6 </w:t>
      </w:r>
      <w:r>
        <w:rPr>
          <w:rFonts w:hint="eastAsia" w:cs="Times New Roman"/>
          <w:color w:val="auto"/>
          <w:highlight w:val="none"/>
          <w:lang w:val="en-US" w:eastAsia="zh-CN"/>
        </w:rPr>
        <w:t>消防通风</w:t>
      </w:r>
      <w:r>
        <w:rPr>
          <w:color w:val="auto"/>
          <w:highlight w:val="none"/>
        </w:rPr>
        <w:tab/>
      </w:r>
      <w:r>
        <w:rPr>
          <w:color w:val="auto"/>
          <w:highlight w:val="none"/>
        </w:rPr>
        <w:fldChar w:fldCharType="begin"/>
      </w:r>
      <w:r>
        <w:rPr>
          <w:color w:val="auto"/>
          <w:highlight w:val="none"/>
        </w:rPr>
        <w:instrText xml:space="preserve"> PAGEREF _Toc7227 \h </w:instrText>
      </w:r>
      <w:r>
        <w:rPr>
          <w:color w:val="auto"/>
          <w:highlight w:val="none"/>
        </w:rPr>
        <w:fldChar w:fldCharType="separate"/>
      </w:r>
      <w:r>
        <w:rPr>
          <w:color w:val="auto"/>
          <w:highlight w:val="none"/>
        </w:rPr>
        <w:t>23</w:t>
      </w:r>
      <w:r>
        <w:rPr>
          <w:color w:val="auto"/>
          <w:highlight w:val="none"/>
        </w:rPr>
        <w:fldChar w:fldCharType="end"/>
      </w:r>
      <w:r>
        <w:rPr>
          <w:rFonts w:cs="Times New Roman"/>
          <w:color w:val="auto"/>
          <w:highlight w:val="none"/>
        </w:rPr>
        <w:fldChar w:fldCharType="end"/>
      </w:r>
    </w:p>
    <w:p w14:paraId="15F55337">
      <w:pPr>
        <w:pStyle w:val="20"/>
        <w:tabs>
          <w:tab w:val="right" w:leader="dot" w:pos="8306"/>
        </w:tabs>
        <w:rPr>
          <w:color w:val="auto"/>
          <w:highlight w:val="none"/>
        </w:rPr>
      </w:pPr>
      <w:r>
        <w:rPr>
          <w:rFonts w:cs="Times New Roman"/>
          <w:color w:val="auto"/>
          <w:highlight w:val="none"/>
        </w:rPr>
        <w:fldChar w:fldCharType="begin"/>
      </w:r>
      <w:r>
        <w:rPr>
          <w:rFonts w:cs="Times New Roman"/>
          <w:color w:val="auto"/>
          <w:highlight w:val="none"/>
        </w:rPr>
        <w:instrText xml:space="preserve"> HYPERLINK \l _Toc12461 </w:instrText>
      </w:r>
      <w:r>
        <w:rPr>
          <w:rFonts w:cs="Times New Roman"/>
          <w:color w:val="auto"/>
          <w:highlight w:val="none"/>
        </w:rPr>
        <w:fldChar w:fldCharType="separate"/>
      </w:r>
      <w:r>
        <w:rPr>
          <w:rFonts w:hint="default" w:ascii="宋体" w:hAnsi="宋体" w:eastAsia="宋体" w:cs="宋体"/>
          <w:color w:val="auto"/>
          <w:highlight w:val="none"/>
        </w:rPr>
        <w:t xml:space="preserve">6.1 </w:t>
      </w:r>
      <w:r>
        <w:rPr>
          <w:rFonts w:hint="eastAsia" w:ascii="Times New Roman" w:hAnsi="Times New Roman" w:cs="Times New Roman"/>
          <w:color w:val="auto"/>
          <w:highlight w:val="none"/>
          <w:lang w:val="en-US" w:eastAsia="zh-CN"/>
        </w:rPr>
        <w:t>一般规定</w:t>
      </w:r>
      <w:r>
        <w:rPr>
          <w:color w:val="auto"/>
          <w:highlight w:val="none"/>
        </w:rPr>
        <w:tab/>
      </w:r>
      <w:r>
        <w:rPr>
          <w:color w:val="auto"/>
          <w:highlight w:val="none"/>
        </w:rPr>
        <w:fldChar w:fldCharType="begin"/>
      </w:r>
      <w:r>
        <w:rPr>
          <w:color w:val="auto"/>
          <w:highlight w:val="none"/>
        </w:rPr>
        <w:instrText xml:space="preserve"> PAGEREF _Toc12461 \h </w:instrText>
      </w:r>
      <w:r>
        <w:rPr>
          <w:color w:val="auto"/>
          <w:highlight w:val="none"/>
        </w:rPr>
        <w:fldChar w:fldCharType="separate"/>
      </w:r>
      <w:r>
        <w:rPr>
          <w:color w:val="auto"/>
          <w:highlight w:val="none"/>
        </w:rPr>
        <w:t>23</w:t>
      </w:r>
      <w:r>
        <w:rPr>
          <w:color w:val="auto"/>
          <w:highlight w:val="none"/>
        </w:rPr>
        <w:fldChar w:fldCharType="end"/>
      </w:r>
      <w:r>
        <w:rPr>
          <w:rFonts w:cs="Times New Roman"/>
          <w:color w:val="auto"/>
          <w:highlight w:val="none"/>
        </w:rPr>
        <w:fldChar w:fldCharType="end"/>
      </w:r>
    </w:p>
    <w:p w14:paraId="74B22656">
      <w:pPr>
        <w:pStyle w:val="20"/>
        <w:tabs>
          <w:tab w:val="right" w:leader="dot" w:pos="8306"/>
        </w:tabs>
        <w:rPr>
          <w:color w:val="auto"/>
          <w:highlight w:val="none"/>
        </w:rPr>
      </w:pPr>
      <w:r>
        <w:rPr>
          <w:rFonts w:cs="Times New Roman"/>
          <w:color w:val="auto"/>
          <w:highlight w:val="none"/>
        </w:rPr>
        <w:fldChar w:fldCharType="begin"/>
      </w:r>
      <w:r>
        <w:rPr>
          <w:rFonts w:cs="Times New Roman"/>
          <w:color w:val="auto"/>
          <w:highlight w:val="none"/>
        </w:rPr>
        <w:instrText xml:space="preserve"> HYPERLINK \l _Toc9740 </w:instrText>
      </w:r>
      <w:r>
        <w:rPr>
          <w:rFonts w:cs="Times New Roman"/>
          <w:color w:val="auto"/>
          <w:highlight w:val="none"/>
        </w:rPr>
        <w:fldChar w:fldCharType="separate"/>
      </w:r>
      <w:r>
        <w:rPr>
          <w:rFonts w:hint="default" w:ascii="宋体" w:hAnsi="宋体" w:eastAsia="宋体" w:cs="宋体"/>
          <w:color w:val="auto"/>
          <w:highlight w:val="none"/>
        </w:rPr>
        <w:t xml:space="preserve">6.2 </w:t>
      </w:r>
      <w:r>
        <w:rPr>
          <w:rFonts w:hint="eastAsia"/>
          <w:color w:val="auto"/>
          <w:highlight w:val="none"/>
        </w:rPr>
        <w:t>防烟系统</w:t>
      </w:r>
      <w:r>
        <w:rPr>
          <w:color w:val="auto"/>
          <w:highlight w:val="none"/>
        </w:rPr>
        <w:tab/>
      </w:r>
      <w:r>
        <w:rPr>
          <w:color w:val="auto"/>
          <w:highlight w:val="none"/>
        </w:rPr>
        <w:fldChar w:fldCharType="begin"/>
      </w:r>
      <w:r>
        <w:rPr>
          <w:color w:val="auto"/>
          <w:highlight w:val="none"/>
        </w:rPr>
        <w:instrText xml:space="preserve"> PAGEREF _Toc9740 \h </w:instrText>
      </w:r>
      <w:r>
        <w:rPr>
          <w:color w:val="auto"/>
          <w:highlight w:val="none"/>
        </w:rPr>
        <w:fldChar w:fldCharType="separate"/>
      </w:r>
      <w:r>
        <w:rPr>
          <w:color w:val="auto"/>
          <w:highlight w:val="none"/>
        </w:rPr>
        <w:t>24</w:t>
      </w:r>
      <w:r>
        <w:rPr>
          <w:color w:val="auto"/>
          <w:highlight w:val="none"/>
        </w:rPr>
        <w:fldChar w:fldCharType="end"/>
      </w:r>
      <w:r>
        <w:rPr>
          <w:rFonts w:cs="Times New Roman"/>
          <w:color w:val="auto"/>
          <w:highlight w:val="none"/>
        </w:rPr>
        <w:fldChar w:fldCharType="end"/>
      </w:r>
    </w:p>
    <w:p w14:paraId="5FB81C6F">
      <w:pPr>
        <w:pStyle w:val="20"/>
        <w:tabs>
          <w:tab w:val="right" w:leader="dot" w:pos="8306"/>
        </w:tabs>
        <w:rPr>
          <w:color w:val="auto"/>
          <w:highlight w:val="none"/>
        </w:rPr>
      </w:pPr>
      <w:r>
        <w:rPr>
          <w:rFonts w:cs="Times New Roman"/>
          <w:color w:val="auto"/>
          <w:highlight w:val="none"/>
        </w:rPr>
        <w:fldChar w:fldCharType="begin"/>
      </w:r>
      <w:r>
        <w:rPr>
          <w:rFonts w:cs="Times New Roman"/>
          <w:color w:val="auto"/>
          <w:highlight w:val="none"/>
        </w:rPr>
        <w:instrText xml:space="preserve"> HYPERLINK \l _Toc29564 </w:instrText>
      </w:r>
      <w:r>
        <w:rPr>
          <w:rFonts w:cs="Times New Roman"/>
          <w:color w:val="auto"/>
          <w:highlight w:val="none"/>
        </w:rPr>
        <w:fldChar w:fldCharType="separate"/>
      </w:r>
      <w:r>
        <w:rPr>
          <w:rFonts w:hint="default" w:ascii="宋体" w:hAnsi="宋体" w:eastAsia="宋体" w:cs="宋体"/>
          <w:color w:val="auto"/>
          <w:highlight w:val="none"/>
        </w:rPr>
        <w:t xml:space="preserve">6.3 </w:t>
      </w:r>
      <w:r>
        <w:rPr>
          <w:rFonts w:hint="eastAsia"/>
          <w:color w:val="auto"/>
          <w:highlight w:val="none"/>
        </w:rPr>
        <w:t>排烟系统</w:t>
      </w:r>
      <w:r>
        <w:rPr>
          <w:color w:val="auto"/>
          <w:highlight w:val="none"/>
        </w:rPr>
        <w:tab/>
      </w:r>
      <w:r>
        <w:rPr>
          <w:color w:val="auto"/>
          <w:highlight w:val="none"/>
        </w:rPr>
        <w:fldChar w:fldCharType="begin"/>
      </w:r>
      <w:r>
        <w:rPr>
          <w:color w:val="auto"/>
          <w:highlight w:val="none"/>
        </w:rPr>
        <w:instrText xml:space="preserve"> PAGEREF _Toc29564 \h </w:instrText>
      </w:r>
      <w:r>
        <w:rPr>
          <w:color w:val="auto"/>
          <w:highlight w:val="none"/>
        </w:rPr>
        <w:fldChar w:fldCharType="separate"/>
      </w:r>
      <w:r>
        <w:rPr>
          <w:color w:val="auto"/>
          <w:highlight w:val="none"/>
        </w:rPr>
        <w:t>25</w:t>
      </w:r>
      <w:r>
        <w:rPr>
          <w:color w:val="auto"/>
          <w:highlight w:val="none"/>
        </w:rPr>
        <w:fldChar w:fldCharType="end"/>
      </w:r>
      <w:r>
        <w:rPr>
          <w:rFonts w:cs="Times New Roman"/>
          <w:color w:val="auto"/>
          <w:highlight w:val="none"/>
        </w:rPr>
        <w:fldChar w:fldCharType="end"/>
      </w:r>
    </w:p>
    <w:p w14:paraId="66D34424">
      <w:pPr>
        <w:pStyle w:val="17"/>
        <w:tabs>
          <w:tab w:val="right" w:leader="dot" w:pos="8306"/>
        </w:tabs>
        <w:rPr>
          <w:color w:val="auto"/>
          <w:highlight w:val="none"/>
        </w:rPr>
      </w:pPr>
      <w:r>
        <w:rPr>
          <w:rFonts w:cs="Times New Roman"/>
          <w:color w:val="auto"/>
          <w:highlight w:val="none"/>
        </w:rPr>
        <w:fldChar w:fldCharType="begin"/>
      </w:r>
      <w:r>
        <w:rPr>
          <w:rFonts w:cs="Times New Roman"/>
          <w:color w:val="auto"/>
          <w:highlight w:val="none"/>
        </w:rPr>
        <w:instrText xml:space="preserve"> HYPERLINK \l _Toc29040 </w:instrText>
      </w:r>
      <w:r>
        <w:rPr>
          <w:rFonts w:cs="Times New Roman"/>
          <w:color w:val="auto"/>
          <w:highlight w:val="none"/>
        </w:rPr>
        <w:fldChar w:fldCharType="separate"/>
      </w:r>
      <w:r>
        <w:rPr>
          <w:rFonts w:hint="default" w:ascii="宋体" w:hAnsi="宋体" w:eastAsia="宋体" w:cs="宋体"/>
          <w:color w:val="auto"/>
          <w:highlight w:val="none"/>
        </w:rPr>
        <w:t xml:space="preserve">7 </w:t>
      </w:r>
      <w:r>
        <w:rPr>
          <w:rFonts w:hint="eastAsia" w:cs="Times New Roman"/>
          <w:color w:val="auto"/>
          <w:highlight w:val="none"/>
          <w:lang w:val="en-US" w:eastAsia="zh-CN"/>
        </w:rPr>
        <w:t>消防电气</w:t>
      </w:r>
      <w:r>
        <w:rPr>
          <w:color w:val="auto"/>
          <w:highlight w:val="none"/>
        </w:rPr>
        <w:tab/>
      </w:r>
      <w:r>
        <w:rPr>
          <w:color w:val="auto"/>
          <w:highlight w:val="none"/>
        </w:rPr>
        <w:fldChar w:fldCharType="begin"/>
      </w:r>
      <w:r>
        <w:rPr>
          <w:color w:val="auto"/>
          <w:highlight w:val="none"/>
        </w:rPr>
        <w:instrText xml:space="preserve"> PAGEREF _Toc29040 \h </w:instrText>
      </w:r>
      <w:r>
        <w:rPr>
          <w:color w:val="auto"/>
          <w:highlight w:val="none"/>
        </w:rPr>
        <w:fldChar w:fldCharType="separate"/>
      </w:r>
      <w:r>
        <w:rPr>
          <w:color w:val="auto"/>
          <w:highlight w:val="none"/>
        </w:rPr>
        <w:t>27</w:t>
      </w:r>
      <w:r>
        <w:rPr>
          <w:color w:val="auto"/>
          <w:highlight w:val="none"/>
        </w:rPr>
        <w:fldChar w:fldCharType="end"/>
      </w:r>
      <w:r>
        <w:rPr>
          <w:rFonts w:cs="Times New Roman"/>
          <w:color w:val="auto"/>
          <w:highlight w:val="none"/>
        </w:rPr>
        <w:fldChar w:fldCharType="end"/>
      </w:r>
    </w:p>
    <w:p w14:paraId="0AB54E4F">
      <w:pPr>
        <w:pStyle w:val="20"/>
        <w:tabs>
          <w:tab w:val="right" w:leader="dot" w:pos="8306"/>
        </w:tabs>
        <w:rPr>
          <w:color w:val="auto"/>
          <w:highlight w:val="none"/>
        </w:rPr>
      </w:pPr>
      <w:r>
        <w:rPr>
          <w:rFonts w:cs="Times New Roman"/>
          <w:color w:val="auto"/>
          <w:highlight w:val="none"/>
        </w:rPr>
        <w:fldChar w:fldCharType="begin"/>
      </w:r>
      <w:r>
        <w:rPr>
          <w:rFonts w:cs="Times New Roman"/>
          <w:color w:val="auto"/>
          <w:highlight w:val="none"/>
        </w:rPr>
        <w:instrText xml:space="preserve"> HYPERLINK \l _Toc14331 </w:instrText>
      </w:r>
      <w:r>
        <w:rPr>
          <w:rFonts w:cs="Times New Roman"/>
          <w:color w:val="auto"/>
          <w:highlight w:val="none"/>
        </w:rPr>
        <w:fldChar w:fldCharType="separate"/>
      </w:r>
      <w:r>
        <w:rPr>
          <w:rFonts w:hint="default" w:ascii="宋体" w:hAnsi="宋体" w:eastAsia="宋体" w:cs="宋体"/>
          <w:color w:val="auto"/>
          <w:highlight w:val="none"/>
        </w:rPr>
        <w:t xml:space="preserve">7.1 </w:t>
      </w:r>
      <w:r>
        <w:rPr>
          <w:rFonts w:hint="eastAsia" w:ascii="Times New Roman" w:hAnsi="Times New Roman" w:cs="Times New Roman"/>
          <w:color w:val="auto"/>
          <w:highlight w:val="none"/>
          <w:lang w:val="en-US" w:eastAsia="zh-CN"/>
        </w:rPr>
        <w:t>一般规定</w:t>
      </w:r>
      <w:r>
        <w:rPr>
          <w:color w:val="auto"/>
          <w:highlight w:val="none"/>
        </w:rPr>
        <w:tab/>
      </w:r>
      <w:r>
        <w:rPr>
          <w:color w:val="auto"/>
          <w:highlight w:val="none"/>
        </w:rPr>
        <w:fldChar w:fldCharType="begin"/>
      </w:r>
      <w:r>
        <w:rPr>
          <w:color w:val="auto"/>
          <w:highlight w:val="none"/>
        </w:rPr>
        <w:instrText xml:space="preserve"> PAGEREF _Toc14331 \h </w:instrText>
      </w:r>
      <w:r>
        <w:rPr>
          <w:color w:val="auto"/>
          <w:highlight w:val="none"/>
        </w:rPr>
        <w:fldChar w:fldCharType="separate"/>
      </w:r>
      <w:r>
        <w:rPr>
          <w:color w:val="auto"/>
          <w:highlight w:val="none"/>
        </w:rPr>
        <w:t>27</w:t>
      </w:r>
      <w:r>
        <w:rPr>
          <w:color w:val="auto"/>
          <w:highlight w:val="none"/>
        </w:rPr>
        <w:fldChar w:fldCharType="end"/>
      </w:r>
      <w:r>
        <w:rPr>
          <w:rFonts w:cs="Times New Roman"/>
          <w:color w:val="auto"/>
          <w:highlight w:val="none"/>
        </w:rPr>
        <w:fldChar w:fldCharType="end"/>
      </w:r>
    </w:p>
    <w:p w14:paraId="0756786A">
      <w:pPr>
        <w:pStyle w:val="20"/>
        <w:tabs>
          <w:tab w:val="right" w:leader="dot" w:pos="8306"/>
        </w:tabs>
        <w:rPr>
          <w:color w:val="auto"/>
          <w:highlight w:val="none"/>
        </w:rPr>
      </w:pPr>
      <w:r>
        <w:rPr>
          <w:rFonts w:cs="Times New Roman"/>
          <w:color w:val="auto"/>
          <w:highlight w:val="none"/>
        </w:rPr>
        <w:fldChar w:fldCharType="begin"/>
      </w:r>
      <w:r>
        <w:rPr>
          <w:rFonts w:cs="Times New Roman"/>
          <w:color w:val="auto"/>
          <w:highlight w:val="none"/>
        </w:rPr>
        <w:instrText xml:space="preserve"> HYPERLINK \l _Toc2453 </w:instrText>
      </w:r>
      <w:r>
        <w:rPr>
          <w:rFonts w:cs="Times New Roman"/>
          <w:color w:val="auto"/>
          <w:highlight w:val="none"/>
        </w:rPr>
        <w:fldChar w:fldCharType="separate"/>
      </w:r>
      <w:r>
        <w:rPr>
          <w:rFonts w:hint="default" w:ascii="宋体" w:hAnsi="宋体" w:eastAsia="宋体" w:cs="宋体"/>
          <w:color w:val="auto"/>
          <w:highlight w:val="none"/>
          <w:lang w:eastAsia="zh-CN"/>
        </w:rPr>
        <w:t xml:space="preserve">7.2 </w:t>
      </w:r>
      <w:r>
        <w:rPr>
          <w:color w:val="auto"/>
          <w:highlight w:val="none"/>
          <w:lang w:eastAsia="zh-CN"/>
        </w:rPr>
        <w:t>消防电源及配电</w:t>
      </w:r>
      <w:r>
        <w:rPr>
          <w:color w:val="auto"/>
          <w:highlight w:val="none"/>
        </w:rPr>
        <w:tab/>
      </w:r>
      <w:r>
        <w:rPr>
          <w:color w:val="auto"/>
          <w:highlight w:val="none"/>
        </w:rPr>
        <w:fldChar w:fldCharType="begin"/>
      </w:r>
      <w:r>
        <w:rPr>
          <w:color w:val="auto"/>
          <w:highlight w:val="none"/>
        </w:rPr>
        <w:instrText xml:space="preserve"> PAGEREF _Toc2453 \h </w:instrText>
      </w:r>
      <w:r>
        <w:rPr>
          <w:color w:val="auto"/>
          <w:highlight w:val="none"/>
        </w:rPr>
        <w:fldChar w:fldCharType="separate"/>
      </w:r>
      <w:r>
        <w:rPr>
          <w:color w:val="auto"/>
          <w:highlight w:val="none"/>
        </w:rPr>
        <w:t>27</w:t>
      </w:r>
      <w:r>
        <w:rPr>
          <w:color w:val="auto"/>
          <w:highlight w:val="none"/>
        </w:rPr>
        <w:fldChar w:fldCharType="end"/>
      </w:r>
      <w:r>
        <w:rPr>
          <w:rFonts w:cs="Times New Roman"/>
          <w:color w:val="auto"/>
          <w:highlight w:val="none"/>
        </w:rPr>
        <w:fldChar w:fldCharType="end"/>
      </w:r>
    </w:p>
    <w:p w14:paraId="5300BC82">
      <w:pPr>
        <w:pStyle w:val="20"/>
        <w:tabs>
          <w:tab w:val="right" w:leader="dot" w:pos="8306"/>
        </w:tabs>
        <w:rPr>
          <w:color w:val="auto"/>
          <w:highlight w:val="none"/>
        </w:rPr>
      </w:pPr>
      <w:r>
        <w:rPr>
          <w:rFonts w:cs="Times New Roman"/>
          <w:color w:val="auto"/>
          <w:highlight w:val="none"/>
        </w:rPr>
        <w:fldChar w:fldCharType="begin"/>
      </w:r>
      <w:r>
        <w:rPr>
          <w:rFonts w:cs="Times New Roman"/>
          <w:color w:val="auto"/>
          <w:highlight w:val="none"/>
        </w:rPr>
        <w:instrText xml:space="preserve"> HYPERLINK \l _Toc12742 </w:instrText>
      </w:r>
      <w:r>
        <w:rPr>
          <w:rFonts w:cs="Times New Roman"/>
          <w:color w:val="auto"/>
          <w:highlight w:val="none"/>
        </w:rPr>
        <w:fldChar w:fldCharType="separate"/>
      </w:r>
      <w:r>
        <w:rPr>
          <w:rFonts w:hint="default" w:ascii="宋体" w:hAnsi="宋体" w:eastAsia="宋体" w:cs="宋体"/>
          <w:color w:val="auto"/>
          <w:highlight w:val="none"/>
          <w:lang w:eastAsia="zh-CN"/>
        </w:rPr>
        <w:t xml:space="preserve">7.3 </w:t>
      </w:r>
      <w:r>
        <w:rPr>
          <w:color w:val="auto"/>
          <w:highlight w:val="none"/>
          <w:lang w:eastAsia="zh-CN"/>
        </w:rPr>
        <w:t>火灾自动报警系统</w:t>
      </w:r>
      <w:r>
        <w:rPr>
          <w:color w:val="auto"/>
          <w:highlight w:val="none"/>
        </w:rPr>
        <w:tab/>
      </w:r>
      <w:r>
        <w:rPr>
          <w:color w:val="auto"/>
          <w:highlight w:val="none"/>
        </w:rPr>
        <w:fldChar w:fldCharType="begin"/>
      </w:r>
      <w:r>
        <w:rPr>
          <w:color w:val="auto"/>
          <w:highlight w:val="none"/>
        </w:rPr>
        <w:instrText xml:space="preserve"> PAGEREF _Toc12742 \h </w:instrText>
      </w:r>
      <w:r>
        <w:rPr>
          <w:color w:val="auto"/>
          <w:highlight w:val="none"/>
        </w:rPr>
        <w:fldChar w:fldCharType="separate"/>
      </w:r>
      <w:r>
        <w:rPr>
          <w:color w:val="auto"/>
          <w:highlight w:val="none"/>
        </w:rPr>
        <w:t>28</w:t>
      </w:r>
      <w:r>
        <w:rPr>
          <w:color w:val="auto"/>
          <w:highlight w:val="none"/>
        </w:rPr>
        <w:fldChar w:fldCharType="end"/>
      </w:r>
      <w:r>
        <w:rPr>
          <w:rFonts w:cs="Times New Roman"/>
          <w:color w:val="auto"/>
          <w:highlight w:val="none"/>
        </w:rPr>
        <w:fldChar w:fldCharType="end"/>
      </w:r>
    </w:p>
    <w:p w14:paraId="471841D8">
      <w:pPr>
        <w:pStyle w:val="20"/>
        <w:tabs>
          <w:tab w:val="right" w:leader="dot" w:pos="8306"/>
        </w:tabs>
        <w:rPr>
          <w:color w:val="auto"/>
          <w:highlight w:val="none"/>
        </w:rPr>
      </w:pPr>
      <w:r>
        <w:rPr>
          <w:rFonts w:cs="Times New Roman"/>
          <w:color w:val="auto"/>
          <w:highlight w:val="none"/>
        </w:rPr>
        <w:fldChar w:fldCharType="begin"/>
      </w:r>
      <w:r>
        <w:rPr>
          <w:rFonts w:cs="Times New Roman"/>
          <w:color w:val="auto"/>
          <w:highlight w:val="none"/>
        </w:rPr>
        <w:instrText xml:space="preserve"> HYPERLINK \l _Toc31784 </w:instrText>
      </w:r>
      <w:r>
        <w:rPr>
          <w:rFonts w:cs="Times New Roman"/>
          <w:color w:val="auto"/>
          <w:highlight w:val="none"/>
        </w:rPr>
        <w:fldChar w:fldCharType="separate"/>
      </w:r>
      <w:r>
        <w:rPr>
          <w:rFonts w:hint="default" w:ascii="宋体" w:hAnsi="宋体" w:eastAsia="宋体" w:cs="宋体"/>
          <w:color w:val="auto"/>
          <w:highlight w:val="none"/>
          <w:lang w:eastAsia="zh-CN"/>
        </w:rPr>
        <w:t xml:space="preserve">7.4 </w:t>
      </w:r>
      <w:r>
        <w:rPr>
          <w:color w:val="auto"/>
          <w:highlight w:val="none"/>
          <w:lang w:eastAsia="zh-CN"/>
        </w:rPr>
        <w:t>电气火灾监控系统</w:t>
      </w:r>
      <w:r>
        <w:rPr>
          <w:color w:val="auto"/>
          <w:highlight w:val="none"/>
        </w:rPr>
        <w:tab/>
      </w:r>
      <w:r>
        <w:rPr>
          <w:color w:val="auto"/>
          <w:highlight w:val="none"/>
        </w:rPr>
        <w:fldChar w:fldCharType="begin"/>
      </w:r>
      <w:r>
        <w:rPr>
          <w:color w:val="auto"/>
          <w:highlight w:val="none"/>
        </w:rPr>
        <w:instrText xml:space="preserve"> PAGEREF _Toc31784 \h </w:instrText>
      </w:r>
      <w:r>
        <w:rPr>
          <w:color w:val="auto"/>
          <w:highlight w:val="none"/>
        </w:rPr>
        <w:fldChar w:fldCharType="separate"/>
      </w:r>
      <w:r>
        <w:rPr>
          <w:color w:val="auto"/>
          <w:highlight w:val="none"/>
        </w:rPr>
        <w:t>29</w:t>
      </w:r>
      <w:r>
        <w:rPr>
          <w:color w:val="auto"/>
          <w:highlight w:val="none"/>
        </w:rPr>
        <w:fldChar w:fldCharType="end"/>
      </w:r>
      <w:r>
        <w:rPr>
          <w:rFonts w:cs="Times New Roman"/>
          <w:color w:val="auto"/>
          <w:highlight w:val="none"/>
        </w:rPr>
        <w:fldChar w:fldCharType="end"/>
      </w:r>
    </w:p>
    <w:p w14:paraId="62E09233">
      <w:pPr>
        <w:pStyle w:val="20"/>
        <w:tabs>
          <w:tab w:val="right" w:leader="dot" w:pos="8306"/>
        </w:tabs>
        <w:rPr>
          <w:color w:val="auto"/>
          <w:highlight w:val="none"/>
        </w:rPr>
      </w:pPr>
      <w:r>
        <w:rPr>
          <w:rFonts w:cs="Times New Roman"/>
          <w:color w:val="auto"/>
          <w:highlight w:val="none"/>
        </w:rPr>
        <w:fldChar w:fldCharType="begin"/>
      </w:r>
      <w:r>
        <w:rPr>
          <w:rFonts w:cs="Times New Roman"/>
          <w:color w:val="auto"/>
          <w:highlight w:val="none"/>
        </w:rPr>
        <w:instrText xml:space="preserve"> HYPERLINK \l _Toc17999 </w:instrText>
      </w:r>
      <w:r>
        <w:rPr>
          <w:rFonts w:cs="Times New Roman"/>
          <w:color w:val="auto"/>
          <w:highlight w:val="none"/>
        </w:rPr>
        <w:fldChar w:fldCharType="separate"/>
      </w:r>
      <w:r>
        <w:rPr>
          <w:rFonts w:hint="default" w:ascii="宋体" w:hAnsi="宋体" w:eastAsia="宋体" w:cs="宋体"/>
          <w:color w:val="auto"/>
          <w:highlight w:val="none"/>
          <w:lang w:eastAsia="zh-CN"/>
        </w:rPr>
        <w:t xml:space="preserve">7.5 </w:t>
      </w:r>
      <w:r>
        <w:rPr>
          <w:color w:val="auto"/>
          <w:highlight w:val="none"/>
          <w:lang w:eastAsia="zh-CN"/>
        </w:rPr>
        <w:t>消防应急照明和疏散指示系统</w:t>
      </w:r>
      <w:r>
        <w:rPr>
          <w:color w:val="auto"/>
          <w:highlight w:val="none"/>
        </w:rPr>
        <w:tab/>
      </w:r>
      <w:r>
        <w:rPr>
          <w:color w:val="auto"/>
          <w:highlight w:val="none"/>
        </w:rPr>
        <w:fldChar w:fldCharType="begin"/>
      </w:r>
      <w:r>
        <w:rPr>
          <w:color w:val="auto"/>
          <w:highlight w:val="none"/>
        </w:rPr>
        <w:instrText xml:space="preserve"> PAGEREF _Toc17999 \h </w:instrText>
      </w:r>
      <w:r>
        <w:rPr>
          <w:color w:val="auto"/>
          <w:highlight w:val="none"/>
        </w:rPr>
        <w:fldChar w:fldCharType="separate"/>
      </w:r>
      <w:r>
        <w:rPr>
          <w:color w:val="auto"/>
          <w:highlight w:val="none"/>
        </w:rPr>
        <w:t>30</w:t>
      </w:r>
      <w:r>
        <w:rPr>
          <w:color w:val="auto"/>
          <w:highlight w:val="none"/>
        </w:rPr>
        <w:fldChar w:fldCharType="end"/>
      </w:r>
      <w:r>
        <w:rPr>
          <w:rFonts w:cs="Times New Roman"/>
          <w:color w:val="auto"/>
          <w:highlight w:val="none"/>
        </w:rPr>
        <w:fldChar w:fldCharType="end"/>
      </w:r>
    </w:p>
    <w:p w14:paraId="67B05F22">
      <w:pPr>
        <w:pStyle w:val="20"/>
        <w:tabs>
          <w:tab w:val="right" w:leader="dot" w:pos="8306"/>
        </w:tabs>
        <w:rPr>
          <w:color w:val="auto"/>
          <w:highlight w:val="none"/>
        </w:rPr>
      </w:pPr>
      <w:r>
        <w:rPr>
          <w:rFonts w:cs="Times New Roman"/>
          <w:color w:val="auto"/>
          <w:highlight w:val="none"/>
        </w:rPr>
        <w:fldChar w:fldCharType="begin"/>
      </w:r>
      <w:r>
        <w:rPr>
          <w:rFonts w:cs="Times New Roman"/>
          <w:color w:val="auto"/>
          <w:highlight w:val="none"/>
        </w:rPr>
        <w:instrText xml:space="preserve"> HYPERLINK \l _Toc21861 </w:instrText>
      </w:r>
      <w:r>
        <w:rPr>
          <w:rFonts w:cs="Times New Roman"/>
          <w:color w:val="auto"/>
          <w:highlight w:val="none"/>
        </w:rPr>
        <w:fldChar w:fldCharType="separate"/>
      </w:r>
      <w:r>
        <w:rPr>
          <w:rFonts w:hint="default" w:ascii="宋体" w:hAnsi="宋体" w:eastAsia="宋体" w:cs="宋体"/>
          <w:color w:val="auto"/>
          <w:highlight w:val="none"/>
          <w:lang w:eastAsia="zh-CN"/>
        </w:rPr>
        <w:t xml:space="preserve">7.6 </w:t>
      </w:r>
      <w:r>
        <w:rPr>
          <w:color w:val="auto"/>
          <w:highlight w:val="none"/>
          <w:lang w:eastAsia="zh-CN"/>
        </w:rPr>
        <w:t>布线系统</w:t>
      </w:r>
      <w:r>
        <w:rPr>
          <w:color w:val="auto"/>
          <w:highlight w:val="none"/>
        </w:rPr>
        <w:tab/>
      </w:r>
      <w:r>
        <w:rPr>
          <w:color w:val="auto"/>
          <w:highlight w:val="none"/>
        </w:rPr>
        <w:fldChar w:fldCharType="begin"/>
      </w:r>
      <w:r>
        <w:rPr>
          <w:color w:val="auto"/>
          <w:highlight w:val="none"/>
        </w:rPr>
        <w:instrText xml:space="preserve"> PAGEREF _Toc21861 \h </w:instrText>
      </w:r>
      <w:r>
        <w:rPr>
          <w:color w:val="auto"/>
          <w:highlight w:val="none"/>
        </w:rPr>
        <w:fldChar w:fldCharType="separate"/>
      </w:r>
      <w:r>
        <w:rPr>
          <w:color w:val="auto"/>
          <w:highlight w:val="none"/>
        </w:rPr>
        <w:t>31</w:t>
      </w:r>
      <w:r>
        <w:rPr>
          <w:color w:val="auto"/>
          <w:highlight w:val="none"/>
        </w:rPr>
        <w:fldChar w:fldCharType="end"/>
      </w:r>
      <w:r>
        <w:rPr>
          <w:rFonts w:cs="Times New Roman"/>
          <w:color w:val="auto"/>
          <w:highlight w:val="none"/>
        </w:rPr>
        <w:fldChar w:fldCharType="end"/>
      </w:r>
    </w:p>
    <w:p w14:paraId="2E0A8054">
      <w:pPr>
        <w:pStyle w:val="17"/>
        <w:tabs>
          <w:tab w:val="right" w:leader="dot" w:pos="8306"/>
        </w:tabs>
        <w:rPr>
          <w:color w:val="auto"/>
          <w:highlight w:val="none"/>
        </w:rPr>
      </w:pPr>
      <w:r>
        <w:rPr>
          <w:rFonts w:cs="Times New Roman"/>
          <w:color w:val="auto"/>
          <w:highlight w:val="none"/>
        </w:rPr>
        <w:fldChar w:fldCharType="begin"/>
      </w:r>
      <w:r>
        <w:rPr>
          <w:rFonts w:cs="Times New Roman"/>
          <w:color w:val="auto"/>
          <w:highlight w:val="none"/>
        </w:rPr>
        <w:instrText xml:space="preserve"> HYPERLINK \l _Toc25388 </w:instrText>
      </w:r>
      <w:r>
        <w:rPr>
          <w:rFonts w:cs="Times New Roman"/>
          <w:color w:val="auto"/>
          <w:highlight w:val="none"/>
        </w:rPr>
        <w:fldChar w:fldCharType="separate"/>
      </w:r>
      <w:r>
        <w:rPr>
          <w:rFonts w:cs="Times New Roman"/>
          <w:color w:val="auto"/>
          <w:highlight w:val="none"/>
        </w:rPr>
        <w:t>附录</w:t>
      </w:r>
      <w:r>
        <w:rPr>
          <w:rFonts w:hint="eastAsia" w:cs="Times New Roman"/>
          <w:color w:val="auto"/>
          <w:highlight w:val="none"/>
        </w:rPr>
        <w:t>A</w:t>
      </w:r>
      <w:r>
        <w:rPr>
          <w:rFonts w:cs="Times New Roman"/>
          <w:color w:val="auto"/>
          <w:highlight w:val="none"/>
        </w:rPr>
        <w:t xml:space="preserve"> </w:t>
      </w:r>
      <w:r>
        <w:rPr>
          <w:rFonts w:hint="eastAsia" w:cs="Times New Roman"/>
          <w:color w:val="auto"/>
          <w:highlight w:val="none"/>
          <w:lang w:val="en-US" w:eastAsia="zh-CN"/>
        </w:rPr>
        <w:t>消防安全评估报告示例</w:t>
      </w:r>
      <w:bookmarkStart w:id="131" w:name="_GoBack"/>
      <w:bookmarkEnd w:id="131"/>
      <w:r>
        <w:rPr>
          <w:color w:val="auto"/>
          <w:highlight w:val="none"/>
        </w:rPr>
        <w:tab/>
      </w:r>
      <w:r>
        <w:rPr>
          <w:color w:val="auto"/>
          <w:highlight w:val="none"/>
        </w:rPr>
        <w:fldChar w:fldCharType="begin"/>
      </w:r>
      <w:r>
        <w:rPr>
          <w:color w:val="auto"/>
          <w:highlight w:val="none"/>
        </w:rPr>
        <w:instrText xml:space="preserve"> PAGEREF _Toc25388 \h </w:instrText>
      </w:r>
      <w:r>
        <w:rPr>
          <w:color w:val="auto"/>
          <w:highlight w:val="none"/>
        </w:rPr>
        <w:fldChar w:fldCharType="separate"/>
      </w:r>
      <w:r>
        <w:rPr>
          <w:color w:val="auto"/>
          <w:highlight w:val="none"/>
        </w:rPr>
        <w:t>32</w:t>
      </w:r>
      <w:r>
        <w:rPr>
          <w:color w:val="auto"/>
          <w:highlight w:val="none"/>
        </w:rPr>
        <w:fldChar w:fldCharType="end"/>
      </w:r>
      <w:r>
        <w:rPr>
          <w:rFonts w:cs="Times New Roman"/>
          <w:color w:val="auto"/>
          <w:highlight w:val="none"/>
        </w:rPr>
        <w:fldChar w:fldCharType="end"/>
      </w:r>
    </w:p>
    <w:p w14:paraId="3636A6D8">
      <w:pPr>
        <w:pStyle w:val="17"/>
        <w:tabs>
          <w:tab w:val="right" w:leader="dot" w:pos="8306"/>
        </w:tabs>
        <w:rPr>
          <w:color w:val="auto"/>
          <w:highlight w:val="none"/>
        </w:rPr>
      </w:pPr>
      <w:r>
        <w:rPr>
          <w:rFonts w:cs="Times New Roman"/>
          <w:color w:val="auto"/>
          <w:highlight w:val="none"/>
        </w:rPr>
        <w:fldChar w:fldCharType="begin"/>
      </w:r>
      <w:r>
        <w:rPr>
          <w:rFonts w:cs="Times New Roman"/>
          <w:color w:val="auto"/>
          <w:highlight w:val="none"/>
        </w:rPr>
        <w:instrText xml:space="preserve"> HYPERLINK \l _Toc15790 </w:instrText>
      </w:r>
      <w:r>
        <w:rPr>
          <w:rFonts w:cs="Times New Roman"/>
          <w:color w:val="auto"/>
          <w:highlight w:val="none"/>
        </w:rPr>
        <w:fldChar w:fldCharType="separate"/>
      </w:r>
      <w:r>
        <w:rPr>
          <w:rFonts w:cs="Times New Roman"/>
          <w:color w:val="auto"/>
          <w:highlight w:val="none"/>
        </w:rPr>
        <w:t>本标准用词说明</w:t>
      </w:r>
      <w:r>
        <w:rPr>
          <w:color w:val="auto"/>
          <w:highlight w:val="none"/>
        </w:rPr>
        <w:tab/>
      </w:r>
      <w:r>
        <w:rPr>
          <w:color w:val="auto"/>
          <w:highlight w:val="none"/>
        </w:rPr>
        <w:fldChar w:fldCharType="begin"/>
      </w:r>
      <w:r>
        <w:rPr>
          <w:color w:val="auto"/>
          <w:highlight w:val="none"/>
        </w:rPr>
        <w:instrText xml:space="preserve"> PAGEREF _Toc15790 \h </w:instrText>
      </w:r>
      <w:r>
        <w:rPr>
          <w:color w:val="auto"/>
          <w:highlight w:val="none"/>
        </w:rPr>
        <w:fldChar w:fldCharType="separate"/>
      </w:r>
      <w:r>
        <w:rPr>
          <w:color w:val="auto"/>
          <w:highlight w:val="none"/>
        </w:rPr>
        <w:t>39</w:t>
      </w:r>
      <w:r>
        <w:rPr>
          <w:color w:val="auto"/>
          <w:highlight w:val="none"/>
        </w:rPr>
        <w:fldChar w:fldCharType="end"/>
      </w:r>
      <w:r>
        <w:rPr>
          <w:rFonts w:cs="Times New Roman"/>
          <w:color w:val="auto"/>
          <w:highlight w:val="none"/>
        </w:rPr>
        <w:fldChar w:fldCharType="end"/>
      </w:r>
    </w:p>
    <w:p w14:paraId="6CDE9E69">
      <w:pPr>
        <w:pStyle w:val="17"/>
        <w:tabs>
          <w:tab w:val="right" w:leader="dot" w:pos="8306"/>
        </w:tabs>
        <w:rPr>
          <w:color w:val="auto"/>
          <w:highlight w:val="none"/>
        </w:rPr>
      </w:pPr>
      <w:r>
        <w:rPr>
          <w:rFonts w:cs="Times New Roman"/>
          <w:color w:val="auto"/>
          <w:highlight w:val="none"/>
        </w:rPr>
        <w:fldChar w:fldCharType="begin"/>
      </w:r>
      <w:r>
        <w:rPr>
          <w:rFonts w:cs="Times New Roman"/>
          <w:color w:val="auto"/>
          <w:highlight w:val="none"/>
        </w:rPr>
        <w:instrText xml:space="preserve"> HYPERLINK \l _Toc17366 </w:instrText>
      </w:r>
      <w:r>
        <w:rPr>
          <w:rFonts w:cs="Times New Roman"/>
          <w:color w:val="auto"/>
          <w:highlight w:val="none"/>
        </w:rPr>
        <w:fldChar w:fldCharType="separate"/>
      </w:r>
      <w:r>
        <w:rPr>
          <w:rFonts w:cs="Times New Roman"/>
          <w:color w:val="auto"/>
          <w:highlight w:val="none"/>
        </w:rPr>
        <w:t>引用标准名录</w:t>
      </w:r>
      <w:r>
        <w:rPr>
          <w:color w:val="auto"/>
          <w:highlight w:val="none"/>
        </w:rPr>
        <w:tab/>
      </w:r>
      <w:r>
        <w:rPr>
          <w:color w:val="auto"/>
          <w:highlight w:val="none"/>
        </w:rPr>
        <w:fldChar w:fldCharType="begin"/>
      </w:r>
      <w:r>
        <w:rPr>
          <w:color w:val="auto"/>
          <w:highlight w:val="none"/>
        </w:rPr>
        <w:instrText xml:space="preserve"> PAGEREF _Toc17366 \h </w:instrText>
      </w:r>
      <w:r>
        <w:rPr>
          <w:color w:val="auto"/>
          <w:highlight w:val="none"/>
        </w:rPr>
        <w:fldChar w:fldCharType="separate"/>
      </w:r>
      <w:r>
        <w:rPr>
          <w:color w:val="auto"/>
          <w:highlight w:val="none"/>
        </w:rPr>
        <w:t>40</w:t>
      </w:r>
      <w:r>
        <w:rPr>
          <w:color w:val="auto"/>
          <w:highlight w:val="none"/>
        </w:rPr>
        <w:fldChar w:fldCharType="end"/>
      </w:r>
      <w:r>
        <w:rPr>
          <w:rFonts w:cs="Times New Roman"/>
          <w:color w:val="auto"/>
          <w:highlight w:val="none"/>
        </w:rPr>
        <w:fldChar w:fldCharType="end"/>
      </w:r>
    </w:p>
    <w:p w14:paraId="3D2B574B">
      <w:pPr>
        <w:pStyle w:val="17"/>
        <w:tabs>
          <w:tab w:val="right" w:leader="dot" w:pos="8306"/>
        </w:tabs>
        <w:ind w:firstLine="0" w:firstLineChars="0"/>
        <w:rPr>
          <w:rFonts w:hint="default" w:eastAsia="宋体" w:cs="Times New Roman"/>
          <w:color w:val="auto"/>
          <w:highlight w:val="none"/>
          <w:lang w:val="en-US" w:eastAsia="zh-CN"/>
        </w:rPr>
        <w:sectPr>
          <w:footerReference r:id="rId5" w:type="default"/>
          <w:pgSz w:w="11906" w:h="16838"/>
          <w:pgMar w:top="1440" w:right="1800" w:bottom="1440" w:left="1800" w:header="851" w:footer="992" w:gutter="0"/>
          <w:pgNumType w:start="1"/>
          <w:cols w:space="425" w:num="1"/>
          <w:docGrid w:type="lines" w:linePitch="312" w:charSpace="0"/>
        </w:sectPr>
      </w:pPr>
      <w:r>
        <w:rPr>
          <w:rFonts w:cs="Times New Roman"/>
          <w:color w:val="auto"/>
          <w:highlight w:val="none"/>
        </w:rPr>
        <w:fldChar w:fldCharType="end"/>
      </w:r>
      <w:r>
        <w:rPr>
          <w:rFonts w:hint="eastAsia" w:cs="Times New Roman"/>
          <w:color w:val="auto"/>
          <w:highlight w:val="none"/>
        </w:rPr>
        <w:t>附：条文说明</w:t>
      </w:r>
      <w:r>
        <w:rPr>
          <w:rFonts w:cs="Times New Roman"/>
          <w:color w:val="auto"/>
          <w:highlight w:val="none"/>
        </w:rPr>
        <w:tab/>
      </w:r>
      <w:r>
        <w:rPr>
          <w:rFonts w:hint="eastAsia" w:cs="Times New Roman"/>
          <w:color w:val="auto"/>
          <w:highlight w:val="none"/>
          <w:lang w:val="en-US" w:eastAsia="zh-CN"/>
        </w:rPr>
        <w:t>42</w:t>
      </w:r>
    </w:p>
    <w:p w14:paraId="0950F6FF">
      <w:pPr>
        <w:pStyle w:val="2"/>
        <w:spacing w:before="156" w:after="156"/>
        <w:rPr>
          <w:rFonts w:cs="Times New Roman"/>
          <w:color w:val="000000" w:themeColor="text1"/>
          <w:highlight w:val="none"/>
          <w14:textFill>
            <w14:solidFill>
              <w14:schemeClr w14:val="tx1"/>
            </w14:solidFill>
          </w14:textFill>
        </w:rPr>
      </w:pPr>
      <w:bookmarkStart w:id="2" w:name="_Toc9626"/>
      <w:r>
        <w:rPr>
          <w:rFonts w:cs="Times New Roman"/>
          <w:color w:val="000000" w:themeColor="text1"/>
          <w:highlight w:val="none"/>
          <w14:textFill>
            <w14:solidFill>
              <w14:schemeClr w14:val="tx1"/>
            </w14:solidFill>
          </w14:textFill>
        </w:rPr>
        <w:t>总</w:t>
      </w:r>
      <w:r>
        <w:rPr>
          <w:rFonts w:hint="eastAsia" w:cs="Times New Roman"/>
          <w:color w:val="000000" w:themeColor="text1"/>
          <w:highlight w:val="none"/>
          <w:lang w:eastAsia="zh-CN"/>
          <w14:textFill>
            <w14:solidFill>
              <w14:schemeClr w14:val="tx1"/>
            </w14:solidFill>
          </w14:textFill>
        </w:rPr>
        <w:t xml:space="preserve"> </w:t>
      </w:r>
      <w:r>
        <w:rPr>
          <w:rFonts w:cs="Times New Roman"/>
          <w:color w:val="000000" w:themeColor="text1"/>
          <w:highlight w:val="none"/>
          <w14:textFill>
            <w14:solidFill>
              <w14:schemeClr w14:val="tx1"/>
            </w14:solidFill>
          </w14:textFill>
        </w:rPr>
        <w:t>则</w:t>
      </w:r>
      <w:bookmarkEnd w:id="2"/>
    </w:p>
    <w:p w14:paraId="7CA05895">
      <w:pPr>
        <w:pStyle w:val="4"/>
        <w:bidi w:val="0"/>
        <w:rPr>
          <w:rFonts w:hint="eastAsia"/>
        </w:rPr>
      </w:pPr>
      <w:r>
        <w:rPr>
          <w:rFonts w:hint="eastAsia"/>
        </w:rPr>
        <w:t>为保障既有建筑改造工程的消防安全，预防和减少火灾危害，保障人身和财产安全，兼顾改造的经济性、可行性，制定本标准。</w:t>
      </w:r>
    </w:p>
    <w:p w14:paraId="03783A51">
      <w:pPr>
        <w:pStyle w:val="4"/>
        <w:bidi w:val="0"/>
        <w:rPr>
          <w:rFonts w:hint="eastAsia"/>
        </w:rPr>
      </w:pPr>
      <w:r>
        <w:rPr>
          <w:rFonts w:hint="eastAsia"/>
        </w:rPr>
        <w:t>本标准适用于以下既有建筑改造工程的设计、施工和使用：</w:t>
      </w:r>
    </w:p>
    <w:p w14:paraId="46E031D8">
      <w:pPr>
        <w:rPr>
          <w:rFonts w:hint="eastAsia"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1</w:t>
      </w:r>
      <w:r>
        <w:rPr>
          <w:rFonts w:hint="eastAsia" w:cs="Times New Roman"/>
          <w:color w:val="000000" w:themeColor="text1"/>
          <w:highlight w:val="none"/>
          <w:lang w:val="en-US" w:eastAsia="zh-CN"/>
          <w14:textFill>
            <w14:solidFill>
              <w14:schemeClr w14:val="tx1"/>
            </w14:solidFill>
          </w14:textFill>
        </w:rPr>
        <w:t xml:space="preserve"> </w:t>
      </w:r>
      <w:r>
        <w:rPr>
          <w:rFonts w:hint="eastAsia" w:cs="Times New Roman"/>
          <w:color w:val="000000" w:themeColor="text1"/>
          <w:highlight w:val="none"/>
          <w14:textFill>
            <w14:solidFill>
              <w14:schemeClr w14:val="tx1"/>
            </w14:solidFill>
          </w14:textFill>
        </w:rPr>
        <w:t>既有住宅建筑或既有非住宅类民用建筑改造为住宅建筑、既有住宅建筑局部改变使用功能的改造；</w:t>
      </w:r>
    </w:p>
    <w:p w14:paraId="1251FDC5">
      <w:pPr>
        <w:rPr>
          <w:rFonts w:hint="eastAsia"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2</w:t>
      </w:r>
      <w:r>
        <w:rPr>
          <w:rFonts w:hint="eastAsia" w:cs="Times New Roman"/>
          <w:color w:val="000000" w:themeColor="text1"/>
          <w:highlight w:val="none"/>
          <w:lang w:val="en-US" w:eastAsia="zh-CN"/>
          <w14:textFill>
            <w14:solidFill>
              <w14:schemeClr w14:val="tx1"/>
            </w14:solidFill>
          </w14:textFill>
        </w:rPr>
        <w:t xml:space="preserve"> </w:t>
      </w:r>
      <w:r>
        <w:rPr>
          <w:rFonts w:hint="eastAsia" w:cs="Times New Roman"/>
          <w:color w:val="000000" w:themeColor="text1"/>
          <w:highlight w:val="none"/>
          <w14:textFill>
            <w14:solidFill>
              <w14:schemeClr w14:val="tx1"/>
            </w14:solidFill>
          </w14:textFill>
        </w:rPr>
        <w:t>既有公共建筑的改造；</w:t>
      </w:r>
    </w:p>
    <w:p w14:paraId="165C1A81">
      <w:pPr>
        <w:rPr>
          <w:rFonts w:hint="eastAsia"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3</w:t>
      </w:r>
      <w:r>
        <w:rPr>
          <w:rFonts w:hint="eastAsia" w:cs="Times New Roman"/>
          <w:color w:val="000000" w:themeColor="text1"/>
          <w:highlight w:val="none"/>
          <w:lang w:val="en-US" w:eastAsia="zh-CN"/>
          <w14:textFill>
            <w14:solidFill>
              <w14:schemeClr w14:val="tx1"/>
            </w14:solidFill>
          </w14:textFill>
        </w:rPr>
        <w:t xml:space="preserve"> </w:t>
      </w:r>
      <w:r>
        <w:rPr>
          <w:rFonts w:hint="eastAsia" w:cs="Times New Roman"/>
          <w:color w:val="000000" w:themeColor="text1"/>
          <w:highlight w:val="none"/>
          <w14:textFill>
            <w14:solidFill>
              <w14:schemeClr w14:val="tx1"/>
            </w14:solidFill>
          </w14:textFill>
        </w:rPr>
        <w:t>既有住宅建筑改造为公共建筑的改造；</w:t>
      </w:r>
    </w:p>
    <w:p w14:paraId="5856F35F">
      <w:pPr>
        <w:rPr>
          <w:rFonts w:hint="eastAsia" w:eastAsia="宋体" w:cs="Times New Roman"/>
          <w:color w:val="000000" w:themeColor="text1"/>
          <w:highlight w:val="none"/>
          <w:lang w:eastAsia="zh-CN"/>
          <w14:textFill>
            <w14:solidFill>
              <w14:schemeClr w14:val="tx1"/>
            </w14:solidFill>
          </w14:textFill>
        </w:rPr>
      </w:pPr>
      <w:r>
        <w:rPr>
          <w:rFonts w:hint="eastAsia" w:cs="Times New Roman"/>
          <w:color w:val="000000" w:themeColor="text1"/>
          <w:highlight w:val="none"/>
          <w14:textFill>
            <w14:solidFill>
              <w14:schemeClr w14:val="tx1"/>
            </w14:solidFill>
          </w14:textFill>
        </w:rPr>
        <w:t>4</w:t>
      </w:r>
      <w:r>
        <w:rPr>
          <w:rFonts w:hint="eastAsia" w:cs="Times New Roman"/>
          <w:color w:val="000000" w:themeColor="text1"/>
          <w:highlight w:val="none"/>
          <w:lang w:val="en-US" w:eastAsia="zh-CN"/>
          <w14:textFill>
            <w14:solidFill>
              <w14:schemeClr w14:val="tx1"/>
            </w14:solidFill>
          </w14:textFill>
        </w:rPr>
        <w:t xml:space="preserve"> </w:t>
      </w:r>
      <w:r>
        <w:rPr>
          <w:rFonts w:hint="eastAsia" w:cs="Times New Roman"/>
          <w:color w:val="000000" w:themeColor="text1"/>
          <w:highlight w:val="none"/>
          <w14:textFill>
            <w14:solidFill>
              <w14:schemeClr w14:val="tx1"/>
            </w14:solidFill>
          </w14:textFill>
        </w:rPr>
        <w:t>既有工业建筑的改造；</w:t>
      </w:r>
    </w:p>
    <w:p w14:paraId="1A437441">
      <w:pPr>
        <w:rPr>
          <w:rFonts w:hint="eastAsia"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5</w:t>
      </w:r>
      <w:r>
        <w:rPr>
          <w:rFonts w:hint="eastAsia" w:cs="Times New Roman"/>
          <w:color w:val="000000" w:themeColor="text1"/>
          <w:highlight w:val="none"/>
          <w:lang w:val="en-US" w:eastAsia="zh-CN"/>
          <w14:textFill>
            <w14:solidFill>
              <w14:schemeClr w14:val="tx1"/>
            </w14:solidFill>
          </w14:textFill>
        </w:rPr>
        <w:t xml:space="preserve"> </w:t>
      </w:r>
      <w:r>
        <w:rPr>
          <w:rFonts w:hint="eastAsia" w:cs="Times New Roman"/>
          <w:color w:val="000000" w:themeColor="text1"/>
          <w:highlight w:val="none"/>
          <w14:textFill>
            <w14:solidFill>
              <w14:schemeClr w14:val="tx1"/>
            </w14:solidFill>
          </w14:textFill>
        </w:rPr>
        <w:t>既有工业建筑改造为民用建筑的改造。</w:t>
      </w:r>
    </w:p>
    <w:p w14:paraId="390A36C1">
      <w:pPr>
        <w:pStyle w:val="4"/>
        <w:bidi w:val="0"/>
        <w:rPr>
          <w:rFonts w:hint="eastAsia"/>
        </w:rPr>
      </w:pPr>
      <w:r>
        <w:rPr>
          <w:rFonts w:hint="eastAsia"/>
        </w:rPr>
        <w:t>本标准不适用于以下既有建筑改造的设计、施工和使用：</w:t>
      </w:r>
    </w:p>
    <w:p w14:paraId="38794CD0">
      <w:pPr>
        <w:bidi w:val="0"/>
        <w:rPr>
          <w:rFonts w:hint="eastAsia"/>
          <w:color w:val="auto"/>
          <w:highlight w:val="none"/>
          <w:lang w:eastAsia="zh-CN"/>
        </w:rPr>
      </w:pPr>
      <w:r>
        <w:rPr>
          <w:rFonts w:hint="eastAsia"/>
          <w:color w:val="auto"/>
          <w:highlight w:val="none"/>
        </w:rPr>
        <w:t>1</w:t>
      </w:r>
      <w:r>
        <w:rPr>
          <w:rFonts w:hint="eastAsia"/>
          <w:color w:val="auto"/>
          <w:highlight w:val="none"/>
          <w:lang w:val="en-US" w:eastAsia="zh-CN"/>
        </w:rPr>
        <w:t xml:space="preserve"> </w:t>
      </w:r>
      <w:r>
        <w:rPr>
          <w:rFonts w:hint="eastAsia"/>
          <w:color w:val="auto"/>
          <w:highlight w:val="none"/>
        </w:rPr>
        <w:t>历史文化名城、名镇、名街、名村中的历史建筑，文物建筑和传统村落建筑</w:t>
      </w:r>
      <w:r>
        <w:rPr>
          <w:rFonts w:hint="eastAsia"/>
          <w:color w:val="auto"/>
          <w:highlight w:val="none"/>
          <w:lang w:eastAsia="zh-CN"/>
        </w:rPr>
        <w:t>；</w:t>
      </w:r>
    </w:p>
    <w:p w14:paraId="089DD692">
      <w:pPr>
        <w:bidi w:val="0"/>
        <w:rPr>
          <w:rFonts w:hint="eastAsia"/>
          <w:color w:val="auto"/>
          <w:highlight w:val="none"/>
          <w:lang w:eastAsia="zh-CN"/>
        </w:rPr>
      </w:pPr>
      <w:r>
        <w:rPr>
          <w:rFonts w:hint="eastAsia"/>
          <w:color w:val="auto"/>
          <w:highlight w:val="none"/>
        </w:rPr>
        <w:t>2</w:t>
      </w:r>
      <w:r>
        <w:rPr>
          <w:rFonts w:hint="eastAsia"/>
          <w:color w:val="auto"/>
          <w:highlight w:val="none"/>
          <w:lang w:val="en-US" w:eastAsia="zh-CN"/>
        </w:rPr>
        <w:t xml:space="preserve"> </w:t>
      </w:r>
      <w:r>
        <w:rPr>
          <w:rFonts w:hint="eastAsia"/>
          <w:color w:val="auto"/>
          <w:highlight w:val="none"/>
        </w:rPr>
        <w:t>村民自建房和住宅建筑户内装修改造</w:t>
      </w:r>
      <w:r>
        <w:rPr>
          <w:rFonts w:hint="eastAsia"/>
          <w:color w:val="auto"/>
          <w:highlight w:val="none"/>
          <w:lang w:eastAsia="zh-CN"/>
        </w:rPr>
        <w:t>；</w:t>
      </w:r>
    </w:p>
    <w:p w14:paraId="0954D67A">
      <w:pPr>
        <w:bidi w:val="0"/>
        <w:rPr>
          <w:rFonts w:hint="eastAsia"/>
          <w:color w:val="auto"/>
          <w:highlight w:val="none"/>
        </w:rPr>
      </w:pPr>
      <w:r>
        <w:rPr>
          <w:rFonts w:hint="eastAsia"/>
          <w:color w:val="auto"/>
          <w:highlight w:val="none"/>
        </w:rPr>
        <w:t>3</w:t>
      </w:r>
      <w:r>
        <w:rPr>
          <w:rFonts w:hint="eastAsia"/>
          <w:color w:val="auto"/>
          <w:highlight w:val="none"/>
          <w:lang w:val="en-US" w:eastAsia="zh-CN"/>
        </w:rPr>
        <w:t xml:space="preserve"> </w:t>
      </w:r>
      <w:r>
        <w:rPr>
          <w:rFonts w:hint="eastAsia"/>
          <w:color w:val="auto"/>
          <w:highlight w:val="none"/>
        </w:rPr>
        <w:t>既有建筑增设电动自行车集中充电和停放场所。</w:t>
      </w:r>
    </w:p>
    <w:p w14:paraId="636596C6">
      <w:pPr>
        <w:pStyle w:val="4"/>
        <w:bidi w:val="0"/>
        <w:rPr>
          <w:rFonts w:hint="eastAsia"/>
        </w:rPr>
      </w:pPr>
      <w:r>
        <w:rPr>
          <w:rFonts w:hint="eastAsia"/>
        </w:rPr>
        <w:t>既有建筑改造工程设计、施工和使用，应遵循国家的有关方针政策，统筹兼顾建筑的保护、功能与消防安全，积极采用新技术、新材料和新工艺，做到安全适用、技术先进、经济合理。既有建筑改造后的防火性能，当不改变使用功能时，不应低于原建造时的标准。</w:t>
      </w:r>
    </w:p>
    <w:p w14:paraId="119EAEE6">
      <w:pPr>
        <w:pStyle w:val="4"/>
        <w:bidi w:val="0"/>
        <w:rPr>
          <w:rFonts w:hint="eastAsia"/>
        </w:rPr>
      </w:pPr>
      <w:r>
        <w:rPr>
          <w:rFonts w:hint="eastAsia"/>
        </w:rPr>
        <w:t>既有建筑改造设计、施工和使用，除应符合本标准的规定外，尚应与国家现行有关标准的规定衔接。</w:t>
      </w:r>
    </w:p>
    <w:p w14:paraId="7627A179">
      <w:pPr>
        <w:pStyle w:val="4"/>
        <w:bidi w:val="0"/>
        <w:rPr>
          <w:rFonts w:hint="eastAsia"/>
        </w:rPr>
      </w:pPr>
      <w:r>
        <w:rPr>
          <w:rFonts w:hint="eastAsia"/>
        </w:rPr>
        <w:t>本标准未涉及的消防设计内容，应符合现行消防技术标准和相关法律法规的规定。</w:t>
      </w:r>
    </w:p>
    <w:p w14:paraId="2C7EA35B">
      <w:pPr>
        <w:pStyle w:val="4"/>
        <w:bidi w:val="0"/>
        <w:rPr>
          <w:rFonts w:hint="eastAsia"/>
        </w:rPr>
      </w:pPr>
      <w:r>
        <w:rPr>
          <w:rFonts w:hint="eastAsia"/>
        </w:rPr>
        <w:t>改变既有建筑主体结构或使用功能的，改造实施前应依法依规取得规划主管部门的审批或政府相关部门的认可。</w:t>
      </w:r>
    </w:p>
    <w:p w14:paraId="26E94FA2">
      <w:pPr>
        <w:pStyle w:val="4"/>
        <w:bidi w:val="0"/>
      </w:pPr>
      <w:r>
        <w:rPr>
          <w:rFonts w:hint="eastAsia"/>
        </w:rPr>
        <w:t>本标准不能解决的消防技术问题，可根据可行性评估的内容，提出消防设计解决方案，由建设行政管理部门根据相关规定组织消防专项论证。</w:t>
      </w:r>
      <w:r>
        <w:br w:type="page"/>
      </w:r>
    </w:p>
    <w:p w14:paraId="443E9436">
      <w:pPr>
        <w:pStyle w:val="2"/>
        <w:spacing w:before="156" w:after="0" w:afterLines="0"/>
        <w:rPr>
          <w:rFonts w:cs="Times New Roman"/>
          <w:color w:val="000000" w:themeColor="text1"/>
          <w:highlight w:val="none"/>
          <w14:textFill>
            <w14:solidFill>
              <w14:schemeClr w14:val="tx1"/>
            </w14:solidFill>
          </w14:textFill>
        </w:rPr>
      </w:pPr>
      <w:bookmarkStart w:id="3" w:name="_Toc20003"/>
      <w:r>
        <w:rPr>
          <w:rFonts w:cs="Times New Roman"/>
          <w:color w:val="000000" w:themeColor="text1"/>
          <w:highlight w:val="none"/>
          <w14:textFill>
            <w14:solidFill>
              <w14:schemeClr w14:val="tx1"/>
            </w14:solidFill>
          </w14:textFill>
        </w:rPr>
        <w:t>术</w:t>
      </w:r>
      <w:r>
        <w:rPr>
          <w:rFonts w:hint="eastAsia" w:cs="Times New Roman"/>
          <w:color w:val="000000" w:themeColor="text1"/>
          <w:highlight w:val="none"/>
          <w:lang w:eastAsia="zh-CN"/>
          <w14:textFill>
            <w14:solidFill>
              <w14:schemeClr w14:val="tx1"/>
            </w14:solidFill>
          </w14:textFill>
        </w:rPr>
        <w:t xml:space="preserve"> </w:t>
      </w:r>
      <w:r>
        <w:rPr>
          <w:rFonts w:cs="Times New Roman"/>
          <w:color w:val="000000" w:themeColor="text1"/>
          <w:highlight w:val="none"/>
          <w14:textFill>
            <w14:solidFill>
              <w14:schemeClr w14:val="tx1"/>
            </w14:solidFill>
          </w14:textFill>
        </w:rPr>
        <w:t>语</w:t>
      </w:r>
      <w:bookmarkEnd w:id="3"/>
    </w:p>
    <w:p w14:paraId="51214BAB">
      <w:pPr>
        <w:pStyle w:val="4"/>
        <w:bidi w:val="0"/>
        <w:rPr>
          <w:rFonts w:hint="eastAsia"/>
        </w:rPr>
      </w:pPr>
      <w:bookmarkStart w:id="4" w:name="_Toc4283"/>
      <w:bookmarkEnd w:id="4"/>
      <w:r>
        <w:rPr>
          <w:rFonts w:hint="eastAsia"/>
        </w:rPr>
        <w:t>既有建筑existing</w:t>
      </w:r>
      <w:r>
        <w:rPr>
          <w:rFonts w:hint="eastAsia"/>
          <w:lang w:eastAsia="zh-CN"/>
        </w:rPr>
        <w:t xml:space="preserve"> </w:t>
      </w:r>
      <w:r>
        <w:rPr>
          <w:rFonts w:hint="eastAsia"/>
        </w:rPr>
        <w:t>building</w:t>
      </w:r>
    </w:p>
    <w:p w14:paraId="1EE481A4">
      <w:pPr>
        <w:bidi w:val="0"/>
        <w:rPr>
          <w:rFonts w:hint="eastAsia"/>
          <w:color w:val="auto"/>
          <w:highlight w:val="none"/>
        </w:rPr>
      </w:pPr>
      <w:r>
        <w:rPr>
          <w:rFonts w:hint="eastAsia"/>
          <w:color w:val="auto"/>
          <w:highlight w:val="none"/>
        </w:rPr>
        <w:t>已建成并投入使用，或具有房屋产权的建筑。</w:t>
      </w:r>
    </w:p>
    <w:p w14:paraId="7AA38155">
      <w:pPr>
        <w:pStyle w:val="4"/>
        <w:bidi w:val="0"/>
        <w:rPr>
          <w:rFonts w:hint="eastAsia"/>
        </w:rPr>
      </w:pPr>
      <w:r>
        <w:rPr>
          <w:rFonts w:hint="eastAsia"/>
        </w:rPr>
        <w:t>既有建筑改造existing</w:t>
      </w:r>
      <w:r>
        <w:rPr>
          <w:rFonts w:hint="eastAsia"/>
          <w:lang w:eastAsia="zh-CN"/>
        </w:rPr>
        <w:t xml:space="preserve"> </w:t>
      </w:r>
      <w:r>
        <w:rPr>
          <w:rFonts w:hint="eastAsia"/>
        </w:rPr>
        <w:t>building</w:t>
      </w:r>
      <w:r>
        <w:rPr>
          <w:rFonts w:hint="eastAsia"/>
          <w:lang w:eastAsia="zh-CN"/>
        </w:rPr>
        <w:t xml:space="preserve"> </w:t>
      </w:r>
      <w:r>
        <w:rPr>
          <w:rFonts w:hint="eastAsia"/>
        </w:rPr>
        <w:t>rehabilitation</w:t>
      </w:r>
    </w:p>
    <w:p w14:paraId="5A272DE7">
      <w:pPr>
        <w:bidi w:val="0"/>
        <w:rPr>
          <w:rFonts w:hint="eastAsia"/>
          <w:color w:val="auto"/>
          <w:highlight w:val="none"/>
        </w:rPr>
      </w:pPr>
      <w:r>
        <w:rPr>
          <w:rFonts w:hint="eastAsia"/>
          <w:color w:val="auto"/>
          <w:highlight w:val="none"/>
        </w:rPr>
        <w:t>是指在法定程序下，通过专业技术手段，对已投入使用建筑进行系统性改变和升级，以解决其安全性、功能性或性能缺陷，使其符合当前发展需求的</w:t>
      </w:r>
      <w:r>
        <w:rPr>
          <w:rFonts w:hint="default"/>
          <w:color w:val="auto"/>
          <w:highlight w:val="none"/>
        </w:rPr>
        <w:t>法定建设活动。</w:t>
      </w:r>
    </w:p>
    <w:p w14:paraId="1E735B08">
      <w:pPr>
        <w:pStyle w:val="4"/>
        <w:bidi w:val="0"/>
        <w:rPr>
          <w:rFonts w:hint="eastAsia"/>
        </w:rPr>
      </w:pPr>
      <w:r>
        <w:rPr>
          <w:rFonts w:hint="eastAsia"/>
        </w:rPr>
        <w:t>既有建筑迁移existing</w:t>
      </w:r>
      <w:r>
        <w:rPr>
          <w:rFonts w:hint="eastAsia"/>
          <w:lang w:eastAsia="zh-CN"/>
        </w:rPr>
        <w:t xml:space="preserve"> </w:t>
      </w:r>
      <w:r>
        <w:rPr>
          <w:rFonts w:hint="eastAsia"/>
        </w:rPr>
        <w:t>building</w:t>
      </w:r>
      <w:r>
        <w:rPr>
          <w:rFonts w:hint="eastAsia"/>
          <w:lang w:eastAsia="zh-CN"/>
        </w:rPr>
        <w:t xml:space="preserve"> </w:t>
      </w:r>
      <w:r>
        <w:rPr>
          <w:rFonts w:hint="eastAsia"/>
        </w:rPr>
        <w:t>relocation</w:t>
      </w:r>
    </w:p>
    <w:p w14:paraId="7A8A98E0">
      <w:pPr>
        <w:bidi w:val="0"/>
        <w:rPr>
          <w:rFonts w:hint="eastAsia"/>
          <w:color w:val="auto"/>
          <w:highlight w:val="none"/>
        </w:rPr>
      </w:pPr>
      <w:r>
        <w:rPr>
          <w:rFonts w:hint="eastAsia"/>
          <w:color w:val="auto"/>
          <w:highlight w:val="none"/>
        </w:rPr>
        <w:t>将既有建筑按原状从建造原址整体搬迁至另一地点的活动。</w:t>
      </w:r>
    </w:p>
    <w:p w14:paraId="31E820C6">
      <w:pPr>
        <w:pStyle w:val="4"/>
        <w:bidi w:val="0"/>
        <w:rPr>
          <w:rFonts w:hint="eastAsia"/>
        </w:rPr>
      </w:pPr>
      <w:r>
        <w:rPr>
          <w:rFonts w:hint="eastAsia"/>
        </w:rPr>
        <w:t>修缮repair</w:t>
      </w:r>
      <w:r>
        <w:rPr>
          <w:rFonts w:hint="eastAsia"/>
          <w:lang w:eastAsia="zh-CN"/>
        </w:rPr>
        <w:t xml:space="preserve"> </w:t>
      </w:r>
      <w:r>
        <w:rPr>
          <w:rFonts w:hint="eastAsia"/>
        </w:rPr>
        <w:t>and</w:t>
      </w:r>
      <w:r>
        <w:rPr>
          <w:rFonts w:hint="eastAsia"/>
          <w:lang w:eastAsia="zh-CN"/>
        </w:rPr>
        <w:t xml:space="preserve"> </w:t>
      </w:r>
      <w:r>
        <w:rPr>
          <w:rFonts w:hint="eastAsia"/>
        </w:rPr>
        <w:t>renovation</w:t>
      </w:r>
    </w:p>
    <w:p w14:paraId="0809E55B">
      <w:pPr>
        <w:bidi w:val="0"/>
        <w:rPr>
          <w:rFonts w:hint="eastAsia"/>
          <w:color w:val="auto"/>
          <w:highlight w:val="none"/>
        </w:rPr>
      </w:pPr>
      <w:r>
        <w:rPr>
          <w:rFonts w:hint="eastAsia"/>
          <w:color w:val="auto"/>
          <w:highlight w:val="none"/>
        </w:rPr>
        <w:t>对既有建筑进行维修、养护，使其保持、恢复原有完好程度、功能和结构安全的活动。</w:t>
      </w:r>
    </w:p>
    <w:p w14:paraId="12B00668">
      <w:pPr>
        <w:pStyle w:val="4"/>
        <w:bidi w:val="0"/>
        <w:rPr>
          <w:rFonts w:hint="eastAsia"/>
        </w:rPr>
      </w:pPr>
      <w:r>
        <w:rPr>
          <w:rFonts w:hint="eastAsia"/>
        </w:rPr>
        <w:t>立面改造facade</w:t>
      </w:r>
      <w:r>
        <w:rPr>
          <w:rFonts w:hint="eastAsia"/>
          <w:lang w:eastAsia="zh-CN"/>
        </w:rPr>
        <w:t xml:space="preserve"> </w:t>
      </w:r>
      <w:r>
        <w:rPr>
          <w:rFonts w:hint="eastAsia"/>
        </w:rPr>
        <w:t>renovation</w:t>
      </w:r>
    </w:p>
    <w:p w14:paraId="4017740F">
      <w:pPr>
        <w:bidi w:val="0"/>
        <w:rPr>
          <w:rFonts w:hint="eastAsia"/>
          <w:color w:val="auto"/>
          <w:highlight w:val="none"/>
        </w:rPr>
      </w:pPr>
      <w:r>
        <w:rPr>
          <w:rFonts w:hint="eastAsia"/>
          <w:color w:val="auto"/>
          <w:highlight w:val="none"/>
        </w:rPr>
        <w:t>为改善建筑外观、提升建筑外围护性能等，仅对建筑外围护部分进行改造的活动。</w:t>
      </w:r>
    </w:p>
    <w:p w14:paraId="7501021E">
      <w:pPr>
        <w:pStyle w:val="4"/>
        <w:bidi w:val="0"/>
        <w:rPr>
          <w:rFonts w:hint="eastAsia"/>
        </w:rPr>
      </w:pPr>
      <w:r>
        <w:rPr>
          <w:rFonts w:hint="eastAsia"/>
        </w:rPr>
        <w:t>内部装修inner</w:t>
      </w:r>
      <w:r>
        <w:rPr>
          <w:rFonts w:hint="eastAsia"/>
          <w:lang w:eastAsia="zh-CN"/>
        </w:rPr>
        <w:t xml:space="preserve"> </w:t>
      </w:r>
      <w:r>
        <w:rPr>
          <w:rFonts w:hint="eastAsia"/>
        </w:rPr>
        <w:t>decoration</w:t>
      </w:r>
    </w:p>
    <w:p w14:paraId="7495F85F">
      <w:pPr>
        <w:bidi w:val="0"/>
        <w:rPr>
          <w:rFonts w:hint="eastAsia"/>
          <w:color w:val="auto"/>
          <w:highlight w:val="none"/>
        </w:rPr>
      </w:pPr>
      <w:r>
        <w:rPr>
          <w:rFonts w:hint="eastAsia"/>
          <w:color w:val="auto"/>
          <w:highlight w:val="none"/>
        </w:rPr>
        <w:t>为满足建筑功能需求，仅对建筑内部空间进行修饰、保护及固定设施安装等活动的活动。</w:t>
      </w:r>
    </w:p>
    <w:p w14:paraId="69932D91">
      <w:pPr>
        <w:pStyle w:val="4"/>
        <w:bidi w:val="0"/>
        <w:rPr>
          <w:rFonts w:hint="eastAsia"/>
        </w:rPr>
      </w:pPr>
      <w:r>
        <w:rPr>
          <w:rFonts w:hint="eastAsia"/>
        </w:rPr>
        <w:t>局部改造partial</w:t>
      </w:r>
      <w:r>
        <w:rPr>
          <w:rFonts w:hint="eastAsia"/>
          <w:lang w:eastAsia="zh-CN"/>
        </w:rPr>
        <w:t xml:space="preserve"> </w:t>
      </w:r>
      <w:r>
        <w:rPr>
          <w:rFonts w:hint="eastAsia"/>
        </w:rPr>
        <w:t>rehabilitation</w:t>
      </w:r>
    </w:p>
    <w:p w14:paraId="03FDEA0A">
      <w:pPr>
        <w:bidi w:val="0"/>
        <w:rPr>
          <w:rFonts w:hint="eastAsia"/>
          <w:color w:val="auto"/>
          <w:highlight w:val="none"/>
        </w:rPr>
      </w:pPr>
      <w:r>
        <w:rPr>
          <w:rFonts w:hint="eastAsia"/>
          <w:color w:val="auto"/>
          <w:highlight w:val="none"/>
        </w:rPr>
        <w:t>改变既有建筑中部分区域的平面布置与分隔、内部装修、建筑设施设备等，使其满足改造区域的功能要求的活动。</w:t>
      </w:r>
    </w:p>
    <w:p w14:paraId="67EC9D57">
      <w:pPr>
        <w:pStyle w:val="4"/>
        <w:bidi w:val="0"/>
        <w:rPr>
          <w:rFonts w:hint="eastAsia"/>
        </w:rPr>
      </w:pPr>
      <w:r>
        <w:rPr>
          <w:rFonts w:hint="eastAsia"/>
        </w:rPr>
        <w:t>整体改造overall</w:t>
      </w:r>
      <w:r>
        <w:rPr>
          <w:rFonts w:hint="eastAsia"/>
          <w:lang w:eastAsia="zh-CN"/>
        </w:rPr>
        <w:t xml:space="preserve"> </w:t>
      </w:r>
      <w:r>
        <w:rPr>
          <w:rFonts w:hint="eastAsia"/>
        </w:rPr>
        <w:t>rehabilitation</w:t>
      </w:r>
    </w:p>
    <w:p w14:paraId="7A68A0FA">
      <w:pPr>
        <w:bidi w:val="0"/>
        <w:rPr>
          <w:rFonts w:hint="eastAsia"/>
          <w:color w:val="auto"/>
          <w:highlight w:val="none"/>
        </w:rPr>
      </w:pPr>
      <w:r>
        <w:rPr>
          <w:rFonts w:hint="eastAsia"/>
          <w:color w:val="auto"/>
          <w:highlight w:val="none"/>
        </w:rPr>
        <w:t>整体改变既有建筑内部平面布置与分隔、内部装修、建筑设施设备等，重塑建筑功能的活动。</w:t>
      </w:r>
    </w:p>
    <w:p w14:paraId="79F4C67A">
      <w:pPr>
        <w:pStyle w:val="4"/>
        <w:bidi w:val="0"/>
        <w:rPr>
          <w:rFonts w:hint="eastAsia"/>
          <w:lang w:val="en-US" w:eastAsia="zh-CN"/>
        </w:rPr>
      </w:pPr>
      <w:r>
        <w:rPr>
          <w:rFonts w:hint="eastAsia"/>
          <w:lang w:val="en-US" w:eastAsia="zh-CN"/>
        </w:rPr>
        <w:t>原设计标准original design standards</w:t>
      </w:r>
    </w:p>
    <w:p w14:paraId="794DA188">
      <w:pPr>
        <w:bidi w:val="0"/>
        <w:rPr>
          <w:rFonts w:hint="eastAsia"/>
          <w:color w:val="auto"/>
          <w:highlight w:val="none"/>
        </w:rPr>
      </w:pPr>
      <w:r>
        <w:rPr>
          <w:rFonts w:hint="default"/>
          <w:color w:val="auto"/>
          <w:highlight w:val="none"/>
        </w:rPr>
        <w:t>既有建筑在最初设计阶段所依据的、当时国家或地方正式颁布并强制执行的工程建设技术标准、规范、规程的总和，以及基于这些标准完成的、具有法律效力的设计文件本身。</w:t>
      </w:r>
    </w:p>
    <w:p w14:paraId="0C955C00">
      <w:pPr>
        <w:pStyle w:val="4"/>
        <w:bidi w:val="0"/>
      </w:pPr>
      <w:r>
        <w:rPr>
          <w:rFonts w:hint="eastAsia"/>
        </w:rPr>
        <w:t>建筑类别</w:t>
      </w:r>
      <w:r>
        <w:rPr>
          <w:rFonts w:hint="eastAsia"/>
          <w:lang w:val="en-US" w:eastAsia="zh-CN"/>
        </w:rPr>
        <w:t>building classification</w:t>
      </w:r>
    </w:p>
    <w:p w14:paraId="4C4ECBA8">
      <w:pPr>
        <w:rPr>
          <w:color w:val="auto"/>
          <w:highlight w:val="none"/>
        </w:rPr>
      </w:pPr>
      <w:r>
        <w:rPr>
          <w:rFonts w:hint="eastAsia"/>
          <w:color w:val="auto"/>
          <w:highlight w:val="none"/>
        </w:rPr>
        <w:t>依据建筑的基本属性、在生产、生活中的宏观角色，所进行的最高层级划分。，是建筑所有技术要求的根本前提。示例： 民用建筑、工业建筑等。</w:t>
      </w:r>
    </w:p>
    <w:p w14:paraId="0021CDCC">
      <w:pPr>
        <w:pStyle w:val="4"/>
        <w:bidi w:val="0"/>
      </w:pPr>
      <w:r>
        <w:rPr>
          <w:rFonts w:hint="eastAsia"/>
        </w:rPr>
        <w:t xml:space="preserve">建筑功能 </w:t>
      </w:r>
      <w:r>
        <w:rPr>
          <w:rFonts w:hint="eastAsia"/>
          <w:lang w:val="en-US" w:eastAsia="zh-CN"/>
        </w:rPr>
        <w:t xml:space="preserve">building function  </w:t>
      </w:r>
    </w:p>
    <w:p w14:paraId="02C1BE0B">
      <w:pPr>
        <w:rPr>
          <w:strike/>
          <w:dstrike w:val="0"/>
          <w:color w:val="auto"/>
          <w:highlight w:val="none"/>
        </w:rPr>
      </w:pPr>
      <w:r>
        <w:rPr>
          <w:rFonts w:hint="eastAsia"/>
          <w:color w:val="auto"/>
          <w:highlight w:val="none"/>
        </w:rPr>
        <w:t>在既定建筑类别下，对建筑核心用途、服务模式及使用人群的界定。它是建筑设计的核心导向，直接决定了建筑的空间组织逻辑和主要技术系统的配置等级。</w:t>
      </w:r>
    </w:p>
    <w:p w14:paraId="6E5625C4">
      <w:pPr>
        <w:pStyle w:val="4"/>
        <w:bidi w:val="0"/>
      </w:pPr>
      <w:bookmarkStart w:id="5" w:name="OLE_LINK2"/>
      <w:r>
        <w:rPr>
          <w:rFonts w:hint="eastAsia"/>
        </w:rPr>
        <w:t>功能类型</w:t>
      </w:r>
      <w:bookmarkEnd w:id="5"/>
      <w:r>
        <w:rPr>
          <w:rFonts w:hint="eastAsia"/>
          <w:lang w:val="en-US" w:eastAsia="zh-CN"/>
        </w:rPr>
        <w:t>function type</w:t>
      </w:r>
    </w:p>
    <w:p w14:paraId="26F94605">
      <w:pPr>
        <w:rPr>
          <w:strike/>
          <w:dstrike w:val="0"/>
          <w:color w:val="auto"/>
          <w:highlight w:val="none"/>
        </w:rPr>
      </w:pPr>
      <w:r>
        <w:rPr>
          <w:rFonts w:hint="eastAsia"/>
          <w:color w:val="auto"/>
          <w:highlight w:val="none"/>
        </w:rPr>
        <w:t>在特定建筑功能范围内，根据具体的运营模式、活动内容或服务对象细分而成的中观形态。此层级是衔接宏观功能与微观空间的关键，是进行专项设计和防火分区的重要依据。</w:t>
      </w:r>
    </w:p>
    <w:p w14:paraId="78F77D1A">
      <w:pPr>
        <w:pStyle w:val="4"/>
        <w:bidi w:val="0"/>
      </w:pPr>
      <w:r>
        <w:rPr>
          <w:rFonts w:hint="eastAsia"/>
        </w:rPr>
        <w:t>空间用途</w:t>
      </w:r>
      <w:r>
        <w:rPr>
          <w:rFonts w:hint="eastAsia"/>
          <w:lang w:val="en-US" w:eastAsia="zh-CN"/>
        </w:rPr>
        <w:t>space function</w:t>
      </w:r>
    </w:p>
    <w:p w14:paraId="145E2CC0">
      <w:pPr>
        <w:rPr>
          <w:color w:val="auto"/>
          <w:highlight w:val="none"/>
        </w:rPr>
      </w:pPr>
      <w:r>
        <w:rPr>
          <w:rFonts w:hint="eastAsia"/>
          <w:color w:val="auto"/>
          <w:highlight w:val="none"/>
        </w:rPr>
        <w:t>为实现特定功能类型而设置的、具有明确且单一使用目的的最终空间单元。它是建筑设计中最小的功能载体，是室内环境设计、安全措施落实和设备终端配置的最终对象。</w:t>
      </w:r>
    </w:p>
    <w:p w14:paraId="0C2B0B3F">
      <w:pPr>
        <w:pStyle w:val="4"/>
        <w:bidi w:val="0"/>
      </w:pPr>
      <w:r>
        <w:rPr>
          <w:rFonts w:hint="eastAsia"/>
        </w:rPr>
        <w:t>工业建筑火灾危险性</w:t>
      </w:r>
      <w:r>
        <w:rPr>
          <w:rFonts w:hint="eastAsia"/>
          <w:lang w:val="en-US" w:eastAsia="zh-CN"/>
        </w:rPr>
        <w:t>fire risk classification of industrial buildings</w:t>
      </w:r>
    </w:p>
    <w:p w14:paraId="504CD54A">
      <w:pPr>
        <w:rPr>
          <w:color w:val="auto"/>
          <w:highlight w:val="none"/>
        </w:rPr>
      </w:pPr>
      <w:r>
        <w:rPr>
          <w:rFonts w:hint="eastAsia"/>
          <w:color w:val="auto"/>
          <w:highlight w:val="none"/>
        </w:rPr>
        <w:t>根据工业建筑中生产或储存物品的火灾危险性类别、数量及其分布状况，综合考虑工艺过程的火灾风险特征，为确定建筑防火措施而划分的建筑风险等级。</w:t>
      </w:r>
    </w:p>
    <w:p w14:paraId="6624ECF5">
      <w:pPr>
        <w:rPr>
          <w:color w:val="auto"/>
          <w:highlight w:val="none"/>
        </w:rPr>
      </w:pPr>
      <w:r>
        <w:rPr>
          <w:rFonts w:hint="eastAsia"/>
          <w:color w:val="auto"/>
          <w:highlight w:val="none"/>
        </w:rPr>
        <w:t>其由高到低分别为甲类、乙类、丙类、丁类、戊类。</w:t>
      </w:r>
    </w:p>
    <w:p w14:paraId="47E49F99">
      <w:pPr>
        <w:pStyle w:val="4"/>
        <w:bidi w:val="0"/>
      </w:pPr>
      <w:r>
        <w:rPr>
          <w:rFonts w:hint="eastAsia"/>
        </w:rPr>
        <w:t xml:space="preserve">防火分区 </w:t>
      </w:r>
      <w:r>
        <w:rPr>
          <w:rFonts w:hint="eastAsia"/>
          <w:lang w:val="en-US" w:eastAsia="zh-CN"/>
        </w:rPr>
        <w:t>fire compartment</w:t>
      </w:r>
    </w:p>
    <w:p w14:paraId="45563577">
      <w:pPr>
        <w:rPr>
          <w:color w:val="auto"/>
          <w:highlight w:val="none"/>
        </w:rPr>
      </w:pPr>
      <w:r>
        <w:rPr>
          <w:rFonts w:hint="eastAsia"/>
          <w:color w:val="auto"/>
          <w:highlight w:val="none"/>
        </w:rPr>
        <w:t>在建筑内部采用防火墙、楼板及其他防火分隔设施分隔而成，能在一定时间内阻止火灾向同一建筑的其他部分蔓延的局部空间。</w:t>
      </w:r>
    </w:p>
    <w:p w14:paraId="69A3BD2F">
      <w:pPr>
        <w:pStyle w:val="4"/>
        <w:bidi w:val="0"/>
      </w:pPr>
      <w:r>
        <w:rPr>
          <w:rFonts w:hint="eastAsia"/>
        </w:rPr>
        <w:t>防火单元</w:t>
      </w:r>
      <w:r>
        <w:rPr>
          <w:rFonts w:hint="eastAsia"/>
          <w:lang w:val="en-US" w:eastAsia="zh-CN"/>
        </w:rPr>
        <w:t>fire protection unit</w:t>
      </w:r>
    </w:p>
    <w:p w14:paraId="5A7C9A64">
      <w:pPr>
        <w:rPr>
          <w:rFonts w:cs="Times New Roman"/>
          <w:color w:val="000000" w:themeColor="text1"/>
          <w:highlight w:val="none"/>
          <w14:textFill>
            <w14:solidFill>
              <w14:schemeClr w14:val="tx1"/>
            </w14:solidFill>
          </w14:textFill>
        </w:rPr>
      </w:pPr>
      <w:r>
        <w:rPr>
          <w:rFonts w:hint="eastAsia"/>
          <w:strike w:val="0"/>
          <w:dstrike w:val="0"/>
          <w:color w:val="auto"/>
          <w:highlight w:val="none"/>
        </w:rPr>
        <w:t>在建筑内部的一个防火分区内，通过设置不小于2.00</w:t>
      </w:r>
      <w:r>
        <w:rPr>
          <w:rFonts w:hint="eastAsia"/>
          <w:strike w:val="0"/>
          <w:dstrike w:val="0"/>
          <w:color w:val="auto"/>
          <w:highlight w:val="none"/>
          <w:lang w:val="en-US" w:eastAsia="zh-CN"/>
        </w:rPr>
        <w:t>h</w:t>
      </w:r>
      <w:r>
        <w:rPr>
          <w:rFonts w:hint="eastAsia"/>
          <w:strike w:val="0"/>
          <w:dstrike w:val="0"/>
          <w:color w:val="auto"/>
          <w:highlight w:val="none"/>
        </w:rPr>
        <w:t>耐火极限的防火隔墙、不小于1.50</w:t>
      </w:r>
      <w:r>
        <w:rPr>
          <w:rFonts w:hint="eastAsia"/>
          <w:strike w:val="0"/>
          <w:dstrike w:val="0"/>
          <w:color w:val="auto"/>
          <w:highlight w:val="none"/>
          <w:lang w:val="en-US" w:eastAsia="zh-CN"/>
        </w:rPr>
        <w:t>h</w:t>
      </w:r>
      <w:r>
        <w:rPr>
          <w:rFonts w:hint="eastAsia"/>
          <w:strike w:val="0"/>
          <w:dstrike w:val="0"/>
          <w:color w:val="auto"/>
          <w:highlight w:val="none"/>
        </w:rPr>
        <w:t>耐火极限楼板和不低于乙级防火门、窗或不低于3.00</w:t>
      </w:r>
      <w:r>
        <w:rPr>
          <w:rFonts w:hint="eastAsia"/>
          <w:strike w:val="0"/>
          <w:dstrike w:val="0"/>
          <w:color w:val="auto"/>
          <w:highlight w:val="none"/>
          <w:lang w:val="en-US" w:eastAsia="zh-CN"/>
        </w:rPr>
        <w:t>h</w:t>
      </w:r>
      <w:r>
        <w:rPr>
          <w:rFonts w:hint="eastAsia"/>
          <w:strike w:val="0"/>
          <w:dstrike w:val="0"/>
          <w:color w:val="auto"/>
          <w:highlight w:val="none"/>
        </w:rPr>
        <w:t>的防火卷帘等防火分隔设施，进一步划分出的、能在规定时间内阻止火灾向同一防火分区的其余部分蔓延的空间。</w:t>
      </w:r>
      <w:r>
        <w:rPr>
          <w:rFonts w:cs="Times New Roman"/>
          <w:color w:val="auto"/>
          <w:highlight w:val="none"/>
        </w:rPr>
        <w:br w:type="page"/>
      </w:r>
    </w:p>
    <w:p w14:paraId="0B9A4578">
      <w:pPr>
        <w:pStyle w:val="2"/>
        <w:bidi w:val="0"/>
        <w:rPr>
          <w:highlight w:val="none"/>
        </w:rPr>
      </w:pPr>
      <w:bookmarkStart w:id="6" w:name="_Toc2172"/>
      <w:r>
        <w:rPr>
          <w:highlight w:val="none"/>
        </w:rPr>
        <w:t>基本规定</w:t>
      </w:r>
      <w:bookmarkEnd w:id="6"/>
    </w:p>
    <w:p w14:paraId="1F4D9A18">
      <w:pPr>
        <w:pStyle w:val="4"/>
        <w:bidi w:val="0"/>
      </w:pPr>
      <w:bookmarkStart w:id="7" w:name="_Toc9480"/>
      <w:r>
        <w:rPr>
          <w:rFonts w:hint="eastAsia"/>
        </w:rPr>
        <w:t>既有建筑改造按改造功能的变化可划分为不改变建筑类别、建筑功能和改变建筑类别、建筑功能的改造</w:t>
      </w:r>
      <w:r>
        <w:rPr>
          <w:rFonts w:hint="eastAsia"/>
          <w:lang w:eastAsia="zh-CN"/>
        </w:rPr>
        <w:t>共</w:t>
      </w:r>
      <w:r>
        <w:rPr>
          <w:rFonts w:hint="eastAsia"/>
          <w:lang w:val="en-US" w:eastAsia="zh-CN"/>
        </w:rPr>
        <w:t>2种类型</w:t>
      </w:r>
      <w:r>
        <w:rPr>
          <w:rFonts w:hint="eastAsia"/>
        </w:rPr>
        <w:t>。</w:t>
      </w:r>
    </w:p>
    <w:p w14:paraId="631A2062">
      <w:pPr>
        <w:pStyle w:val="4"/>
        <w:bidi w:val="0"/>
      </w:pPr>
      <w:r>
        <w:rPr>
          <w:rFonts w:hint="eastAsia"/>
        </w:rPr>
        <w:t>下列情况可认定为建筑功能未发生改变：</w:t>
      </w:r>
    </w:p>
    <w:p w14:paraId="4A9B9863">
      <w:pPr>
        <w:rPr>
          <w:color w:val="auto"/>
          <w:highlight w:val="none"/>
        </w:rPr>
      </w:pPr>
      <w:r>
        <w:rPr>
          <w:rFonts w:hint="eastAsia"/>
          <w:color w:val="auto"/>
          <w:highlight w:val="none"/>
        </w:rPr>
        <w:t>1 在办公楼、科研楼增设对内服务的生活、文化娱乐设施；</w:t>
      </w:r>
    </w:p>
    <w:p w14:paraId="2473164F">
      <w:pPr>
        <w:rPr>
          <w:color w:val="auto"/>
          <w:highlight w:val="none"/>
        </w:rPr>
      </w:pPr>
      <w:r>
        <w:rPr>
          <w:rFonts w:hint="eastAsia"/>
          <w:color w:val="auto"/>
          <w:highlight w:val="none"/>
        </w:rPr>
        <w:t>2 文化、体育、教学、医疗建筑在保证主体功能的前提下增加建筑面积不大于300㎡的小型商业服务配套设施；</w:t>
      </w:r>
    </w:p>
    <w:p w14:paraId="63EDF0A2">
      <w:pPr>
        <w:rPr>
          <w:color w:val="auto"/>
          <w:highlight w:val="none"/>
        </w:rPr>
      </w:pPr>
      <w:r>
        <w:rPr>
          <w:rFonts w:hint="eastAsia"/>
          <w:color w:val="auto"/>
          <w:highlight w:val="none"/>
        </w:rPr>
        <w:t>3 商业建筑内的业态调整或互换。</w:t>
      </w:r>
    </w:p>
    <w:p w14:paraId="4DCDAB4F">
      <w:pPr>
        <w:pStyle w:val="4"/>
        <w:bidi w:val="0"/>
      </w:pPr>
      <w:r>
        <w:rPr>
          <w:rFonts w:hint="eastAsia"/>
        </w:rPr>
        <w:t>除3.0.2条规定内容以外改变使用功能的，应认定为建筑功能发生改变。</w:t>
      </w:r>
    </w:p>
    <w:p w14:paraId="6EC41B2B">
      <w:pPr>
        <w:pStyle w:val="4"/>
        <w:bidi w:val="0"/>
      </w:pPr>
      <w:r>
        <w:rPr>
          <w:rFonts w:hint="eastAsia"/>
        </w:rPr>
        <w:t>既有建筑改造按改造范围和内容可划分为整体改造、局部改造和内部装修改造</w:t>
      </w:r>
      <w:r>
        <w:rPr>
          <w:rFonts w:hint="eastAsia"/>
          <w:lang w:eastAsia="zh-CN"/>
        </w:rPr>
        <w:t>共</w:t>
      </w:r>
      <w:r>
        <w:rPr>
          <w:rFonts w:hint="eastAsia"/>
          <w:lang w:val="en-US" w:eastAsia="zh-CN"/>
        </w:rPr>
        <w:t>3种类型</w:t>
      </w:r>
      <w:r>
        <w:rPr>
          <w:rFonts w:hint="eastAsia"/>
        </w:rPr>
        <w:t>。</w:t>
      </w:r>
    </w:p>
    <w:p w14:paraId="1C4B9D71">
      <w:pPr>
        <w:rPr>
          <w:color w:val="auto"/>
          <w:highlight w:val="none"/>
        </w:rPr>
      </w:pPr>
      <w:r>
        <w:rPr>
          <w:rFonts w:hint="eastAsia"/>
          <w:color w:val="auto"/>
          <w:highlight w:val="none"/>
        </w:rPr>
        <w:t>1 建筑整体改造：整幢建筑地上、地上与地下局部或地上与地下全部同时进行的改造</w:t>
      </w:r>
      <w:r>
        <w:rPr>
          <w:rFonts w:hint="eastAsia"/>
          <w:color w:val="auto"/>
          <w:highlight w:val="none"/>
          <w:lang w:val="en-US" w:eastAsia="zh-CN"/>
        </w:rPr>
        <w:t>，或</w:t>
      </w:r>
      <w:r>
        <w:rPr>
          <w:rFonts w:hint="eastAsia"/>
          <w:color w:val="auto"/>
          <w:highlight w:val="none"/>
        </w:rPr>
        <w:t>改造部分建筑面积超过该单体总建筑面积1/2（不含停车库）的改造；</w:t>
      </w:r>
    </w:p>
    <w:p w14:paraId="64AAB363">
      <w:pPr>
        <w:rPr>
          <w:rFonts w:hint="eastAsia" w:eastAsia="宋体"/>
          <w:color w:val="auto"/>
          <w:highlight w:val="none"/>
          <w:lang w:eastAsia="zh-CN"/>
        </w:rPr>
      </w:pPr>
      <w:r>
        <w:rPr>
          <w:rFonts w:hint="eastAsia"/>
          <w:color w:val="auto"/>
          <w:highlight w:val="none"/>
        </w:rPr>
        <w:t>2 建筑局部改造：部分楼层改造和部分楼层局部改造</w:t>
      </w:r>
      <w:r>
        <w:rPr>
          <w:rFonts w:hint="eastAsia"/>
          <w:color w:val="auto"/>
          <w:highlight w:val="none"/>
          <w:lang w:eastAsia="zh-CN"/>
        </w:rPr>
        <w:t>，</w:t>
      </w:r>
      <w:r>
        <w:rPr>
          <w:rFonts w:hint="eastAsia"/>
          <w:color w:val="auto"/>
          <w:highlight w:val="none"/>
          <w:lang w:val="en-US" w:eastAsia="zh-CN"/>
        </w:rPr>
        <w:t>且</w:t>
      </w:r>
      <w:r>
        <w:rPr>
          <w:rFonts w:hint="eastAsia"/>
          <w:color w:val="auto"/>
          <w:highlight w:val="none"/>
        </w:rPr>
        <w:t>改造部分建筑面积不超过该单体总建筑面积1/2（不含停车库）的改造</w:t>
      </w:r>
      <w:r>
        <w:rPr>
          <w:rFonts w:hint="eastAsia"/>
          <w:color w:val="auto"/>
          <w:highlight w:val="none"/>
          <w:lang w:eastAsia="zh-CN"/>
        </w:rPr>
        <w:t>；</w:t>
      </w:r>
    </w:p>
    <w:p w14:paraId="27BDC19C">
      <w:pPr>
        <w:rPr>
          <w:color w:val="auto"/>
          <w:highlight w:val="none"/>
        </w:rPr>
      </w:pPr>
      <w:r>
        <w:rPr>
          <w:rFonts w:hint="eastAsia"/>
          <w:color w:val="auto"/>
          <w:highlight w:val="none"/>
        </w:rPr>
        <w:t>3 建筑内部装修：指</w:t>
      </w:r>
      <w:r>
        <w:rPr>
          <w:rFonts w:hint="eastAsia"/>
          <w:color w:val="auto"/>
          <w:highlight w:val="none"/>
          <w:lang w:val="en-US" w:eastAsia="zh-CN"/>
        </w:rPr>
        <w:t>在</w:t>
      </w:r>
      <w:r>
        <w:rPr>
          <w:rFonts w:hint="eastAsia"/>
          <w:color w:val="auto"/>
          <w:highlight w:val="none"/>
        </w:rPr>
        <w:t>不改变原设计使用功能、用途，不改动主要结构、承重墙</w:t>
      </w:r>
      <w:r>
        <w:rPr>
          <w:rFonts w:hint="eastAsia"/>
          <w:color w:val="auto"/>
          <w:highlight w:val="none"/>
          <w:lang w:val="en-US" w:eastAsia="zh-CN"/>
        </w:rPr>
        <w:t>的条件下</w:t>
      </w:r>
      <w:r>
        <w:rPr>
          <w:rFonts w:hint="eastAsia"/>
          <w:color w:val="auto"/>
          <w:highlight w:val="none"/>
        </w:rPr>
        <w:t>，为满足使用需求，仅对建筑内部空间所进行的调整、修饰、保护及固定设施安装等活动。</w:t>
      </w:r>
    </w:p>
    <w:p w14:paraId="4E87B14A">
      <w:pPr>
        <w:pStyle w:val="4"/>
        <w:bidi w:val="0"/>
      </w:pPr>
      <w:r>
        <w:rPr>
          <w:rFonts w:hint="eastAsia"/>
        </w:rPr>
        <w:t>既有建筑改造具有如下特征的，宜对建筑进行整体改造：</w:t>
      </w:r>
    </w:p>
    <w:p w14:paraId="3F6E2EB6">
      <w:pPr>
        <w:rPr>
          <w:color w:val="auto"/>
          <w:highlight w:val="none"/>
        </w:rPr>
      </w:pPr>
      <w:r>
        <w:rPr>
          <w:rFonts w:hint="eastAsia"/>
          <w:color w:val="auto"/>
          <w:highlight w:val="none"/>
        </w:rPr>
        <w:t>1 建筑建筑功能发生改变的；</w:t>
      </w:r>
    </w:p>
    <w:p w14:paraId="68BBD2C0">
      <w:pPr>
        <w:rPr>
          <w:color w:val="auto"/>
          <w:highlight w:val="none"/>
        </w:rPr>
      </w:pPr>
      <w:r>
        <w:rPr>
          <w:rFonts w:hint="eastAsia"/>
          <w:color w:val="auto"/>
          <w:highlight w:val="none"/>
        </w:rPr>
        <w:t>2 因功能变化原二类高层建筑变为一类高层建筑的；</w:t>
      </w:r>
    </w:p>
    <w:p w14:paraId="6A268DAF">
      <w:pPr>
        <w:rPr>
          <w:color w:val="auto"/>
          <w:highlight w:val="none"/>
        </w:rPr>
      </w:pPr>
      <w:r>
        <w:rPr>
          <w:rFonts w:hint="eastAsia"/>
          <w:color w:val="auto"/>
          <w:highlight w:val="none"/>
        </w:rPr>
        <w:t>3 因功能变化需要增设独立安全出口、独立疏散楼梯，经可行性研究不能满足增设要求的；</w:t>
      </w:r>
    </w:p>
    <w:p w14:paraId="4E42DC46">
      <w:pPr>
        <w:rPr>
          <w:color w:val="auto"/>
          <w:highlight w:val="none"/>
        </w:rPr>
      </w:pPr>
      <w:r>
        <w:rPr>
          <w:rFonts w:hint="eastAsia"/>
          <w:color w:val="auto"/>
          <w:highlight w:val="none"/>
        </w:rPr>
        <w:t>4 因功能变化需要将敞开楼梯间改为封闭楼梯间的；</w:t>
      </w:r>
    </w:p>
    <w:p w14:paraId="42E4B0DA">
      <w:pPr>
        <w:rPr>
          <w:color w:val="auto"/>
          <w:highlight w:val="none"/>
        </w:rPr>
      </w:pPr>
      <w:r>
        <w:rPr>
          <w:rFonts w:hint="eastAsia"/>
          <w:color w:val="auto"/>
          <w:highlight w:val="none"/>
        </w:rPr>
        <w:t>5 因功能变化，原建筑疏散楼梯数量、总疏散净宽度不能满足要求的。</w:t>
      </w:r>
    </w:p>
    <w:p w14:paraId="45536B7A">
      <w:pPr>
        <w:pStyle w:val="4"/>
        <w:bidi w:val="0"/>
      </w:pPr>
      <w:r>
        <w:rPr>
          <w:rFonts w:hint="eastAsia"/>
        </w:rPr>
        <w:t>建筑类别、建筑功能、功能类型、空间用途、高度、楼层、面积发生变化的改造工程，应按照现行消防技术标准进行核对，并确定建筑分类、耐火等级及相应建筑构件的耐火性能要求。</w:t>
      </w:r>
    </w:p>
    <w:p w14:paraId="7353470B">
      <w:pPr>
        <w:rPr>
          <w:highlight w:val="none"/>
        </w:rPr>
      </w:pPr>
      <w:r>
        <w:rPr>
          <w:rFonts w:hint="eastAsia"/>
          <w:highlight w:val="none"/>
        </w:rPr>
        <w:t>（本条借鉴《北京市既有建筑改造工程消防设计指南》2023版3.1.1条，红色字体及条文说明为云南调整的内容。）</w:t>
      </w:r>
    </w:p>
    <w:p w14:paraId="05BDC670">
      <w:pPr>
        <w:rPr>
          <w:highlight w:val="none"/>
        </w:rPr>
      </w:pPr>
      <w:r>
        <w:rPr>
          <w:rFonts w:hint="eastAsia"/>
          <w:highlight w:val="none"/>
        </w:rPr>
        <w:t>【条文说明】本标准术语中的建筑类别、建筑功能、功能类型、空间用途，清晰划分了建筑及空间在既有工程改造中的层级关系和改造程度。清晰化上述要求，是判断既有建筑改造后消防安全风险的重要依据，并依据高度、楼层、面积的情况，确定建筑分类和耐火等级。</w:t>
      </w:r>
    </w:p>
    <w:p w14:paraId="1A717B08">
      <w:pPr>
        <w:pStyle w:val="4"/>
        <w:bidi w:val="0"/>
      </w:pPr>
      <w:r>
        <w:rPr>
          <w:rFonts w:hint="eastAsia"/>
        </w:rPr>
        <w:t>既有建筑改造，建筑类别发生改变的应进行整体改造，且建筑的防火间距、消防车救援场地宜符合现行国家标准的规定，建筑的其他防火技术要求应符合国家现行有关标准的规定。</w:t>
      </w:r>
    </w:p>
    <w:p w14:paraId="1A4F21A3">
      <w:pPr>
        <w:bidi w:val="0"/>
      </w:pPr>
      <w:r>
        <w:rPr>
          <w:rFonts w:hint="eastAsia"/>
        </w:rPr>
        <w:t>（本条借鉴《既有建筑改造防火技术标准》（征求意见稿）3.1.3条）</w:t>
      </w:r>
    </w:p>
    <w:p w14:paraId="4104809D">
      <w:pPr>
        <w:bidi w:val="0"/>
      </w:pPr>
      <w:r>
        <w:rPr>
          <w:rFonts w:hint="eastAsia"/>
        </w:rPr>
        <w:t>【条文说明】既有建筑改变建筑类别后，消防标准随之改变，故应进行整体改造；同时，改造后的既有建筑须按国家现行标准对防火间距、消防车登高操作场地进行复核，并宜依据国家现行标准进行设计；当确有困难不能满足时，可依据本标准防火间距、消防车登高操作场地的相关条文进行性能加强设计。</w:t>
      </w:r>
    </w:p>
    <w:p w14:paraId="6D425413">
      <w:pPr>
        <w:pStyle w:val="4"/>
        <w:bidi w:val="0"/>
      </w:pPr>
      <w:r>
        <w:rPr>
          <w:rFonts w:hint="eastAsia"/>
        </w:rPr>
        <w:t>既有工业建筑由火灾危险性</w:t>
      </w:r>
      <w:r>
        <w:rPr>
          <w:rFonts w:hint="eastAsia"/>
          <w:lang w:val="en-US" w:eastAsia="zh-CN"/>
        </w:rPr>
        <w:t>由</w:t>
      </w:r>
      <w:r>
        <w:rPr>
          <w:rFonts w:hint="eastAsia"/>
        </w:rPr>
        <w:t>低</w:t>
      </w:r>
      <w:r>
        <w:rPr>
          <w:rFonts w:hint="eastAsia"/>
          <w:lang w:val="en-US" w:eastAsia="zh-CN"/>
        </w:rPr>
        <w:t>类</w:t>
      </w:r>
      <w:r>
        <w:rPr>
          <w:rFonts w:hint="eastAsia"/>
        </w:rPr>
        <w:t>改造为高类，或其建筑功能发生改变时，其消防标准须满足现行规范的要求；</w:t>
      </w:r>
    </w:p>
    <w:p w14:paraId="68E4D853">
      <w:pPr>
        <w:rPr>
          <w:highlight w:val="none"/>
        </w:rPr>
      </w:pPr>
      <w:r>
        <w:rPr>
          <w:rFonts w:hint="eastAsia"/>
          <w:highlight w:val="none"/>
        </w:rPr>
        <w:t xml:space="preserve">【条文说明】改造为火灾危险性高分类的工业建筑和改变了建筑功能的工业建筑，会出现实际消防风险增大的情况，故需要按现行标准执行。 </w:t>
      </w:r>
    </w:p>
    <w:p w14:paraId="001C4D7A">
      <w:pPr>
        <w:pStyle w:val="4"/>
        <w:bidi w:val="0"/>
      </w:pPr>
      <w:r>
        <w:rPr>
          <w:rFonts w:hint="eastAsia"/>
        </w:rPr>
        <w:t>地下建筑改造为公共建筑，除本标准其他要求外，改造区域内的防火技术要求应符合国家现行有关标准的规定。</w:t>
      </w:r>
    </w:p>
    <w:p w14:paraId="138E593B">
      <w:pPr>
        <w:rPr>
          <w:highlight w:val="none"/>
        </w:rPr>
      </w:pPr>
      <w:r>
        <w:rPr>
          <w:rFonts w:hint="eastAsia"/>
          <w:highlight w:val="none"/>
        </w:rPr>
        <w:t>（本条借鉴《既有建筑改造防火技术标准》（征求意见稿）5.1.4条）</w:t>
      </w:r>
    </w:p>
    <w:p w14:paraId="22E70088">
      <w:pPr>
        <w:bidi w:val="0"/>
      </w:pPr>
      <w:r>
        <w:rPr>
          <w:rFonts w:hint="eastAsia"/>
        </w:rPr>
        <w:t>【条文说明】地下是消防的薄弱环节，公共建筑是消防的重点区域，故除本标准要求外，其防火技术要求应符合国家现行有关标准的规定。</w:t>
      </w:r>
    </w:p>
    <w:p w14:paraId="11421C0D">
      <w:pPr>
        <w:bidi w:val="0"/>
        <w:rPr>
          <w:rFonts w:hint="eastAsia"/>
          <w:lang w:val="en-US" w:eastAsia="zh-CN"/>
        </w:rPr>
      </w:pPr>
      <w:r>
        <w:rPr>
          <w:rFonts w:hint="eastAsia"/>
        </w:rPr>
        <w:t>地下车库</w:t>
      </w:r>
      <w:r>
        <w:rPr>
          <w:rFonts w:hint="eastAsia"/>
          <w:lang w:val="en-US" w:eastAsia="zh-CN"/>
        </w:rPr>
        <w:t>和</w:t>
      </w:r>
      <w:r>
        <w:rPr>
          <w:rFonts w:hint="eastAsia"/>
        </w:rPr>
        <w:t>地下公共建筑</w:t>
      </w:r>
      <w:r>
        <w:rPr>
          <w:rFonts w:hint="eastAsia"/>
          <w:lang w:val="en-US" w:eastAsia="zh-CN"/>
        </w:rPr>
        <w:t>改变</w:t>
      </w:r>
      <w:r>
        <w:rPr>
          <w:rFonts w:hint="eastAsia"/>
        </w:rPr>
        <w:t>使用功能</w:t>
      </w:r>
      <w:r>
        <w:rPr>
          <w:rFonts w:hint="eastAsia"/>
          <w:lang w:eastAsia="zh-CN"/>
        </w:rPr>
        <w:t>，</w:t>
      </w:r>
      <w:r>
        <w:rPr>
          <w:rFonts w:hint="eastAsia"/>
          <w:lang w:val="en-US" w:eastAsia="zh-CN"/>
        </w:rPr>
        <w:t>例如</w:t>
      </w:r>
      <w:r>
        <w:rPr>
          <w:rFonts w:hint="eastAsia"/>
        </w:rPr>
        <w:t>商业改民宿等其他类型</w:t>
      </w:r>
      <w:r>
        <w:rPr>
          <w:rFonts w:hint="eastAsia"/>
          <w:lang w:eastAsia="zh-CN"/>
        </w:rPr>
        <w:t>，</w:t>
      </w:r>
      <w:r>
        <w:rPr>
          <w:rFonts w:hint="eastAsia"/>
          <w:lang w:val="en-US" w:eastAsia="zh-CN"/>
        </w:rPr>
        <w:t>也应执行</w:t>
      </w:r>
      <w:r>
        <w:rPr>
          <w:rFonts w:hint="eastAsia"/>
        </w:rPr>
        <w:t>国家现行有关标准</w:t>
      </w:r>
      <w:r>
        <w:rPr>
          <w:rFonts w:hint="eastAsia"/>
          <w:lang w:eastAsia="zh-CN"/>
        </w:rPr>
        <w:t>。</w:t>
      </w:r>
    </w:p>
    <w:p w14:paraId="5B85F6C2">
      <w:pPr>
        <w:pStyle w:val="4"/>
        <w:bidi w:val="0"/>
      </w:pPr>
      <w:r>
        <w:rPr>
          <w:rFonts w:hint="eastAsia"/>
        </w:rPr>
        <w:t>既有建筑改造工程应满足现行消防技术标准要求。存在下列情况之一可部分沿用原有建筑消防设施系统：</w:t>
      </w:r>
    </w:p>
    <w:p w14:paraId="5DC8F39C">
      <w:pPr>
        <w:rPr>
          <w:highlight w:val="none"/>
        </w:rPr>
      </w:pPr>
      <w:r>
        <w:rPr>
          <w:rFonts w:hint="eastAsia"/>
          <w:highlight w:val="none"/>
        </w:rPr>
        <w:t>1涉及建筑构造原因不能实现的；</w:t>
      </w:r>
    </w:p>
    <w:p w14:paraId="6641CD57">
      <w:pPr>
        <w:rPr>
          <w:highlight w:val="none"/>
        </w:rPr>
      </w:pPr>
      <w:r>
        <w:rPr>
          <w:rFonts w:hint="eastAsia"/>
          <w:highlight w:val="none"/>
        </w:rPr>
        <w:t>2涉及隐蔽工程改造不能实现的；</w:t>
      </w:r>
    </w:p>
    <w:p w14:paraId="18F5BCAD">
      <w:pPr>
        <w:rPr>
          <w:rFonts w:hint="eastAsia"/>
          <w:highlight w:val="none"/>
        </w:rPr>
      </w:pPr>
      <w:r>
        <w:rPr>
          <w:rFonts w:hint="eastAsia"/>
          <w:highlight w:val="none"/>
        </w:rPr>
        <w:t>3改造范围较小，改造面积不超过3000㎡且不大于单体总建筑面积1/3的。</w:t>
      </w:r>
    </w:p>
    <w:p w14:paraId="7187421D">
      <w:pPr>
        <w:rPr>
          <w:rFonts w:hint="eastAsia"/>
          <w:highlight w:val="none"/>
          <w:lang w:val="en-US" w:eastAsia="zh-CN"/>
        </w:rPr>
      </w:pPr>
      <w:r>
        <w:rPr>
          <w:rFonts w:hint="eastAsia"/>
          <w:highlight w:val="none"/>
        </w:rPr>
        <w:t>【条文说明】</w:t>
      </w:r>
      <w:r>
        <w:rPr>
          <w:rFonts w:hint="eastAsia"/>
          <w:highlight w:val="none"/>
          <w:lang w:val="en-US" w:eastAsia="zh-CN"/>
        </w:rPr>
        <w:t>本条文所指的</w:t>
      </w:r>
      <w:r>
        <w:rPr>
          <w:rFonts w:hint="eastAsia"/>
          <w:highlight w:val="none"/>
        </w:rPr>
        <w:t>涉及建筑构造原因</w:t>
      </w:r>
      <w:r>
        <w:rPr>
          <w:rFonts w:hint="eastAsia"/>
          <w:highlight w:val="none"/>
          <w:lang w:val="en-US" w:eastAsia="zh-CN"/>
        </w:rPr>
        <w:t>的</w:t>
      </w:r>
      <w:r>
        <w:rPr>
          <w:rFonts w:hint="eastAsia"/>
          <w:highlight w:val="none"/>
        </w:rPr>
        <w:t>原有建筑消防设施系统</w:t>
      </w:r>
      <w:r>
        <w:rPr>
          <w:rFonts w:hint="eastAsia"/>
          <w:highlight w:val="none"/>
          <w:lang w:val="en-US" w:eastAsia="zh-CN"/>
        </w:rPr>
        <w:t>是</w:t>
      </w:r>
      <w:r>
        <w:rPr>
          <w:rFonts w:hint="eastAsia"/>
          <w:highlight w:val="none"/>
        </w:rPr>
        <w:t>消防水池</w:t>
      </w:r>
      <w:r>
        <w:rPr>
          <w:rFonts w:hint="eastAsia"/>
          <w:highlight w:val="none"/>
          <w:lang w:eastAsia="zh-CN"/>
        </w:rPr>
        <w:t>、</w:t>
      </w:r>
      <w:r>
        <w:rPr>
          <w:rFonts w:hint="eastAsia"/>
          <w:highlight w:val="none"/>
        </w:rPr>
        <w:t>屋顶消防水箱、风机房、排烟风道、消防电梯等</w:t>
      </w:r>
      <w:r>
        <w:rPr>
          <w:rFonts w:hint="eastAsia"/>
          <w:highlight w:val="none"/>
          <w:lang w:eastAsia="zh-CN"/>
        </w:rPr>
        <w:t>；</w:t>
      </w:r>
      <w:r>
        <w:rPr>
          <w:rFonts w:hint="eastAsia"/>
          <w:highlight w:val="none"/>
        </w:rPr>
        <w:t>涉及隐蔽工程改造</w:t>
      </w:r>
      <w:r>
        <w:rPr>
          <w:rFonts w:hint="eastAsia"/>
          <w:highlight w:val="none"/>
          <w:lang w:val="en-US" w:eastAsia="zh-CN"/>
        </w:rPr>
        <w:t>的</w:t>
      </w:r>
      <w:r>
        <w:rPr>
          <w:rFonts w:hint="eastAsia"/>
          <w:highlight w:val="none"/>
        </w:rPr>
        <w:t>原有建筑消防设施系统如改造区域之外的机电系统管网及控制线路</w:t>
      </w:r>
      <w:r>
        <w:rPr>
          <w:rFonts w:hint="eastAsia"/>
          <w:highlight w:val="none"/>
          <w:lang w:val="en-US" w:eastAsia="zh-CN"/>
        </w:rPr>
        <w:t>等。</w:t>
      </w:r>
    </w:p>
    <w:p w14:paraId="269106D7">
      <w:pPr>
        <w:pStyle w:val="4"/>
        <w:bidi w:val="0"/>
      </w:pPr>
      <w:r>
        <w:rPr>
          <w:rFonts w:hint="eastAsia"/>
        </w:rPr>
        <w:t>仅内部改造，不涉及外立面时，消防救援场地、消防救援窗、外保温材料等可沿用原设计规范。</w:t>
      </w:r>
    </w:p>
    <w:p w14:paraId="7D8E49FF">
      <w:pPr>
        <w:pStyle w:val="4"/>
        <w:bidi w:val="0"/>
      </w:pPr>
      <w:r>
        <w:rPr>
          <w:rFonts w:hint="eastAsia"/>
        </w:rPr>
        <w:t>改造范围较小</w:t>
      </w:r>
      <w:r>
        <w:rPr>
          <w:rFonts w:hint="eastAsia"/>
          <w:lang w:eastAsia="zh-CN"/>
        </w:rPr>
        <w:t>且</w:t>
      </w:r>
      <w:r>
        <w:rPr>
          <w:rFonts w:hint="eastAsia"/>
        </w:rPr>
        <w:t>改造面积不超过500㎡</w:t>
      </w:r>
      <w:r>
        <w:rPr>
          <w:rFonts w:hint="eastAsia"/>
          <w:lang w:eastAsia="zh-CN"/>
        </w:rPr>
        <w:t>、</w:t>
      </w:r>
      <w:r>
        <w:rPr>
          <w:rFonts w:hint="eastAsia"/>
          <w:lang w:val="en-US" w:eastAsia="zh-CN"/>
        </w:rPr>
        <w:t>火灾危险性较低</w:t>
      </w:r>
      <w:r>
        <w:rPr>
          <w:rFonts w:hint="eastAsia"/>
        </w:rPr>
        <w:t>且未改变原有功能类型时，可仅作为内部装修报审，可沿用原建筑消防设计。</w:t>
      </w:r>
    </w:p>
    <w:p w14:paraId="6000050E">
      <w:pPr>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【条文说明】本条文不适用于</w:t>
      </w:r>
      <w:r>
        <w:rPr>
          <w:rFonts w:hint="default" w:ascii="宋体" w:hAnsi="宋体" w:eastAsia="宋体" w:cstheme="minorBidi"/>
          <w:color w:val="auto"/>
          <w:kern w:val="2"/>
          <w:sz w:val="24"/>
          <w:szCs w:val="24"/>
          <w:highlight w:val="none"/>
          <w:lang w:val="en-US" w:eastAsia="zh-CN" w:bidi="ar-SA"/>
        </w:rPr>
        <w:t>小商店</w:t>
      </w:r>
      <w:r>
        <w:rPr>
          <w:rFonts w:hint="eastAsia" w:ascii="宋体" w:hAnsi="宋体" w:eastAsia="宋体" w:cstheme="minorBidi"/>
          <w:color w:val="auto"/>
          <w:kern w:val="2"/>
          <w:sz w:val="24"/>
          <w:szCs w:val="24"/>
          <w:highlight w:val="none"/>
          <w:lang w:val="en-US" w:eastAsia="zh-CN" w:bidi="ar-SA"/>
        </w:rPr>
        <w:t>、</w:t>
      </w:r>
      <w:r>
        <w:rPr>
          <w:rFonts w:hint="default" w:ascii="宋体" w:hAnsi="宋体" w:eastAsia="宋体" w:cstheme="minorBidi"/>
          <w:color w:val="auto"/>
          <w:kern w:val="2"/>
          <w:sz w:val="24"/>
          <w:szCs w:val="24"/>
          <w:highlight w:val="none"/>
          <w:lang w:val="en-US" w:eastAsia="zh-CN" w:bidi="ar-SA"/>
        </w:rPr>
        <w:t>小餐饮</w:t>
      </w:r>
      <w:r>
        <w:rPr>
          <w:rFonts w:hint="eastAsia" w:ascii="宋体" w:hAnsi="宋体" w:eastAsia="宋体" w:cstheme="minorBidi"/>
          <w:color w:val="auto"/>
          <w:kern w:val="2"/>
          <w:sz w:val="24"/>
          <w:szCs w:val="24"/>
          <w:highlight w:val="none"/>
          <w:lang w:val="en-US" w:eastAsia="zh-CN" w:bidi="ar-SA"/>
        </w:rPr>
        <w:t>、</w:t>
      </w:r>
      <w:r>
        <w:rPr>
          <w:rFonts w:hint="default" w:ascii="宋体" w:hAnsi="宋体" w:eastAsia="宋体" w:cstheme="minorBidi"/>
          <w:color w:val="auto"/>
          <w:kern w:val="2"/>
          <w:sz w:val="24"/>
          <w:szCs w:val="24"/>
          <w:highlight w:val="none"/>
          <w:lang w:val="en-US" w:eastAsia="zh-CN" w:bidi="ar-SA"/>
        </w:rPr>
        <w:t>小旅馆</w:t>
      </w:r>
      <w:r>
        <w:rPr>
          <w:rFonts w:hint="eastAsia" w:ascii="宋体" w:hAnsi="宋体" w:eastAsia="宋体" w:cstheme="minorBidi"/>
          <w:color w:val="auto"/>
          <w:kern w:val="2"/>
          <w:sz w:val="24"/>
          <w:szCs w:val="24"/>
          <w:highlight w:val="none"/>
          <w:lang w:val="en-US" w:eastAsia="zh-CN" w:bidi="ar-SA"/>
        </w:rPr>
        <w:t>、</w:t>
      </w:r>
      <w:r>
        <w:rPr>
          <w:rFonts w:hint="default" w:ascii="宋体" w:hAnsi="宋体" w:eastAsia="宋体" w:cstheme="minorBidi"/>
          <w:color w:val="auto"/>
          <w:kern w:val="2"/>
          <w:sz w:val="24"/>
          <w:szCs w:val="24"/>
          <w:highlight w:val="none"/>
          <w:lang w:val="en-US" w:eastAsia="zh-CN" w:bidi="ar-SA"/>
        </w:rPr>
        <w:t>小公共娱乐</w:t>
      </w:r>
      <w:r>
        <w:rPr>
          <w:rFonts w:hint="eastAsia" w:ascii="宋体" w:hAnsi="宋体" w:eastAsia="宋体" w:cstheme="minorBidi"/>
          <w:color w:val="auto"/>
          <w:kern w:val="2"/>
          <w:sz w:val="24"/>
          <w:szCs w:val="24"/>
          <w:highlight w:val="none"/>
          <w:lang w:val="en-US" w:eastAsia="zh-CN" w:bidi="ar-SA"/>
        </w:rPr>
        <w:t>、</w:t>
      </w:r>
      <w:r>
        <w:rPr>
          <w:rFonts w:hint="default" w:ascii="宋体" w:hAnsi="宋体" w:eastAsia="宋体" w:cstheme="minorBidi"/>
          <w:color w:val="auto"/>
          <w:kern w:val="2"/>
          <w:sz w:val="24"/>
          <w:szCs w:val="24"/>
          <w:highlight w:val="none"/>
          <w:lang w:val="en-US" w:eastAsia="zh-CN" w:bidi="ar-SA"/>
        </w:rPr>
        <w:t>小医疗</w:t>
      </w:r>
      <w:r>
        <w:rPr>
          <w:rFonts w:hint="eastAsia" w:ascii="宋体" w:hAnsi="宋体" w:eastAsia="宋体" w:cstheme="minorBidi"/>
          <w:color w:val="auto"/>
          <w:kern w:val="2"/>
          <w:sz w:val="24"/>
          <w:szCs w:val="24"/>
          <w:highlight w:val="none"/>
          <w:lang w:val="en-US" w:eastAsia="zh-CN" w:bidi="ar-SA"/>
        </w:rPr>
        <w:t>、</w:t>
      </w:r>
      <w:r>
        <w:rPr>
          <w:rFonts w:hint="default" w:ascii="宋体" w:hAnsi="宋体" w:eastAsia="宋体" w:cstheme="minorBidi"/>
          <w:color w:val="auto"/>
          <w:kern w:val="2"/>
          <w:sz w:val="24"/>
          <w:szCs w:val="24"/>
          <w:highlight w:val="none"/>
          <w:lang w:val="en-US" w:eastAsia="zh-CN" w:bidi="ar-SA"/>
        </w:rPr>
        <w:t>小教学</w:t>
      </w:r>
      <w:r>
        <w:rPr>
          <w:rFonts w:hint="eastAsia" w:ascii="宋体" w:hAnsi="宋体" w:eastAsia="宋体" w:cstheme="minorBidi"/>
          <w:color w:val="auto"/>
          <w:kern w:val="2"/>
          <w:sz w:val="24"/>
          <w:szCs w:val="24"/>
          <w:highlight w:val="none"/>
          <w:lang w:val="en-US" w:eastAsia="zh-CN" w:bidi="ar-SA"/>
        </w:rPr>
        <w:t>、</w:t>
      </w:r>
      <w:r>
        <w:rPr>
          <w:rFonts w:hint="default" w:ascii="宋体" w:hAnsi="宋体" w:eastAsia="宋体" w:cstheme="minorBidi"/>
          <w:color w:val="auto"/>
          <w:kern w:val="2"/>
          <w:sz w:val="24"/>
          <w:szCs w:val="24"/>
          <w:highlight w:val="none"/>
          <w:lang w:val="en-US" w:eastAsia="zh-CN" w:bidi="ar-SA"/>
        </w:rPr>
        <w:t>小生产加工</w:t>
      </w:r>
      <w:r>
        <w:rPr>
          <w:rFonts w:hint="eastAsia" w:ascii="宋体" w:hAnsi="宋体" w:eastAsia="宋体" w:cstheme="minorBidi"/>
          <w:color w:val="auto"/>
          <w:kern w:val="2"/>
          <w:sz w:val="24"/>
          <w:szCs w:val="24"/>
          <w:highlight w:val="none"/>
          <w:lang w:val="en-US" w:eastAsia="zh-CN" w:bidi="ar-SA"/>
        </w:rPr>
        <w:t>、</w:t>
      </w:r>
      <w:r>
        <w:rPr>
          <w:rFonts w:hint="default" w:ascii="宋体" w:hAnsi="宋体" w:eastAsia="宋体" w:cstheme="minorBidi"/>
          <w:color w:val="auto"/>
          <w:kern w:val="2"/>
          <w:sz w:val="24"/>
          <w:szCs w:val="24"/>
          <w:highlight w:val="none"/>
          <w:lang w:val="en-US" w:eastAsia="zh-CN" w:bidi="ar-SA"/>
        </w:rPr>
        <w:t>小易燃易爆</w:t>
      </w:r>
      <w:r>
        <w:rPr>
          <w:rFonts w:hint="eastAsia" w:ascii="宋体" w:hAnsi="宋体" w:eastAsia="宋体" w:cstheme="minorBidi"/>
          <w:color w:val="auto"/>
          <w:kern w:val="2"/>
          <w:sz w:val="24"/>
          <w:szCs w:val="24"/>
          <w:highlight w:val="none"/>
          <w:lang w:val="en-US" w:eastAsia="zh-CN" w:bidi="ar-SA"/>
        </w:rPr>
        <w:t>和</w:t>
      </w:r>
      <w:r>
        <w:rPr>
          <w:rFonts w:hint="default" w:ascii="宋体" w:hAnsi="宋体" w:eastAsia="宋体" w:cstheme="minorBidi"/>
          <w:color w:val="auto"/>
          <w:kern w:val="2"/>
          <w:sz w:val="24"/>
          <w:szCs w:val="24"/>
          <w:highlight w:val="none"/>
          <w:lang w:val="en-US" w:eastAsia="zh-CN" w:bidi="ar-SA"/>
        </w:rPr>
        <w:t>“多合一”场所</w:t>
      </w:r>
      <w:r>
        <w:rPr>
          <w:rFonts w:hint="eastAsia" w:ascii="宋体" w:hAnsi="宋体" w:eastAsia="宋体" w:cstheme="minorBidi"/>
          <w:color w:val="auto"/>
          <w:kern w:val="2"/>
          <w:sz w:val="24"/>
          <w:szCs w:val="24"/>
          <w:highlight w:val="none"/>
          <w:lang w:val="en-US" w:eastAsia="zh-CN" w:bidi="ar-SA"/>
        </w:rPr>
        <w:t>等普遍存在火灾隐患的小型人员密集场所。</w:t>
      </w:r>
    </w:p>
    <w:p w14:paraId="06E5EC3D">
      <w:pPr>
        <w:pStyle w:val="4"/>
        <w:bidi w:val="0"/>
      </w:pPr>
      <w:r>
        <w:rPr>
          <w:rFonts w:hint="eastAsia"/>
        </w:rPr>
        <w:t>为传承历史文脉、保护园林建筑，本着修旧如旧原则，历史保护建筑的改造项目消防设计如无法满足现行消防技术标准，可通过专题论证的方式提出切实有效的防火措施作为施工图审查的结论；部分项目因条件限制，确实无法满足现行消防技术标准，针对相关消防设计难点可通过组织专题论证的方式提出切实有效的防火措施，专题论证意见可作为消防设计审查的依据。</w:t>
      </w:r>
    </w:p>
    <w:p w14:paraId="69A38C8B">
      <w:pPr>
        <w:pStyle w:val="4"/>
        <w:bidi w:val="0"/>
      </w:pPr>
      <w:r>
        <w:rPr>
          <w:rFonts w:hint="eastAsia"/>
          <w:lang w:val="en-US" w:eastAsia="zh-CN"/>
        </w:rPr>
        <w:t>农家乐（民宿）的改造应符合《住房城乡建设部 公安部 国家旅游局关于印发农家乐（民宿）建筑防火导则（试行）的通知》（建村[2017]50号）的规定要求。</w:t>
      </w:r>
    </w:p>
    <w:p w14:paraId="48C403E8">
      <w:pPr>
        <w:rPr>
          <w:highlight w:val="none"/>
        </w:rPr>
      </w:pPr>
    </w:p>
    <w:p w14:paraId="1AA1AB0A">
      <w:pPr>
        <w:rPr>
          <w:highlight w:val="none"/>
        </w:rPr>
      </w:pPr>
    </w:p>
    <w:p w14:paraId="62ED1218">
      <w:pPr>
        <w:rPr>
          <w:highlight w:val="none"/>
        </w:rPr>
      </w:pPr>
    </w:p>
    <w:p w14:paraId="105C9705">
      <w:pPr>
        <w:rPr>
          <w:highlight w:val="none"/>
        </w:rPr>
      </w:pPr>
    </w:p>
    <w:p w14:paraId="40149904">
      <w:pPr>
        <w:rPr>
          <w:highlight w:val="none"/>
        </w:rPr>
      </w:pPr>
    </w:p>
    <w:p w14:paraId="4919B609">
      <w:pPr>
        <w:rPr>
          <w:highlight w:val="none"/>
        </w:rPr>
      </w:pPr>
    </w:p>
    <w:p w14:paraId="5A6833C8">
      <w:pPr>
        <w:rPr>
          <w:highlight w:val="none"/>
        </w:rPr>
      </w:pPr>
    </w:p>
    <w:p w14:paraId="4BAEB825">
      <w:pPr>
        <w:rPr>
          <w:highlight w:val="none"/>
        </w:rPr>
      </w:pPr>
    </w:p>
    <w:p w14:paraId="059E2E31">
      <w:pPr>
        <w:rPr>
          <w:highlight w:val="none"/>
        </w:rPr>
      </w:pPr>
    </w:p>
    <w:p w14:paraId="5CB7771A">
      <w:pPr>
        <w:rPr>
          <w:highlight w:val="none"/>
        </w:rPr>
      </w:pPr>
    </w:p>
    <w:p w14:paraId="231F07EB">
      <w:pPr>
        <w:rPr>
          <w:highlight w:val="none"/>
        </w:rPr>
      </w:pPr>
    </w:p>
    <w:p w14:paraId="3A58B9EB">
      <w:pPr>
        <w:rPr>
          <w:highlight w:val="none"/>
        </w:rPr>
      </w:pPr>
    </w:p>
    <w:p w14:paraId="756B922A">
      <w:pPr>
        <w:rPr>
          <w:highlight w:val="none"/>
        </w:rPr>
      </w:pPr>
    </w:p>
    <w:p w14:paraId="2621F52F">
      <w:pPr>
        <w:rPr>
          <w:highlight w:val="none"/>
        </w:rPr>
      </w:pPr>
    </w:p>
    <w:p w14:paraId="60E82497">
      <w:pPr>
        <w:rPr>
          <w:highlight w:val="none"/>
        </w:rPr>
      </w:pPr>
    </w:p>
    <w:p w14:paraId="5A912BA5">
      <w:pPr>
        <w:rPr>
          <w:highlight w:val="none"/>
        </w:rPr>
      </w:pPr>
    </w:p>
    <w:p w14:paraId="2B8D795A">
      <w:pPr>
        <w:rPr>
          <w:highlight w:val="none"/>
        </w:rPr>
      </w:pPr>
    </w:p>
    <w:p w14:paraId="704AC8A0">
      <w:pPr>
        <w:rPr>
          <w:highlight w:val="none"/>
        </w:rPr>
      </w:pPr>
    </w:p>
    <w:p w14:paraId="7D0D623F">
      <w:pPr>
        <w:rPr>
          <w:highlight w:val="none"/>
        </w:rPr>
      </w:pPr>
    </w:p>
    <w:p w14:paraId="66632B80">
      <w:pPr>
        <w:pStyle w:val="2"/>
        <w:spacing w:before="156" w:after="156"/>
        <w:rPr>
          <w:rFonts w:cs="Times New Roman"/>
          <w:color w:val="000000" w:themeColor="text1"/>
          <w:highlight w:val="none"/>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建筑防火</w:t>
      </w:r>
      <w:bookmarkEnd w:id="7"/>
    </w:p>
    <w:p w14:paraId="49C084C3">
      <w:pPr>
        <w:pStyle w:val="46"/>
        <w:keepNext/>
        <w:keepLines/>
        <w:numPr>
          <w:ilvl w:val="1"/>
          <w:numId w:val="1"/>
        </w:numPr>
        <w:adjustRightInd w:val="0"/>
        <w:spacing w:before="156" w:beforeLines="50" w:after="156" w:afterLines="50" w:line="240" w:lineRule="auto"/>
        <w:ind w:left="0" w:firstLineChars="0"/>
        <w:jc w:val="center"/>
        <w:outlineLvl w:val="1"/>
        <w:rPr>
          <w:rFonts w:eastAsia="华文细黑" w:cs="Times New Roman"/>
          <w:b/>
          <w:vanish/>
          <w:color w:val="000000" w:themeColor="text1"/>
          <w:highlight w:val="none"/>
          <w14:textFill>
            <w14:solidFill>
              <w14:schemeClr w14:val="tx1"/>
            </w14:solidFill>
          </w14:textFill>
        </w:rPr>
      </w:pPr>
      <w:bookmarkStart w:id="8" w:name="_Toc146643481"/>
      <w:bookmarkEnd w:id="8"/>
      <w:bookmarkStart w:id="9" w:name="_Toc140410984"/>
      <w:bookmarkEnd w:id="9"/>
    </w:p>
    <w:p w14:paraId="348633BD">
      <w:pPr>
        <w:pStyle w:val="3"/>
        <w:spacing w:before="156" w:after="156"/>
        <w:ind w:firstLine="0"/>
        <w:rPr>
          <w:rFonts w:ascii="Times New Roman" w:hAnsi="Times New Roman" w:cs="Times New Roman"/>
          <w:highlight w:val="none"/>
        </w:rPr>
      </w:pPr>
      <w:bookmarkStart w:id="10" w:name="_Toc30287"/>
      <w:r>
        <w:rPr>
          <w:rFonts w:hint="eastAsia" w:ascii="Times New Roman" w:hAnsi="Times New Roman" w:cs="Times New Roman"/>
          <w:highlight w:val="none"/>
        </w:rPr>
        <w:t>建筑分类与耐火等级</w:t>
      </w:r>
      <w:bookmarkEnd w:id="10"/>
    </w:p>
    <w:p w14:paraId="6B60F14D">
      <w:pPr>
        <w:pStyle w:val="4"/>
        <w:bidi w:val="0"/>
      </w:pPr>
      <w:bookmarkStart w:id="11" w:name="_Toc10885"/>
      <w:bookmarkStart w:id="12" w:name="_Toc109117962"/>
      <w:r>
        <w:rPr>
          <w:rFonts w:hint="eastAsia"/>
        </w:rPr>
        <w:t>为满足改造后消防要求增设的屋面设备机房、屋顶水箱、光伏板以及其他无实际使用功能的设施，可不计入建筑消防高度计算。</w:t>
      </w:r>
    </w:p>
    <w:p w14:paraId="42DC28DF">
      <w:pPr>
        <w:rPr>
          <w:highlight w:val="none"/>
        </w:rPr>
      </w:pPr>
      <w:r>
        <w:rPr>
          <w:rFonts w:hint="eastAsia"/>
          <w:highlight w:val="none"/>
        </w:rPr>
        <w:t>【条文说明】既有建筑为满足改造后消防标准要求而增设的屋面设备机房、屋顶水箱</w:t>
      </w:r>
      <w:r>
        <w:rPr>
          <w:rFonts w:hint="eastAsia"/>
          <w:highlight w:val="none"/>
          <w:lang w:eastAsia="zh-CN"/>
        </w:rPr>
        <w:t>，</w:t>
      </w:r>
      <w:r>
        <w:rPr>
          <w:rFonts w:hint="eastAsia"/>
          <w:highlight w:val="none"/>
        </w:rPr>
        <w:t>以及响应国家绿色能源等政策而增设的光伏板以及其他无实际使用功能的设施</w:t>
      </w:r>
      <w:r>
        <w:rPr>
          <w:rFonts w:hint="eastAsia"/>
          <w:highlight w:val="none"/>
          <w:lang w:eastAsia="zh-CN"/>
        </w:rPr>
        <w:t>，</w:t>
      </w:r>
      <w:r>
        <w:rPr>
          <w:rFonts w:hint="eastAsia"/>
          <w:highlight w:val="none"/>
        </w:rPr>
        <w:t>其建筑高度可按原高度认定。</w:t>
      </w:r>
    </w:p>
    <w:p w14:paraId="5ACC57F3">
      <w:pPr>
        <w:pStyle w:val="4"/>
        <w:bidi w:val="0"/>
      </w:pPr>
      <w:r>
        <w:rPr>
          <w:rFonts w:hint="eastAsia"/>
        </w:rPr>
        <w:t>在满足本标准3.0.4条第1、第2款时，改造范围内新增建筑构件及产品的燃烧性能和耐火极限应按现行消防技术标准进行设计；保留的建筑构件及产品不满足现行燃烧性能和耐火极限要求时，应采取防火保护措施，以满足现行国家标准对所属构件及产品燃烧性能和耐火极限的要求。</w:t>
      </w:r>
    </w:p>
    <w:p w14:paraId="74343BB5">
      <w:pPr>
        <w:rPr>
          <w:highlight w:val="none"/>
        </w:rPr>
      </w:pPr>
      <w:r>
        <w:rPr>
          <w:rFonts w:hint="eastAsia"/>
          <w:highlight w:val="none"/>
        </w:rPr>
        <w:t>（本条借鉴《北京市既有建筑改造工程消防设计指南》2023版3.1.2条，红色字体及条文说明为云南调整的内容。）</w:t>
      </w:r>
    </w:p>
    <w:p w14:paraId="17BF45A4">
      <w:pPr>
        <w:rPr>
          <w:highlight w:val="none"/>
        </w:rPr>
      </w:pPr>
      <w:r>
        <w:rPr>
          <w:rFonts w:hint="eastAsia"/>
          <w:highlight w:val="none"/>
        </w:rPr>
        <w:t>【条文说明】建筑构件的燃烧性能和耐火极限应符合现行规范对不同耐火等级下建筑构件的相应要求。</w:t>
      </w:r>
    </w:p>
    <w:p w14:paraId="4F5C9546">
      <w:pPr>
        <w:pStyle w:val="3"/>
        <w:spacing w:before="156" w:after="156"/>
        <w:ind w:firstLine="0"/>
        <w:rPr>
          <w:rFonts w:ascii="Times New Roman" w:hAnsi="Times New Roman" w:cs="Times New Roman"/>
          <w:highlight w:val="none"/>
        </w:rPr>
      </w:pPr>
      <w:bookmarkStart w:id="13" w:name="_Toc12455"/>
      <w:r>
        <w:rPr>
          <w:rFonts w:hint="eastAsia" w:ascii="Times New Roman" w:hAnsi="Times New Roman" w:cs="Times New Roman"/>
          <w:highlight w:val="none"/>
        </w:rPr>
        <w:t>建筑总平面布局</w:t>
      </w:r>
      <w:bookmarkEnd w:id="13"/>
    </w:p>
    <w:p w14:paraId="40AE9F98">
      <w:pPr>
        <w:pStyle w:val="4"/>
        <w:bidi w:val="0"/>
      </w:pPr>
      <w:r>
        <w:rPr>
          <w:rFonts w:hint="eastAsia"/>
        </w:rPr>
        <w:t>除有特殊要求的建筑外，整体改造中改造工程与改造工程之间、改造工程与相邻既有建筑之间，以及局部改造</w:t>
      </w:r>
      <w:r>
        <w:rPr>
          <w:rFonts w:hint="eastAsia"/>
          <w:lang w:val="en-US" w:eastAsia="zh-CN"/>
        </w:rPr>
        <w:t>中</w:t>
      </w:r>
      <w:r>
        <w:rPr>
          <w:rFonts w:hint="eastAsia"/>
        </w:rPr>
        <w:t>改造区域与其他建筑的防火间距不满足现行消防技术标准要求时，建筑相邻外墙的耐火极限之和不应低于相关规定要求。当改造建筑外墙上需开设门、窗、洞口时，应设置不可开启或火灾时能自动关闭的甲级防火门、窗，或设置符合现行国家标准《自动喷水灭火系统设计规范》GB 50084规定的防火分隔水幕或设置符合《建筑设计防火规范》GB 50016、《建筑防火通用规范》GB 55037相关规定的防火卷帘。</w:t>
      </w:r>
    </w:p>
    <w:p w14:paraId="7F6C1D13">
      <w:pPr>
        <w:rPr>
          <w:rFonts w:hint="eastAsia"/>
          <w:highlight w:val="none"/>
        </w:rPr>
      </w:pPr>
      <w:r>
        <w:rPr>
          <w:rFonts w:hint="eastAsia"/>
          <w:highlight w:val="none"/>
        </w:rPr>
        <w:t>【条文说明】既有建筑间距形成的历史原因通常较为复杂，相对建筑位置改变恐难以实现。因此本条文规定，改造工程与相邻建筑不满足现行规范的间距要求时，如在多层民用建筑间距不满足3.5m，高层民用建筑间距不满足4m的情况下，相邻外墙的耐火极限之和不应低于3.00</w:t>
      </w:r>
      <w:r>
        <w:rPr>
          <w:rFonts w:hint="eastAsia"/>
          <w:highlight w:val="none"/>
          <w:shd w:val="clear" w:color="auto" w:fill="auto"/>
        </w:rPr>
        <w:t>h（特殊情况要求不低于4.00h或更高）。</w:t>
      </w:r>
      <w:r>
        <w:rPr>
          <w:rFonts w:hint="eastAsia"/>
          <w:highlight w:val="none"/>
        </w:rPr>
        <w:t>对于建筑外墙上需开设的洞口，采用性能补偿的办法，增强建筑防火性能。</w:t>
      </w:r>
    </w:p>
    <w:p w14:paraId="40B3E145">
      <w:pPr>
        <w:rPr>
          <w:highlight w:val="none"/>
        </w:rPr>
      </w:pPr>
      <w:r>
        <w:rPr>
          <w:rFonts w:hint="eastAsia"/>
          <w:highlight w:val="none"/>
        </w:rPr>
        <w:t>改造工程由于现状场地条件不足，不能满足现行标准中场地内消防车道、消防车登高操作场地相关要求，且也不能有效借用满足现行规范要求的市政道路和相邻地块场地，仅满足既有建筑原执行规范标准时，不应增设老年人照料设施、幼儿园、中小学校、医疗等老、幼、病、弱等场所。</w:t>
      </w:r>
    </w:p>
    <w:p w14:paraId="3DD79DDF">
      <w:pPr>
        <w:pStyle w:val="4"/>
        <w:bidi w:val="0"/>
      </w:pPr>
      <w:r>
        <w:rPr>
          <w:rFonts w:hint="eastAsia"/>
        </w:rPr>
        <w:t>既有工业建筑改造不改变工业建筑火灾危险性</w:t>
      </w:r>
      <w:r>
        <w:rPr>
          <w:rFonts w:hint="eastAsia"/>
          <w:lang w:val="en-US" w:eastAsia="zh-CN"/>
        </w:rPr>
        <w:t>类别时</w:t>
      </w:r>
      <w:r>
        <w:rPr>
          <w:rFonts w:hint="eastAsia"/>
        </w:rPr>
        <w:t>，其防火间距、消防车道、消防车登高操作场地，宜满足现行国家有关标准的规定</w:t>
      </w:r>
      <w:r>
        <w:rPr>
          <w:rFonts w:hint="eastAsia"/>
          <w:lang w:eastAsia="zh-CN"/>
        </w:rPr>
        <w:t>，</w:t>
      </w:r>
      <w:r>
        <w:rPr>
          <w:rFonts w:hint="eastAsia"/>
          <w:lang w:val="en-US" w:eastAsia="zh-CN"/>
        </w:rPr>
        <w:t>并</w:t>
      </w:r>
      <w:r>
        <w:rPr>
          <w:rFonts w:hint="eastAsia"/>
        </w:rPr>
        <w:t>应符合原建造时的标准规定；其他防火技术要求应符合国家现行有关标准的规定。</w:t>
      </w:r>
    </w:p>
    <w:p w14:paraId="5D63198A">
      <w:pPr>
        <w:bidi w:val="0"/>
      </w:pPr>
      <w:r>
        <w:rPr>
          <w:rFonts w:hint="eastAsia"/>
        </w:rPr>
        <w:t>【条文说明】既有工业建筑改造不改变建筑功能，不改变或降低工业建筑火灾危险性情况下，上述相关总平面消防措施，应立足可改应改的要求。当确有困难，不能满足现行标准要求时，应符合原建造时的标准规定。</w:t>
      </w:r>
    </w:p>
    <w:p w14:paraId="67B1F083">
      <w:pPr>
        <w:pStyle w:val="4"/>
        <w:bidi w:val="0"/>
      </w:pPr>
      <w:r>
        <w:rPr>
          <w:rFonts w:hint="eastAsia"/>
        </w:rPr>
        <w:t>既有工业建筑由火灾危险性</w:t>
      </w:r>
      <w:r>
        <w:rPr>
          <w:rFonts w:hint="eastAsia"/>
          <w:lang w:val="en-US" w:eastAsia="zh-CN"/>
        </w:rPr>
        <w:t>由</w:t>
      </w:r>
      <w:r>
        <w:rPr>
          <w:rFonts w:hint="eastAsia"/>
        </w:rPr>
        <w:t>高类改造为低类时，其防火间距、消防救援场地，宜满足现行国家有关标准对低分类工业建筑的规定，应符合原建造时对低分类工业建筑的标准规定；其他防火技术要求应符合国家现行有关标准的规定。</w:t>
      </w:r>
    </w:p>
    <w:p w14:paraId="5308D82C">
      <w:pPr>
        <w:bidi w:val="0"/>
      </w:pPr>
      <w:r>
        <w:rPr>
          <w:rFonts w:hint="eastAsia"/>
        </w:rPr>
        <w:t>【条文说明】既有工业建筑由火灾危险性</w:t>
      </w:r>
      <w:r>
        <w:rPr>
          <w:rFonts w:hint="eastAsia"/>
          <w:lang w:val="en-US" w:eastAsia="zh-CN"/>
        </w:rPr>
        <w:t>由</w:t>
      </w:r>
      <w:r>
        <w:rPr>
          <w:rFonts w:hint="eastAsia"/>
        </w:rPr>
        <w:t>高类改造为低类时，上述相关总平面消防措施，应立足可改应改的前提要求。当确有困难，无法满足现行标准要求时，应符合原建造时的标准规定。</w:t>
      </w:r>
    </w:p>
    <w:p w14:paraId="63C85D8B">
      <w:pPr>
        <w:pStyle w:val="3"/>
        <w:spacing w:before="156" w:after="156"/>
        <w:rPr>
          <w:highlight w:val="none"/>
        </w:rPr>
      </w:pPr>
      <w:bookmarkStart w:id="14" w:name="_Toc20042"/>
      <w:r>
        <w:rPr>
          <w:rFonts w:hint="eastAsia"/>
          <w:highlight w:val="none"/>
        </w:rPr>
        <w:t>建筑防火分区和平面布置</w:t>
      </w:r>
      <w:bookmarkEnd w:id="14"/>
    </w:p>
    <w:p w14:paraId="698B677A">
      <w:pPr>
        <w:pStyle w:val="4"/>
        <w:bidi w:val="0"/>
      </w:pPr>
      <w:r>
        <w:rPr>
          <w:rFonts w:hint="eastAsia"/>
        </w:rPr>
        <w:t>当既有建筑地下一、二层的建筑类别、建筑功能、功能类型、空间用途改变为公共配套及商业服务设施、储藏等空间时，应符合以下规定：</w:t>
      </w:r>
    </w:p>
    <w:p w14:paraId="6395D290">
      <w:pPr>
        <w:rPr>
          <w:color w:val="auto"/>
          <w:highlight w:val="none"/>
        </w:rPr>
      </w:pPr>
      <w:r>
        <w:rPr>
          <w:rFonts w:hint="eastAsia"/>
          <w:color w:val="auto"/>
          <w:highlight w:val="none"/>
        </w:rPr>
        <w:t>1 依据使用功能重新进行防火分区划分、防火分隔及疏散组织；</w:t>
      </w:r>
    </w:p>
    <w:p w14:paraId="3DEA63F8">
      <w:pPr>
        <w:rPr>
          <w:color w:val="auto"/>
          <w:highlight w:val="none"/>
        </w:rPr>
      </w:pPr>
      <w:r>
        <w:rPr>
          <w:rFonts w:hint="eastAsia"/>
          <w:color w:val="auto"/>
          <w:highlight w:val="none"/>
        </w:rPr>
        <w:t>2 改造区域每个防火分区除利用通往上部建筑的共用疏散楼梯以外，至少应设置1个独立使用的安全出口；</w:t>
      </w:r>
    </w:p>
    <w:p w14:paraId="7C36FD38">
      <w:pPr>
        <w:rPr>
          <w:color w:val="auto"/>
          <w:highlight w:val="none"/>
        </w:rPr>
      </w:pPr>
      <w:r>
        <w:rPr>
          <w:rFonts w:hint="eastAsia"/>
          <w:color w:val="auto"/>
          <w:highlight w:val="none"/>
        </w:rPr>
        <w:t>3 当利用通往上部建筑的疏散楼梯作为第二安全出口时，应满足现行《建筑防火通用规范》GB 55037相关地下或半地下室疏散楼梯间的要求；</w:t>
      </w:r>
    </w:p>
    <w:p w14:paraId="6D4CF32E">
      <w:pPr>
        <w:rPr>
          <w:color w:val="auto"/>
          <w:highlight w:val="none"/>
        </w:rPr>
      </w:pPr>
      <w:r>
        <w:rPr>
          <w:rFonts w:hint="eastAsia"/>
          <w:color w:val="auto"/>
          <w:highlight w:val="none"/>
        </w:rPr>
        <w:t>4储藏空间严禁经营、存放和使用甲、乙及丙1类火灾危险性物品，</w:t>
      </w:r>
      <w:r>
        <w:rPr>
          <w:rFonts w:hint="eastAsia" w:cs="宋体" w:asciiTheme="minorEastAsia" w:hAnsiTheme="minorEastAsia" w:eastAsiaTheme="minorEastAsia"/>
          <w:color w:val="auto"/>
          <w:highlight w:val="none"/>
        </w:rPr>
        <w:t>与建筑的其它部位之间应采用耐火极限不低于</w:t>
      </w:r>
      <w:r>
        <w:rPr>
          <w:rFonts w:cs="宋体" w:asciiTheme="minorEastAsia" w:hAnsiTheme="minorEastAsia" w:eastAsiaTheme="minorEastAsia"/>
          <w:color w:val="auto"/>
          <w:highlight w:val="none"/>
        </w:rPr>
        <w:t>2.00h</w:t>
      </w:r>
      <w:r>
        <w:rPr>
          <w:rFonts w:hint="eastAsia" w:cs="宋体" w:asciiTheme="minorEastAsia" w:hAnsiTheme="minorEastAsia" w:eastAsiaTheme="minorEastAsia"/>
          <w:color w:val="auto"/>
          <w:highlight w:val="none"/>
        </w:rPr>
        <w:t>的防火隔墙和</w:t>
      </w:r>
      <w:r>
        <w:rPr>
          <w:rFonts w:cs="宋体" w:asciiTheme="minorEastAsia" w:hAnsiTheme="minorEastAsia" w:eastAsiaTheme="minorEastAsia"/>
          <w:color w:val="auto"/>
          <w:highlight w:val="none"/>
        </w:rPr>
        <w:t>2.00h</w:t>
      </w:r>
      <w:r>
        <w:rPr>
          <w:rFonts w:hint="eastAsia" w:cs="宋体" w:asciiTheme="minorEastAsia" w:hAnsiTheme="minorEastAsia" w:eastAsiaTheme="minorEastAsia"/>
          <w:color w:val="auto"/>
          <w:highlight w:val="none"/>
        </w:rPr>
        <w:t>的不燃性楼板完全分隔，隔墙上的门采用乙级防火门；储藏空间</w:t>
      </w:r>
      <w:r>
        <w:rPr>
          <w:rFonts w:hint="eastAsia"/>
          <w:color w:val="auto"/>
          <w:highlight w:val="none"/>
        </w:rPr>
        <w:t>宜按独立的防火分区设置，防火分区面积按丙2类地下室仓库</w:t>
      </w:r>
      <w:r>
        <w:rPr>
          <w:rFonts w:hint="eastAsia"/>
          <w:color w:val="auto"/>
          <w:highlight w:val="none"/>
          <w:lang w:val="en-US" w:eastAsia="zh-CN"/>
        </w:rPr>
        <w:t>进行</w:t>
      </w:r>
      <w:r>
        <w:rPr>
          <w:rFonts w:hint="eastAsia"/>
          <w:color w:val="auto"/>
          <w:highlight w:val="none"/>
        </w:rPr>
        <w:t>划分；</w:t>
      </w:r>
    </w:p>
    <w:p w14:paraId="592859A8">
      <w:pPr>
        <w:rPr>
          <w:color w:val="auto"/>
          <w:highlight w:val="none"/>
        </w:rPr>
      </w:pPr>
      <w:r>
        <w:rPr>
          <w:rFonts w:hint="eastAsia"/>
          <w:color w:val="auto"/>
          <w:highlight w:val="none"/>
        </w:rPr>
        <w:t>5 储藏空间以储藏隔间形式出现时，每间使用面积不应大于20㎡，</w:t>
      </w:r>
      <w:r>
        <w:rPr>
          <w:rFonts w:hint="eastAsia" w:cs="宋体" w:asciiTheme="minorEastAsia" w:hAnsiTheme="minorEastAsia" w:eastAsiaTheme="minorEastAsia"/>
          <w:color w:val="auto"/>
          <w:highlight w:val="none"/>
        </w:rPr>
        <w:t>储藏区域每个储藏隔间之间及</w:t>
      </w:r>
      <w:bookmarkStart w:id="15" w:name="OLE_LINK1"/>
      <w:r>
        <w:rPr>
          <w:rFonts w:hint="eastAsia" w:cs="宋体" w:asciiTheme="minorEastAsia" w:hAnsiTheme="minorEastAsia" w:eastAsiaTheme="minorEastAsia"/>
          <w:color w:val="auto"/>
          <w:highlight w:val="none"/>
        </w:rPr>
        <w:t>与建筑的其它部位之间应采用耐火极限不低于</w:t>
      </w:r>
      <w:r>
        <w:rPr>
          <w:rFonts w:cs="宋体" w:asciiTheme="minorEastAsia" w:hAnsiTheme="minorEastAsia" w:eastAsiaTheme="minorEastAsia"/>
          <w:color w:val="auto"/>
          <w:highlight w:val="none"/>
        </w:rPr>
        <w:t>2.00h</w:t>
      </w:r>
      <w:r>
        <w:rPr>
          <w:rFonts w:hint="eastAsia" w:cs="宋体" w:asciiTheme="minorEastAsia" w:hAnsiTheme="minorEastAsia" w:eastAsiaTheme="minorEastAsia"/>
          <w:color w:val="auto"/>
          <w:highlight w:val="none"/>
        </w:rPr>
        <w:t>的防火隔墙和</w:t>
      </w:r>
      <w:r>
        <w:rPr>
          <w:rFonts w:cs="宋体" w:asciiTheme="minorEastAsia" w:hAnsiTheme="minorEastAsia" w:eastAsiaTheme="minorEastAsia"/>
          <w:color w:val="auto"/>
          <w:highlight w:val="none"/>
        </w:rPr>
        <w:t>2.00h</w:t>
      </w:r>
      <w:r>
        <w:rPr>
          <w:rFonts w:hint="eastAsia" w:cs="宋体" w:asciiTheme="minorEastAsia" w:hAnsiTheme="minorEastAsia" w:eastAsiaTheme="minorEastAsia"/>
          <w:color w:val="auto"/>
          <w:highlight w:val="none"/>
        </w:rPr>
        <w:t>的不燃性楼板完全分隔，隔墙上的门采用乙级防火门</w:t>
      </w:r>
      <w:bookmarkEnd w:id="15"/>
      <w:r>
        <w:rPr>
          <w:rFonts w:hint="eastAsia" w:cs="宋体" w:asciiTheme="minorEastAsia" w:hAnsiTheme="minorEastAsia" w:eastAsiaTheme="minorEastAsia"/>
          <w:color w:val="auto"/>
          <w:highlight w:val="none"/>
        </w:rPr>
        <w:t>；</w:t>
      </w:r>
      <w:r>
        <w:rPr>
          <w:color w:val="auto"/>
          <w:highlight w:val="none"/>
        </w:rPr>
        <w:t xml:space="preserve"> </w:t>
      </w:r>
    </w:p>
    <w:p w14:paraId="59A889F4">
      <w:pPr>
        <w:rPr>
          <w:color w:val="auto"/>
          <w:highlight w:val="none"/>
        </w:rPr>
      </w:pPr>
      <w:r>
        <w:rPr>
          <w:rFonts w:hint="eastAsia"/>
          <w:color w:val="auto"/>
          <w:highlight w:val="none"/>
        </w:rPr>
        <w:t>5 建筑内部装修材料</w:t>
      </w:r>
      <w:r>
        <w:rPr>
          <w:rFonts w:hint="eastAsia"/>
          <w:color w:val="auto"/>
          <w:highlight w:val="none"/>
          <w:lang w:val="en-US" w:eastAsia="zh-CN"/>
        </w:rPr>
        <w:t>和产品</w:t>
      </w:r>
      <w:r>
        <w:rPr>
          <w:rFonts w:hint="eastAsia"/>
          <w:color w:val="auto"/>
          <w:highlight w:val="none"/>
        </w:rPr>
        <w:t>的燃烧性能等级应为A级；</w:t>
      </w:r>
    </w:p>
    <w:p w14:paraId="365FE77E">
      <w:pPr>
        <w:rPr>
          <w:color w:val="auto"/>
          <w:highlight w:val="none"/>
        </w:rPr>
      </w:pPr>
      <w:r>
        <w:rPr>
          <w:rFonts w:hint="eastAsia"/>
          <w:color w:val="auto"/>
          <w:highlight w:val="none"/>
        </w:rPr>
        <w:t>6 建筑消防设施要求按现行国家标准要求执行。</w:t>
      </w:r>
    </w:p>
    <w:p w14:paraId="64E6A823">
      <w:pPr>
        <w:rPr>
          <w:highlight w:val="none"/>
        </w:rPr>
      </w:pPr>
      <w:bookmarkStart w:id="16" w:name="OLE_LINK3"/>
      <w:r>
        <w:rPr>
          <w:rFonts w:hint="eastAsia"/>
          <w:highlight w:val="none"/>
        </w:rPr>
        <w:t>【条文说明】</w:t>
      </w:r>
      <w:bookmarkEnd w:id="16"/>
      <w:r>
        <w:rPr>
          <w:rFonts w:hint="eastAsia"/>
          <w:highlight w:val="none"/>
        </w:rPr>
        <w:t>近年出现既有建筑地下车库、地下室空置后，调整功能为公共配套</w:t>
      </w:r>
      <w:r>
        <w:rPr>
          <w:rFonts w:hint="eastAsia"/>
          <w:highlight w:val="none"/>
          <w:lang w:eastAsia="zh-CN"/>
        </w:rPr>
        <w:t>、</w:t>
      </w:r>
      <w:r>
        <w:rPr>
          <w:rFonts w:hint="eastAsia"/>
          <w:highlight w:val="none"/>
        </w:rPr>
        <w:t>商业服务设施以及拆分改造为储藏进行租售的情况，为利用现有设置，提供相关消防保障，制定本条标准。</w:t>
      </w:r>
    </w:p>
    <w:p w14:paraId="2DD99591">
      <w:pPr>
        <w:rPr>
          <w:highlight w:val="none"/>
        </w:rPr>
      </w:pPr>
      <w:r>
        <w:rPr>
          <w:rFonts w:hint="eastAsia"/>
          <w:highlight w:val="none"/>
        </w:rPr>
        <w:t>民用建筑储藏较难出现纯粹的丁、戊类物品，故其防火分区面积按丙2类地下室仓库划分。</w:t>
      </w:r>
    </w:p>
    <w:p w14:paraId="21D3E5F4">
      <w:pPr>
        <w:pStyle w:val="4"/>
        <w:bidi w:val="0"/>
      </w:pPr>
      <w:r>
        <w:rPr>
          <w:rFonts w:hint="eastAsia"/>
        </w:rPr>
        <w:t>既有建筑进行局部改造时，宜形成独立的防火分区，或在所属防火分区中，形成独立的防火单元。</w:t>
      </w:r>
    </w:p>
    <w:p w14:paraId="46F9C85F">
      <w:pPr>
        <w:bidi w:val="0"/>
        <w:rPr>
          <w:rFonts w:hint="eastAsia"/>
        </w:rPr>
      </w:pPr>
      <w:r>
        <w:rPr>
          <w:rFonts w:hint="eastAsia"/>
        </w:rPr>
        <w:t>【条文说明】既有建筑局部进行改造，沿用既有建筑原来的防火分区或对原来的防火分区进行局部改造，既可尽量利用原有消防设施，有效控制造价，又降低改造难度及风险，应</w:t>
      </w:r>
      <w:r>
        <w:rPr>
          <w:rFonts w:hint="eastAsia"/>
          <w:lang w:val="en-US" w:eastAsia="zh-CN"/>
        </w:rPr>
        <w:t>鼓励</w:t>
      </w:r>
      <w:r>
        <w:rPr>
          <w:rFonts w:hint="eastAsia"/>
        </w:rPr>
        <w:t>提倡；此外，对于较小规模的改造，宜在其防火分区内形成独立的防火单元，增强防火分区自身火灾控制能力。</w:t>
      </w:r>
    </w:p>
    <w:p w14:paraId="09A9FC1E">
      <w:pPr>
        <w:pStyle w:val="4"/>
        <w:bidi w:val="0"/>
      </w:pPr>
      <w:r>
        <w:rPr>
          <w:rFonts w:hint="eastAsia"/>
        </w:rPr>
        <w:t>既有会议室、多功能厅等人员密集场所，如有困难确</w:t>
      </w:r>
      <w:r>
        <w:rPr>
          <w:rFonts w:hint="eastAsia"/>
          <w:lang w:val="en-US" w:eastAsia="zh-CN"/>
        </w:rPr>
        <w:t>需</w:t>
      </w:r>
      <w:r>
        <w:rPr>
          <w:rFonts w:hint="eastAsia"/>
        </w:rPr>
        <w:t>设置在四层及四层以上楼层时，可维持现位置，但应满足以下规定：</w:t>
      </w:r>
    </w:p>
    <w:p w14:paraId="4C0D22F2">
      <w:pPr>
        <w:rPr>
          <w:color w:val="auto"/>
          <w:highlight w:val="none"/>
        </w:rPr>
      </w:pPr>
      <w:r>
        <w:rPr>
          <w:rFonts w:hint="eastAsia"/>
          <w:color w:val="auto"/>
          <w:highlight w:val="none"/>
        </w:rPr>
        <w:t>1 建筑耐火等级应为一级或二级；</w:t>
      </w:r>
    </w:p>
    <w:p w14:paraId="3777603F">
      <w:pPr>
        <w:rPr>
          <w:color w:val="auto"/>
          <w:highlight w:val="none"/>
        </w:rPr>
      </w:pPr>
      <w:r>
        <w:rPr>
          <w:rFonts w:hint="eastAsia"/>
          <w:color w:val="auto"/>
          <w:highlight w:val="none"/>
        </w:rPr>
        <w:t>2 一个厅、室的疏散门不应少于2个，且建筑面积不宜大于500m²；</w:t>
      </w:r>
    </w:p>
    <w:p w14:paraId="2FF1EF26">
      <w:pPr>
        <w:rPr>
          <w:color w:val="auto"/>
          <w:highlight w:val="none"/>
        </w:rPr>
      </w:pPr>
      <w:r>
        <w:rPr>
          <w:rFonts w:hint="eastAsia"/>
          <w:color w:val="auto"/>
          <w:highlight w:val="none"/>
        </w:rPr>
        <w:t>3 使用人数不超过400人；</w:t>
      </w:r>
    </w:p>
    <w:p w14:paraId="5BEED576">
      <w:pPr>
        <w:rPr>
          <w:color w:val="auto"/>
          <w:highlight w:val="none"/>
        </w:rPr>
      </w:pPr>
      <w:r>
        <w:rPr>
          <w:rFonts w:hint="eastAsia"/>
          <w:color w:val="auto"/>
          <w:highlight w:val="none"/>
        </w:rPr>
        <w:t>4 与其他部位采用耐火极限不低于2</w:t>
      </w:r>
      <w:r>
        <w:rPr>
          <w:rFonts w:hint="eastAsia"/>
          <w:color w:val="auto"/>
          <w:highlight w:val="none"/>
          <w:lang w:val="en-US" w:eastAsia="zh-CN"/>
        </w:rPr>
        <w:t>.00</w:t>
      </w:r>
      <w:r>
        <w:rPr>
          <w:rFonts w:hint="eastAsia"/>
          <w:color w:val="auto"/>
          <w:highlight w:val="none"/>
        </w:rPr>
        <w:t>h的防火隔墙和甲级防火门分隔；</w:t>
      </w:r>
    </w:p>
    <w:p w14:paraId="299B95C8">
      <w:pPr>
        <w:rPr>
          <w:color w:val="auto"/>
          <w:highlight w:val="none"/>
        </w:rPr>
      </w:pPr>
      <w:r>
        <w:rPr>
          <w:rFonts w:hint="eastAsia"/>
          <w:color w:val="auto"/>
          <w:highlight w:val="none"/>
        </w:rPr>
        <w:t>5 直通疏散走道的疏散门至最近安全出口的直线距离或直通安全出口的直线距离不大于22m；</w:t>
      </w:r>
    </w:p>
    <w:p w14:paraId="20C0047C">
      <w:pPr>
        <w:rPr>
          <w:color w:val="auto"/>
          <w:highlight w:val="none"/>
        </w:rPr>
      </w:pPr>
      <w:r>
        <w:rPr>
          <w:rFonts w:hint="eastAsia"/>
          <w:color w:val="auto"/>
          <w:highlight w:val="none"/>
        </w:rPr>
        <w:t>6 走道等公共区域应设置满足防排烟要求的可开启外窗或设置室外阳台。</w:t>
      </w:r>
    </w:p>
    <w:p w14:paraId="0FBBB445">
      <w:pPr>
        <w:bidi w:val="0"/>
      </w:pPr>
      <w:r>
        <w:rPr>
          <w:rFonts w:hint="eastAsia"/>
        </w:rPr>
        <w:t>（本条全文借鉴《北京市既有建筑改造工程消防设计指南》2023版3.3.4条）</w:t>
      </w:r>
    </w:p>
    <w:p w14:paraId="46391438">
      <w:pPr>
        <w:rPr>
          <w:highlight w:val="none"/>
        </w:rPr>
      </w:pPr>
      <w:r>
        <w:rPr>
          <w:rFonts w:hint="eastAsia"/>
          <w:highlight w:val="none"/>
        </w:rPr>
        <w:t>【条文说明】企事业单位和社会机构对内部员工服务的常见大于400㎡的会议室、多功能厅，在既有建筑中因受结构柱布置限制的原因常设置在建筑顶层，不满足现行国家标准《建筑设计防火规范》规定的会议室、多功能厅宜布置在首、二、三层或布置在地下一层且建筑面积不宜大于400㎡的楼层限制要求。放宽建筑面积至500㎡，并通过规定人数限值按400人（1人/㎡）、提高安全疏散距离及疏散楼梯、设置可开启外窗和室外阳台有利于排烟逃生等措施，保障既有建筑的消防安全性能。</w:t>
      </w:r>
    </w:p>
    <w:p w14:paraId="23B0AE17">
      <w:pPr>
        <w:pStyle w:val="4"/>
        <w:bidi w:val="0"/>
      </w:pPr>
      <w:r>
        <w:rPr>
          <w:rFonts w:hint="eastAsia"/>
        </w:rPr>
        <w:t>柴油发电机房、消防水泵房设置在地下三层及以下，当提升机房楼层位置确有困难时，可维持现位置，但其他防火措施及疏散要求应满足现行消防技术标准。</w:t>
      </w:r>
    </w:p>
    <w:p w14:paraId="667A6B5D">
      <w:pPr>
        <w:rPr>
          <w:highlight w:val="none"/>
        </w:rPr>
      </w:pPr>
      <w:r>
        <w:rPr>
          <w:rFonts w:hint="eastAsia"/>
          <w:highlight w:val="none"/>
        </w:rPr>
        <w:t>（本条全文借鉴《北京市既有建筑改造工程消防设计指南》2023版3.3.5条）</w:t>
      </w:r>
    </w:p>
    <w:p w14:paraId="4B8D46A4">
      <w:pPr>
        <w:bidi w:val="0"/>
      </w:pPr>
      <w:r>
        <w:rPr>
          <w:rFonts w:hint="eastAsia"/>
        </w:rPr>
        <w:t>【条文说明】2006版国家标准《建筑设计防火规范》GB 50016</w:t>
      </w:r>
      <w:r>
        <w:rPr>
          <w:rFonts w:hint="eastAsia"/>
          <w:lang w:eastAsia="zh-CN"/>
        </w:rPr>
        <w:t>颁布实施</w:t>
      </w:r>
      <w:r>
        <w:rPr>
          <w:rFonts w:hint="eastAsia"/>
        </w:rPr>
        <w:t>以前，未对柴油发电机房的设置楼层提出要求，因此可能存在设置在地下三层及以下的情况。既有建筑改造时，提升机房的楼层困难往往较大。维持机房原有楼层位置时，应符合现行消防技术标准中关于柴油发电机房防火分隔、火灾报警、灭火设施等防火措施要求，同时不应布置在人员密集场所的上一层、下一层或贴邻。</w:t>
      </w:r>
    </w:p>
    <w:p w14:paraId="70A58A70">
      <w:pPr>
        <w:pStyle w:val="4"/>
        <w:bidi w:val="0"/>
      </w:pPr>
      <w:r>
        <w:rPr>
          <w:rFonts w:hint="eastAsia"/>
        </w:rPr>
        <w:t>既有建筑改造</w:t>
      </w:r>
      <w:r>
        <w:rPr>
          <w:rFonts w:hint="eastAsia"/>
          <w:lang w:val="en-US" w:eastAsia="zh-CN"/>
        </w:rPr>
        <w:t>的</w:t>
      </w:r>
      <w:r>
        <w:rPr>
          <w:rFonts w:hint="eastAsia"/>
        </w:rPr>
        <w:t>使用用途发生变化，改造为老年人照料设施、幼儿园、儿童活动场所、儿童照料及少年儿童培训场所等</w:t>
      </w:r>
      <w:r>
        <w:rPr>
          <w:rFonts w:hint="eastAsia"/>
          <w:lang w:val="en-US" w:eastAsia="zh-CN"/>
        </w:rPr>
        <w:t>以</w:t>
      </w:r>
      <w:r>
        <w:rPr>
          <w:rFonts w:hint="eastAsia"/>
        </w:rPr>
        <w:t>老、弱、幼为主要使用对象及类似用途，危险性加大或消防安全水平提高的场所时，应符合以下规定：</w:t>
      </w:r>
    </w:p>
    <w:p w14:paraId="503F4376">
      <w:pPr>
        <w:bidi w:val="0"/>
        <w:rPr>
          <w:color w:val="auto"/>
        </w:rPr>
      </w:pPr>
      <w:r>
        <w:rPr>
          <w:rFonts w:hint="eastAsia"/>
          <w:color w:val="auto"/>
        </w:rPr>
        <w:t>1 改造范围内的设计应执行现行标准；</w:t>
      </w:r>
    </w:p>
    <w:p w14:paraId="0354544C">
      <w:pPr>
        <w:bidi w:val="0"/>
        <w:rPr>
          <w:color w:val="auto"/>
        </w:rPr>
      </w:pPr>
      <w:r>
        <w:rPr>
          <w:color w:val="auto"/>
        </w:rPr>
        <w:t>2</w:t>
      </w:r>
      <w:r>
        <w:rPr>
          <w:rFonts w:hint="eastAsia"/>
          <w:color w:val="auto"/>
        </w:rPr>
        <w:t xml:space="preserve"> 改造范围内应形成独立的防火单元，与相邻未改造区域进行严格的防火分隔，同时不应降低相邻未改造区域原防火标准；条件允许时，改造范围可设置独立的防火分区； </w:t>
      </w:r>
    </w:p>
    <w:p w14:paraId="33512763">
      <w:pPr>
        <w:bidi w:val="0"/>
        <w:rPr>
          <w:color w:val="auto"/>
        </w:rPr>
      </w:pPr>
      <w:r>
        <w:rPr>
          <w:rFonts w:hint="eastAsia"/>
          <w:color w:val="auto"/>
        </w:rPr>
        <w:t>3 原楼梯间形式和防火性能仅做局部改造难以满足现行标准时，应对建筑进行整体改造。</w:t>
      </w:r>
    </w:p>
    <w:p w14:paraId="1B244A6E">
      <w:pPr>
        <w:pStyle w:val="4"/>
        <w:bidi w:val="0"/>
      </w:pPr>
      <w:r>
        <w:rPr>
          <w:rFonts w:hint="eastAsia"/>
        </w:rPr>
        <w:t>既有建筑局部改造为以下用途时，应执行现行工程建设标准。原楼梯间形式和防火性能仅做局部改造难以满足现行标准时，应对建筑进行整体改造。</w:t>
      </w:r>
    </w:p>
    <w:p w14:paraId="2C1800DC">
      <w:pPr>
        <w:rPr>
          <w:color w:val="auto"/>
          <w:highlight w:val="none"/>
        </w:rPr>
      </w:pPr>
      <w:r>
        <w:rPr>
          <w:rFonts w:hint="eastAsia"/>
          <w:color w:val="auto"/>
          <w:highlight w:val="none"/>
        </w:rPr>
        <w:t>1 歌舞娱乐放映游艺场所、剧本杀、密室逃脱及类似使用用途；</w:t>
      </w:r>
    </w:p>
    <w:p w14:paraId="454F3216">
      <w:pPr>
        <w:rPr>
          <w:color w:val="auto"/>
          <w:highlight w:val="none"/>
        </w:rPr>
      </w:pPr>
      <w:r>
        <w:rPr>
          <w:rFonts w:hint="eastAsia"/>
          <w:color w:val="auto"/>
          <w:highlight w:val="none"/>
        </w:rPr>
        <w:t>2 医疗、旅馆及类似使用用途；</w:t>
      </w:r>
    </w:p>
    <w:p w14:paraId="79B298FF">
      <w:pPr>
        <w:rPr>
          <w:highlight w:val="none"/>
        </w:rPr>
      </w:pPr>
      <w:r>
        <w:rPr>
          <w:rFonts w:hint="eastAsia"/>
          <w:color w:val="auto"/>
          <w:highlight w:val="none"/>
        </w:rPr>
        <w:t>3商店、图书馆、展览、会议中心及类似使用用途。</w:t>
      </w:r>
    </w:p>
    <w:p w14:paraId="2E1CD1DE">
      <w:pPr>
        <w:pStyle w:val="3"/>
        <w:bidi w:val="0"/>
      </w:pPr>
      <w:bookmarkStart w:id="17" w:name="_Toc18892"/>
      <w:r>
        <w:rPr>
          <w:rFonts w:hint="eastAsia"/>
        </w:rPr>
        <w:t>安全疏散和避难</w:t>
      </w:r>
      <w:bookmarkEnd w:id="17"/>
    </w:p>
    <w:p w14:paraId="7499A671">
      <w:pPr>
        <w:pStyle w:val="4"/>
        <w:bidi w:val="0"/>
      </w:pPr>
      <w:r>
        <w:rPr>
          <w:rFonts w:hint="eastAsia"/>
        </w:rPr>
        <w:t>楼梯间在首层直通室外确有困难时，可在首层采用疏散距离不大于30m的扩大封闭楼梯间或防烟楼梯间前室进行疏散。扩大封闭楼梯间及内</w:t>
      </w:r>
      <w:r>
        <w:rPr>
          <w:rFonts w:hint="eastAsia"/>
          <w:lang w:val="en-US" w:eastAsia="zh-CN"/>
        </w:rPr>
        <w:t>部</w:t>
      </w:r>
      <w:r>
        <w:rPr>
          <w:rFonts w:hint="eastAsia"/>
        </w:rPr>
        <w:t>兼做前室的门厅装修材料</w:t>
      </w:r>
      <w:r>
        <w:rPr>
          <w:rFonts w:hint="eastAsia"/>
          <w:lang w:val="en-US" w:eastAsia="zh-CN"/>
        </w:rPr>
        <w:t>和产品</w:t>
      </w:r>
      <w:r>
        <w:rPr>
          <w:rFonts w:hint="eastAsia"/>
        </w:rPr>
        <w:t>的燃烧性能应为A级。楼梯间及门厅内开设的其他洞口应采用乙级防火门。</w:t>
      </w:r>
    </w:p>
    <w:p w14:paraId="084D20A2">
      <w:pPr>
        <w:rPr>
          <w:highlight w:val="none"/>
        </w:rPr>
      </w:pPr>
      <w:r>
        <w:rPr>
          <w:rFonts w:hint="eastAsia"/>
          <w:highlight w:val="none"/>
        </w:rPr>
        <w:t>【条文说明】实际工程中，常有项目改造后楼梯间及前室被纳入功能空间，</w:t>
      </w:r>
      <w:r>
        <w:rPr>
          <w:rFonts w:hint="eastAsia"/>
          <w:highlight w:val="none"/>
          <w:lang w:val="en-US" w:eastAsia="zh-CN"/>
        </w:rPr>
        <w:t>应对疏散</w:t>
      </w:r>
      <w:r>
        <w:rPr>
          <w:rFonts w:hint="eastAsia"/>
          <w:highlight w:val="none"/>
        </w:rPr>
        <w:t>距离进行控制保证人员疏散时的安全度，同时对扩大的封闭楼梯间和防烟楼梯间前室内的装修材料</w:t>
      </w:r>
      <w:r>
        <w:rPr>
          <w:rFonts w:hint="eastAsia"/>
          <w:highlight w:val="none"/>
          <w:lang w:val="en-US" w:eastAsia="zh-CN"/>
        </w:rPr>
        <w:t>及产品燃烧性能、门窗洞口的耐火极限提出要求</w:t>
      </w:r>
      <w:r>
        <w:rPr>
          <w:rFonts w:hint="eastAsia"/>
          <w:highlight w:val="none"/>
        </w:rPr>
        <w:t>。</w:t>
      </w:r>
    </w:p>
    <w:p w14:paraId="4BD72F6B">
      <w:pPr>
        <w:pStyle w:val="4"/>
        <w:bidi w:val="0"/>
      </w:pPr>
      <w:r>
        <w:rPr>
          <w:rFonts w:hint="eastAsia"/>
        </w:rPr>
        <w:t>除老年人照料设施、儿童活动场所</w:t>
      </w:r>
      <w:r>
        <w:rPr>
          <w:rFonts w:hint="eastAsia"/>
          <w:lang w:eastAsia="zh-CN"/>
        </w:rPr>
        <w:t>、</w:t>
      </w:r>
      <w:r>
        <w:rPr>
          <w:rFonts w:hint="eastAsia"/>
        </w:rPr>
        <w:t>歌舞娱乐放映游艺场所及电影院外，当既有建筑受现状条件限制确有困难时，公共建筑</w:t>
      </w:r>
      <w:r>
        <w:rPr>
          <w:rFonts w:hint="eastAsia"/>
          <w:lang w:val="en-US" w:eastAsia="zh-CN"/>
        </w:rPr>
        <w:t>相邻</w:t>
      </w:r>
      <w:r>
        <w:rPr>
          <w:rFonts w:hint="eastAsia"/>
        </w:rPr>
        <w:t>两个防火分区可以在水平共用一个疏散楼梯，同时应满足以下条件：</w:t>
      </w:r>
    </w:p>
    <w:p w14:paraId="4A1722C0">
      <w:pPr>
        <w:bidi w:val="0"/>
        <w:rPr>
          <w:color w:val="auto"/>
        </w:rPr>
      </w:pPr>
      <w:r>
        <w:rPr>
          <w:rFonts w:hint="eastAsia"/>
          <w:color w:val="auto"/>
        </w:rPr>
        <w:t xml:space="preserve">1 </w:t>
      </w:r>
      <w:r>
        <w:rPr>
          <w:rFonts w:hint="eastAsia"/>
          <w:color w:val="auto"/>
          <w:lang w:val="en-US" w:eastAsia="zh-CN"/>
        </w:rPr>
        <w:t>相邻</w:t>
      </w:r>
      <w:r>
        <w:rPr>
          <w:rFonts w:hint="eastAsia"/>
          <w:color w:val="auto"/>
        </w:rPr>
        <w:t>两个防火分区通往共用疏散楼梯</w:t>
      </w:r>
      <w:r>
        <w:rPr>
          <w:rFonts w:hint="eastAsia"/>
          <w:color w:val="auto"/>
          <w:lang w:val="en-US" w:eastAsia="zh-CN"/>
        </w:rPr>
        <w:t>处</w:t>
      </w:r>
      <w:r>
        <w:rPr>
          <w:rFonts w:hint="eastAsia"/>
          <w:color w:val="auto"/>
        </w:rPr>
        <w:t>应分别设置前室，</w:t>
      </w:r>
      <w:r>
        <w:rPr>
          <w:rFonts w:hint="eastAsia"/>
          <w:color w:val="auto"/>
          <w:lang w:val="en-US" w:eastAsia="zh-CN"/>
        </w:rPr>
        <w:t>各</w:t>
      </w:r>
      <w:r>
        <w:rPr>
          <w:rFonts w:hint="eastAsia"/>
          <w:color w:val="auto"/>
        </w:rPr>
        <w:t>前室的使用面积</w:t>
      </w:r>
      <w:r>
        <w:rPr>
          <w:rFonts w:hint="eastAsia"/>
          <w:color w:val="auto"/>
          <w:lang w:val="en-US" w:eastAsia="zh-CN"/>
        </w:rPr>
        <w:t>均</w:t>
      </w:r>
      <w:r>
        <w:rPr>
          <w:rFonts w:hint="eastAsia"/>
          <w:color w:val="auto"/>
        </w:rPr>
        <w:t>不应小于6.0m²；</w:t>
      </w:r>
    </w:p>
    <w:p w14:paraId="7A71407B">
      <w:pPr>
        <w:bidi w:val="0"/>
        <w:rPr>
          <w:color w:val="auto"/>
        </w:rPr>
      </w:pPr>
      <w:r>
        <w:rPr>
          <w:rFonts w:hint="eastAsia"/>
          <w:color w:val="auto"/>
        </w:rPr>
        <w:t>2 共用楼梯疏散净宽度满足2个</w:t>
      </w:r>
      <w:r>
        <w:rPr>
          <w:rFonts w:hint="eastAsia"/>
          <w:color w:val="auto"/>
          <w:lang w:val="en-US" w:eastAsia="zh-CN"/>
        </w:rPr>
        <w:t>防火</w:t>
      </w:r>
      <w:r>
        <w:rPr>
          <w:rFonts w:hint="eastAsia"/>
          <w:color w:val="auto"/>
        </w:rPr>
        <w:t>分区同时疏散的要求；</w:t>
      </w:r>
    </w:p>
    <w:p w14:paraId="7AADB008">
      <w:pPr>
        <w:bidi w:val="0"/>
        <w:rPr>
          <w:color w:val="auto"/>
        </w:rPr>
      </w:pPr>
      <w:r>
        <w:rPr>
          <w:rFonts w:hint="eastAsia"/>
          <w:color w:val="auto"/>
        </w:rPr>
        <w:t>3 共用楼梯的疏散净宽度与通向相邻防火分区的疏散净宽度之和不应大于本防火分区所需疏散总净宽度的30%。</w:t>
      </w:r>
    </w:p>
    <w:p w14:paraId="05705B2B">
      <w:pPr>
        <w:rPr>
          <w:highlight w:val="none"/>
        </w:rPr>
      </w:pPr>
      <w:r>
        <w:rPr>
          <w:rFonts w:hint="eastAsia"/>
          <w:highlight w:val="none"/>
        </w:rPr>
        <w:t>（本条部分借鉴《北京市既有建筑改造工程消防设计指南》2023版3.4.5条，红色字体及条文说明为云南调整）</w:t>
      </w:r>
    </w:p>
    <w:p w14:paraId="1BB62650">
      <w:pPr>
        <w:rPr>
          <w:highlight w:val="none"/>
        </w:rPr>
      </w:pPr>
      <w:r>
        <w:rPr>
          <w:rFonts w:hint="eastAsia"/>
          <w:highlight w:val="none"/>
        </w:rPr>
        <w:t>【条文说明】既有公共建筑在改造中增加楼梯的改造难度大，通过增加楼梯间设置前室的补偿性措施要求，提高人员疏散的安全性，有效利用现有设施；楼梯疏散宽度需要满足2个分区同时疏散的要求，因此两个防火分区均要满足本条第3款要求；排除老、幼、歌舞娱乐放映游艺场所及电影院是考虑上述人员及环境特殊，不应降低消防标准。</w:t>
      </w:r>
    </w:p>
    <w:p w14:paraId="76EC3FBB">
      <w:pPr>
        <w:pStyle w:val="4"/>
        <w:bidi w:val="0"/>
      </w:pPr>
      <w:r>
        <w:rPr>
          <w:rFonts w:hint="eastAsia"/>
        </w:rPr>
        <w:t>既有建筑改造工程中保留的疏散楼梯，当其净宽度难以符合现行消防技术标准所规定的该使用功能疏散楼梯最小净宽度要求时，其净宽度计算方式按既有建筑原执行的相关规范执行。</w:t>
      </w:r>
    </w:p>
    <w:p w14:paraId="2295D9C4">
      <w:pPr>
        <w:rPr>
          <w:highlight w:val="none"/>
        </w:rPr>
      </w:pPr>
      <w:r>
        <w:rPr>
          <w:rFonts w:hint="eastAsia"/>
          <w:highlight w:val="none"/>
        </w:rPr>
        <w:t>【条文说明】《&lt;建筑设计防火规范&gt;GB 50016-2014(2018年版）实施指南》P295-297页中明确了疏散楼梯，其梯段净宽度计算从墙面完成面到栏杆或扶手内侧或是两侧栏杆或扶手内侧，其宽度计算与既有建筑设计时执行的宽度计算不同，（原有《建规》未规定计算方式，采用的是《民用建筑设计通则》或是《民用建筑统一标准》中计算至扶手中心线的水平距离），因既有建筑此调整困难且差异微小，故楼梯净宽度计算方式按原相关规范执行。</w:t>
      </w:r>
    </w:p>
    <w:p w14:paraId="3499D3E3">
      <w:pPr>
        <w:pStyle w:val="4"/>
        <w:bidi w:val="0"/>
      </w:pPr>
      <w:r>
        <w:rPr>
          <w:rFonts w:hint="eastAsia"/>
        </w:rPr>
        <w:t>既有建筑改造中的疏散楼梯间，其净高可按既有建筑原执行的相关规范执行。</w:t>
      </w:r>
    </w:p>
    <w:p w14:paraId="1E2522FA">
      <w:pPr>
        <w:rPr>
          <w:highlight w:val="none"/>
        </w:rPr>
      </w:pPr>
      <w:r>
        <w:rPr>
          <w:rFonts w:hint="eastAsia"/>
          <w:highlight w:val="none"/>
        </w:rPr>
        <w:t>【条文说明】《建筑防火通用规范》GB 55037-2022第7.1.5条：......疏散通道、疏散走道、疏散出口的净高度均不应小于2.1m。此条文明确了作为疏散通道的疏散楼梯净高也需要满足2.1米净高，但在大量既有建筑的疏散楼梯中，楼梯平台下部净高通常为2米，由于受限于柱跨及层高，无法进行调整。考虑到云南省整体经济情况落后，现有建筑设施应用尽用，可不需要按《建筑防火通用规范》GB 55037-2022第7.1.5条调整，按建筑原执行的规范执行。</w:t>
      </w:r>
    </w:p>
    <w:p w14:paraId="2BCE0691">
      <w:pPr>
        <w:pStyle w:val="4"/>
        <w:bidi w:val="0"/>
      </w:pPr>
      <w:r>
        <w:rPr>
          <w:rFonts w:hint="eastAsia"/>
        </w:rPr>
        <w:t>既有建筑主楼接至裙房屋面的疏散楼梯间，在满足结构安全的同时，人流可通过裙房屋面，在明显、连续的指示标识指引下，经裙房出屋面的楼梯间进行下一步的安全疏散。</w:t>
      </w:r>
    </w:p>
    <w:p w14:paraId="3FB56F76">
      <w:pPr>
        <w:rPr>
          <w:highlight w:val="none"/>
        </w:rPr>
      </w:pPr>
      <w:r>
        <w:rPr>
          <w:rFonts w:hint="eastAsia"/>
          <w:highlight w:val="none"/>
        </w:rPr>
        <w:t>【条文说明】原有《建筑设计防火规范》GB 50016-2006和现行《建筑设计防火规范》GB 50016-2014（2018年版）均要求建筑内的疏散楼梯间在各层位置不能改变；《建筑防火通用规范》GB 55037-2022要求建筑内的疏散楼梯间在各层位置不能改变或应使人员的疏散路线保持连续。《&lt;建通规&gt;实施指南》解释要求“疏散路线保持连续”为设置防火隔墙，通向疏散楼梯的疏散走道。此条规范主要针对建筑内的疏散情况。对既有建筑中，有足够尺寸的室外开敞空间可采用</w:t>
      </w:r>
      <w:r>
        <w:rPr>
          <w:rFonts w:hint="eastAsia"/>
          <w:color w:val="auto"/>
          <w:highlight w:val="none"/>
        </w:rPr>
        <w:t>以下措</w:t>
      </w:r>
      <w:r>
        <w:rPr>
          <w:rFonts w:hint="eastAsia"/>
          <w:highlight w:val="none"/>
        </w:rPr>
        <w:t>施：对于有足够尺寸的室外开敞空间，如裙房屋面、下沉庭院等环境，可不设置上述疏散走道，采用明显的指示标识（如显眼的地面涂装、指示牌等），指引人流到达满足疏散要求的疏散楼梯，设计图纸中需要明确标注做法或强调二次景观设计需要严格遵循。本条文主要针对建筑主楼但不涉及裙房部分的改造，避免由于产权及管理的不同带来项目改造无法推进的情况。</w:t>
      </w:r>
    </w:p>
    <w:p w14:paraId="4B1E428F">
      <w:pPr>
        <w:pStyle w:val="4"/>
        <w:bidi w:val="0"/>
      </w:pPr>
      <w:r>
        <w:rPr>
          <w:rFonts w:hint="eastAsia"/>
        </w:rPr>
        <w:t>既有建筑当地上和地下楼层的疏散楼梯间在直通室外地面的楼层共用时，如设置防火分隔措施确有困难，应符合以下规定：</w:t>
      </w:r>
    </w:p>
    <w:p w14:paraId="0E2E01BA">
      <w:pPr>
        <w:rPr>
          <w:highlight w:val="none"/>
        </w:rPr>
      </w:pPr>
      <w:r>
        <w:rPr>
          <w:rFonts w:hint="eastAsia"/>
          <w:highlight w:val="none"/>
        </w:rPr>
        <w:t>1 可维持共用疏散楼梯间的现状，但应采用耐火极限不应低于2.00h的防火隔墙进行分隔，防火隔墙上的门应采用乙级防火门；</w:t>
      </w:r>
    </w:p>
    <w:p w14:paraId="5441C992">
      <w:pPr>
        <w:rPr>
          <w:highlight w:val="none"/>
        </w:rPr>
      </w:pPr>
      <w:r>
        <w:rPr>
          <w:rFonts w:hint="eastAsia"/>
          <w:highlight w:val="none"/>
        </w:rPr>
        <w:t>2 除人员密集场所外，当难以在首层设置防火分隔措施时，可在楼梯间内地下一层或地下半层位置设置防火分隔措施，但应在楼梯首层设置显著的灯光疏散禁行指示标识。</w:t>
      </w:r>
    </w:p>
    <w:p w14:paraId="1127694F">
      <w:pPr>
        <w:rPr>
          <w:highlight w:val="none"/>
        </w:rPr>
      </w:pPr>
      <w:r>
        <w:rPr>
          <w:rFonts w:hint="eastAsia"/>
          <w:highlight w:val="none"/>
        </w:rPr>
        <w:t>（本条全文借鉴《北京市既有建筑改造工程消防设计指南》2023版3.5.2条）</w:t>
      </w:r>
    </w:p>
    <w:p w14:paraId="58C83A55">
      <w:pPr>
        <w:rPr>
          <w:highlight w:val="none"/>
        </w:rPr>
      </w:pPr>
      <w:r>
        <w:rPr>
          <w:rFonts w:hint="eastAsia"/>
          <w:highlight w:val="none"/>
        </w:rPr>
        <w:t>【条文说明】在既有建筑中，地上地下楼层共用疏散楼梯间是很普遍的现象，且难以改造，故予以适当放宽。</w:t>
      </w:r>
    </w:p>
    <w:p w14:paraId="0D645C71">
      <w:pPr>
        <w:rPr>
          <w:highlight w:val="none"/>
        </w:rPr>
      </w:pPr>
      <w:r>
        <w:rPr>
          <w:rFonts w:hint="eastAsia"/>
          <w:highlight w:val="none"/>
        </w:rPr>
        <w:t>首层设置防火分隔措施有困难的情况，多为原消防技术标准没有限制时产生的，如果要求在首层进行防火分隔，会影响空间效果，尤其是三跑楼梯间。</w:t>
      </w:r>
    </w:p>
    <w:p w14:paraId="13F9B931">
      <w:pPr>
        <w:pStyle w:val="4"/>
        <w:bidi w:val="0"/>
        <w:rPr>
          <w:rFonts w:hint="eastAsia"/>
        </w:rPr>
      </w:pPr>
      <w:r>
        <w:rPr>
          <w:rFonts w:hint="eastAsia"/>
        </w:rPr>
        <w:t>既有民用建筑中位于车库内的变电所，当满足以下条件时，其安全疏散可经由车库等具有人行疏散通道的公共区域进行：</w:t>
      </w:r>
    </w:p>
    <w:p w14:paraId="7F641F46">
      <w:pPr>
        <w:rPr>
          <w:rFonts w:hint="eastAsia"/>
          <w:highlight w:val="none"/>
        </w:rPr>
      </w:pPr>
      <w:r>
        <w:rPr>
          <w:rFonts w:hint="eastAsia"/>
          <w:highlight w:val="none"/>
        </w:rPr>
        <w:t>1变电所与车库同属一个防火分区；</w:t>
      </w:r>
    </w:p>
    <w:p w14:paraId="091BB6CC">
      <w:pPr>
        <w:rPr>
          <w:rFonts w:hint="eastAsia"/>
          <w:highlight w:val="none"/>
        </w:rPr>
      </w:pPr>
      <w:r>
        <w:rPr>
          <w:rFonts w:hint="eastAsia"/>
          <w:highlight w:val="none"/>
        </w:rPr>
        <w:t>2变电所为无人值守、火灾时变压器所带消防负荷全部切除；</w:t>
      </w:r>
    </w:p>
    <w:p w14:paraId="77B02443">
      <w:pPr>
        <w:rPr>
          <w:rFonts w:hint="eastAsia"/>
          <w:highlight w:val="none"/>
        </w:rPr>
      </w:pPr>
      <w:r>
        <w:rPr>
          <w:rFonts w:hint="eastAsia"/>
          <w:highlight w:val="none"/>
        </w:rPr>
        <w:t>3变电所建筑面积大于200.0㎡或长度大于60m时，应按规范增设疏散门；</w:t>
      </w:r>
    </w:p>
    <w:p w14:paraId="41A07E04">
      <w:pPr>
        <w:ind w:firstLine="0" w:firstLineChars="0"/>
        <w:rPr>
          <w:highlight w:val="none"/>
        </w:rPr>
      </w:pPr>
      <w:r>
        <w:rPr>
          <w:rFonts w:hint="eastAsia"/>
          <w:highlight w:val="none"/>
        </w:rPr>
        <w:t>【条文说明】以上是大量既有民用建筑内的变电所与其安全疏散的普遍情况，也符合现行《&lt;民用建筑设计统一标准</w:t>
      </w:r>
      <w:r>
        <w:rPr>
          <w:rFonts w:hint="eastAsia"/>
          <w:highlight w:val="none"/>
          <w:lang w:val="en-US" w:eastAsia="zh-CN"/>
        </w:rPr>
        <w:t>&gt;</w:t>
      </w:r>
      <w:r>
        <w:rPr>
          <w:rFonts w:hint="eastAsia"/>
          <w:highlight w:val="none"/>
        </w:rPr>
        <w:t>图示》P8-15图示9情况，故可不增设专用的疏散走道。</w:t>
      </w:r>
    </w:p>
    <w:p w14:paraId="1D302558">
      <w:pPr>
        <w:pStyle w:val="3"/>
        <w:spacing w:before="156" w:after="156"/>
        <w:rPr>
          <w:highlight w:val="none"/>
        </w:rPr>
      </w:pPr>
      <w:bookmarkStart w:id="18" w:name="_Toc27313"/>
      <w:r>
        <w:rPr>
          <w:rFonts w:hint="eastAsia"/>
          <w:highlight w:val="none"/>
        </w:rPr>
        <w:t>建筑构造与装修</w:t>
      </w:r>
      <w:bookmarkEnd w:id="18"/>
    </w:p>
    <w:p w14:paraId="0B5D3FA8">
      <w:pPr>
        <w:pStyle w:val="4"/>
        <w:bidi w:val="0"/>
      </w:pPr>
      <w:r>
        <w:rPr>
          <w:rFonts w:hint="eastAsia"/>
        </w:rPr>
        <w:t>新增防火墙宜设置在建筑的基础或具有相应耐火性能的框架、梁等承重结构上。若确有需要调整防火墙处于非上述承重结构上时，需按规范要求在该防火墙下设置与主体框架相连接的“防火墙梁”，其耐火极限与防火墙相同。</w:t>
      </w:r>
    </w:p>
    <w:p w14:paraId="2D04A366">
      <w:pPr>
        <w:rPr>
          <w:highlight w:val="none"/>
        </w:rPr>
      </w:pPr>
      <w:r>
        <w:rPr>
          <w:rFonts w:hint="eastAsia"/>
          <w:highlight w:val="none"/>
        </w:rPr>
        <w:t>【条文说明】既有建筑改造中，因建筑规模、定性发生变化或功能调整，导致原防火分区进行调整，部分调整后的防火墙砌筑在建筑楼板上，不满足规范对防火墙需要直接设置在建筑的基础或具有相应耐火性能的框架、梁等承重结构上的要求，防火性能不足，需要按规范要求进行补偿。对局部改造项目，可能存在因产权、管理等问题无法在他人权属空间进行“防火墙梁”增设的问题，对高大空间改造项目，可能存在因结构问题，无法设置“防火墙梁”的情况，故此类改造项目尽量不改变原防火墙位置，或可采取局部设置轻质防火墙板、防火卷帘等方式进行防火分区划分，但新增防火卷帘的设置长度和比例等要求需要按现行规范执行。</w:t>
      </w:r>
    </w:p>
    <w:p w14:paraId="7779F9E4">
      <w:pPr>
        <w:pStyle w:val="4"/>
        <w:bidi w:val="0"/>
      </w:pPr>
      <w:r>
        <w:rPr>
          <w:rFonts w:hint="eastAsia"/>
        </w:rPr>
        <w:t>既有建筑原防火墙、防火隔墙上的防火卷帘宽度宜符合现行国家标准《建筑设计防火规范》GB 50016的规定，确有困难时，可维持既有防火卷帘现状宽度，但其可靠性、耐火极限、防烟性能、信号反馈功能等性能应符合现行消防技术标准的规定；新增设的防火卷帘设置宽度及可靠性要求应执行现行标准。</w:t>
      </w:r>
    </w:p>
    <w:p w14:paraId="2496CCB3">
      <w:pPr>
        <w:rPr>
          <w:highlight w:val="none"/>
        </w:rPr>
      </w:pPr>
      <w:r>
        <w:rPr>
          <w:rFonts w:hint="eastAsia"/>
          <w:highlight w:val="none"/>
        </w:rPr>
        <w:t>（本条全文借鉴《北京市既有建筑改造工程消防设计指南》2023版3.5.4条，《上海市既有建筑改造工程消防技术指南》（2024年版）4.0.7条）</w:t>
      </w:r>
    </w:p>
    <w:p w14:paraId="182165C8">
      <w:pPr>
        <w:rPr>
          <w:highlight w:val="none"/>
        </w:rPr>
      </w:pPr>
      <w:r>
        <w:rPr>
          <w:rFonts w:hint="eastAsia"/>
          <w:highlight w:val="none"/>
        </w:rPr>
        <w:t>【条文说明】既有建筑存在较多防火卷帘超过现行标准宽度限制的情况，一律强制要求改造为防火墙的做法，可能会造成既有建筑平面使用功能空间效果的影响。现行标准对防火卷帘宽度提出限制要求的原因是产品质量的可靠性问题，因此本条文增加了对防火卷帘产品质量和性能的要求，要求其改造时更换高质量产品，有利于提高既有建筑的消防安全性，达到防火要求。新增设的防火卷帘是指既有建筑该位置原来没有防火卷帘，后因防火分区调整划分后增加的防火卷帘。但若原有防火卷帘宽度超出，或其与新增防火卷帘宽度相加超出《建筑设计防火规范》GB 50016第6.5.3条要求时，则不能再新增防火卷帘。</w:t>
      </w:r>
    </w:p>
    <w:p w14:paraId="01D6FFD4">
      <w:pPr>
        <w:pStyle w:val="4"/>
        <w:bidi w:val="0"/>
      </w:pPr>
      <w:r>
        <w:rPr>
          <w:rFonts w:hint="eastAsia"/>
        </w:rPr>
        <w:t>既有建筑改造中，建筑外墙上、下层开口之间的实体墙尺寸不满足防火构造要求时，可通过增设防火挑檐或防火玻璃墙、防火墙板的方式进行性能补偿。</w:t>
      </w:r>
    </w:p>
    <w:p w14:paraId="2B6925FD">
      <w:pPr>
        <w:bidi w:val="0"/>
      </w:pPr>
      <w:r>
        <w:rPr>
          <w:rFonts w:hint="eastAsia"/>
        </w:rPr>
        <w:t>【条文说明】既有建筑的外墙门窗及洞口窗槛墙与现行规范要求恐不一致，可通过性能补偿的方式采取较小投入进行层间防火补强。可参考《&lt;建筑设计防火规范&gt;GB 50016-2014(2018年版）实施指南》P302-303页的做法。上述不满足现行规范的建筑，可在层间增设出挑宽度大于0.2</w:t>
      </w:r>
      <w:r>
        <w:rPr>
          <w:rFonts w:hint="eastAsia"/>
          <w:lang w:val="en-US" w:eastAsia="zh-CN"/>
        </w:rPr>
        <w:t>m</w:t>
      </w:r>
      <w:r>
        <w:rPr>
          <w:rFonts w:hint="eastAsia"/>
        </w:rPr>
        <w:t>的防火挑檐（具体尺寸以补足窗槛墙满足1.2</w:t>
      </w:r>
      <w:r>
        <w:rPr>
          <w:rFonts w:hint="eastAsia"/>
          <w:lang w:val="en-US" w:eastAsia="zh-CN"/>
        </w:rPr>
        <w:t>m</w:t>
      </w:r>
      <w:r>
        <w:rPr>
          <w:rFonts w:hint="eastAsia"/>
        </w:rPr>
        <w:t>或0.8</w:t>
      </w:r>
      <w:r>
        <w:rPr>
          <w:rFonts w:hint="eastAsia"/>
          <w:lang w:val="en-US" w:eastAsia="zh-CN"/>
        </w:rPr>
        <w:t>m</w:t>
      </w:r>
      <w:r>
        <w:rPr>
          <w:rFonts w:hint="eastAsia"/>
        </w:rPr>
        <w:t>高度的要求为准），防火挑檐两端延伸至外墙开口洞口边沿每边不小于0.5米，并满足耐火极限1.0</w:t>
      </w:r>
      <w:r>
        <w:rPr>
          <w:rFonts w:hint="eastAsia"/>
          <w:lang w:val="en-US" w:eastAsia="zh-CN"/>
        </w:rPr>
        <w:t>h</w:t>
      </w:r>
      <w:r>
        <w:rPr>
          <w:rFonts w:hint="eastAsia"/>
        </w:rPr>
        <w:t>要求。</w:t>
      </w:r>
    </w:p>
    <w:p w14:paraId="36AD94EF">
      <w:pPr>
        <w:bidi w:val="0"/>
      </w:pPr>
      <w:r>
        <w:rPr>
          <w:rFonts w:hint="eastAsia"/>
        </w:rPr>
        <w:t>参考《&lt;建筑设计防火规范&gt;图示》18J811-1P165页6.2.5条图示2的做法，在既有建筑外窗内侧设置防火玻璃墙或防火墙板，补足窗槛墙要满足1.2</w:t>
      </w:r>
      <w:r>
        <w:rPr>
          <w:rFonts w:hint="eastAsia"/>
          <w:lang w:val="en-US" w:eastAsia="zh-CN"/>
        </w:rPr>
        <w:t>m</w:t>
      </w:r>
      <w:r>
        <w:rPr>
          <w:rFonts w:hint="eastAsia"/>
        </w:rPr>
        <w:t>或0.8</w:t>
      </w:r>
      <w:r>
        <w:rPr>
          <w:rFonts w:hint="eastAsia"/>
          <w:lang w:val="en-US" w:eastAsia="zh-CN"/>
        </w:rPr>
        <w:t>m</w:t>
      </w:r>
      <w:r>
        <w:rPr>
          <w:rFonts w:hint="eastAsia"/>
        </w:rPr>
        <w:t>高度的要求，增设材料及构造的耐火极限应满足1.0</w:t>
      </w:r>
      <w:r>
        <w:rPr>
          <w:rFonts w:hint="eastAsia"/>
          <w:lang w:val="en-US" w:eastAsia="zh-CN"/>
        </w:rPr>
        <w:t>h</w:t>
      </w:r>
      <w:r>
        <w:rPr>
          <w:rFonts w:hint="eastAsia"/>
        </w:rPr>
        <w:t>时要求。</w:t>
      </w:r>
    </w:p>
    <w:p w14:paraId="187EF3A6">
      <w:pPr>
        <w:pStyle w:val="4"/>
        <w:bidi w:val="0"/>
      </w:pPr>
      <w:r>
        <w:rPr>
          <w:rFonts w:hint="eastAsia"/>
        </w:rPr>
        <w:t>改造工程外墙系统的燃烧性能应符合下列规定：</w:t>
      </w:r>
    </w:p>
    <w:p w14:paraId="36BAFEC3">
      <w:pPr>
        <w:rPr>
          <w:color w:val="auto"/>
          <w:highlight w:val="none"/>
        </w:rPr>
      </w:pPr>
      <w:r>
        <w:rPr>
          <w:rFonts w:hint="eastAsia"/>
          <w:color w:val="auto"/>
          <w:highlight w:val="none"/>
        </w:rPr>
        <w:t>1 修缮工程、内部装修工程、不涉及立面改造的局部改造工程、不涉及立面改造且未增加火灾危险性的整体改造工程、仅为更换外门窗或饰面涂刷更新的立面改造工程，其外墙系统的燃烧性能可维持现状；</w:t>
      </w:r>
    </w:p>
    <w:p w14:paraId="6442EFCE">
      <w:pPr>
        <w:rPr>
          <w:color w:val="auto"/>
          <w:highlight w:val="none"/>
        </w:rPr>
      </w:pPr>
      <w:r>
        <w:rPr>
          <w:rFonts w:hint="eastAsia"/>
          <w:color w:val="auto"/>
          <w:highlight w:val="none"/>
        </w:rPr>
        <w:t>2 其他改造工程的外墙系统的燃烧性能应符合现行国家标准《建筑防火通用规范》GB 55037、《建筑设计防火规范》GB 50016的规定。</w:t>
      </w:r>
    </w:p>
    <w:p w14:paraId="0283D5C9">
      <w:pPr>
        <w:rPr>
          <w:highlight w:val="none"/>
        </w:rPr>
      </w:pPr>
      <w:r>
        <w:rPr>
          <w:rFonts w:hint="eastAsia"/>
          <w:highlight w:val="none"/>
        </w:rPr>
        <w:t>（本条全文借鉴《北京市既有建筑改造工程消防设计指南》2023版3.5.6条）</w:t>
      </w:r>
    </w:p>
    <w:p w14:paraId="1BB2C9A6">
      <w:pPr>
        <w:rPr>
          <w:highlight w:val="none"/>
        </w:rPr>
      </w:pPr>
      <w:r>
        <w:rPr>
          <w:rFonts w:hint="eastAsia"/>
          <w:highlight w:val="none"/>
        </w:rPr>
        <w:t>【条文说明】立面改造工程也包括局部立面改造，如:门头或裙房的立面改造。立面改造工程也可能包括同时进行内部装修改造、内部维护改造的情形。</w:t>
      </w:r>
    </w:p>
    <w:p w14:paraId="09103DD6">
      <w:pPr>
        <w:rPr>
          <w:highlight w:val="none"/>
        </w:rPr>
      </w:pPr>
      <w:r>
        <w:rPr>
          <w:rFonts w:hint="eastAsia"/>
          <w:highlight w:val="none"/>
        </w:rPr>
        <w:t>外墙系统的燃烧性能包括外墙面层装饰材料、基层墙体、外保温系统和防水材料等的燃烧性能。</w:t>
      </w:r>
    </w:p>
    <w:p w14:paraId="1BA12967">
      <w:pPr>
        <w:rPr>
          <w:highlight w:val="none"/>
        </w:rPr>
      </w:pPr>
      <w:r>
        <w:rPr>
          <w:rFonts w:hint="eastAsia"/>
          <w:highlight w:val="none"/>
        </w:rPr>
        <w:t>近二十年来，因建筑外保温、外装饰板的燃烧性能不合格引起的外墙火灾事故频发，随着政府主管部门有关规定的发布以及《建筑设计防火规范》GB 50016的发布实施，新建建筑在外墙防火安全性能提升上已取得明显成效，但大量既有建筑的外墙系统因为各种历史原因还存在着不同程度上的火灾隐患，需要在一定时期进行专项治理更换。</w:t>
      </w:r>
    </w:p>
    <w:p w14:paraId="2EE822BB">
      <w:pPr>
        <w:rPr>
          <w:highlight w:val="none"/>
        </w:rPr>
      </w:pPr>
      <w:r>
        <w:rPr>
          <w:rFonts w:hint="eastAsia"/>
          <w:highlight w:val="none"/>
        </w:rPr>
        <w:t>利用既有建筑改造特别是外立面改造之际，提升外墙系统防火性能是很好的契机。当建筑改造内容不涉及外立面且未增加内部火灾风险性时，更换不合格的外墙保温材料存在很大的现实困难，故可暂时维持符合原设计的现状，而辅以建筑安全管理等手段减少建筑的外墙火灾风险。但当既有建筑因功能用途改变后导致人员密度、火灾荷载增加等使得火灾风险性提高，其外墙系统还是需要更换不合格的外保温材料、幕墙板材等，以保障生命财产安全。建筑局部改造时（如某一层改造），虽然可能因局部功能改变增加了火灾危险性，但因此要求整栋建筑外墙系统更换是不现实的，故未作此要求。</w:t>
      </w:r>
    </w:p>
    <w:p w14:paraId="6188B723">
      <w:pPr>
        <w:pStyle w:val="4"/>
        <w:bidi w:val="0"/>
      </w:pPr>
      <w:r>
        <w:rPr>
          <w:rFonts w:hint="eastAsia"/>
        </w:rPr>
        <w:t>改造工程中除保留区域以外，采用的装修产品应符合现行国家消防标准规定。</w:t>
      </w:r>
    </w:p>
    <w:p w14:paraId="1EAE8C9F">
      <w:pPr>
        <w:bidi w:val="0"/>
        <w:rPr>
          <w:rFonts w:hint="eastAsia"/>
          <w:lang w:eastAsia="zh-CN"/>
        </w:rPr>
      </w:pPr>
      <w:r>
        <w:rPr>
          <w:rFonts w:hint="eastAsia"/>
        </w:rPr>
        <w:t>（本条全文借鉴《北京市既有建筑改造工程消防设计指南》2023版3.5.7条</w:t>
      </w:r>
      <w:r>
        <w:rPr>
          <w:rFonts w:hint="eastAsia"/>
          <w:lang w:val="en-US" w:eastAsia="zh-CN"/>
        </w:rPr>
        <w:t>。</w:t>
      </w:r>
    </w:p>
    <w:p w14:paraId="1F844515">
      <w:pPr>
        <w:bidi w:val="0"/>
      </w:pPr>
      <w:r>
        <w:rPr>
          <w:rFonts w:hint="eastAsia"/>
        </w:rPr>
        <w:t>【条文说明】既有建筑内部装修产品基本不涉及“确有困难”情况，故应符合现行标准要求。</w:t>
      </w:r>
    </w:p>
    <w:p w14:paraId="5777301E">
      <w:pPr>
        <w:pStyle w:val="4"/>
        <w:bidi w:val="0"/>
        <w:rPr>
          <w:rFonts w:hint="eastAsia"/>
        </w:rPr>
      </w:pPr>
      <w:r>
        <w:rPr>
          <w:rFonts w:hint="eastAsia"/>
        </w:rPr>
        <w:t>改造工程涉及既有建筑未改动及改造之间，管线穿越的区域，建筑产品及构造做法选用，需要满足防火封堵及阻燃要求。</w:t>
      </w:r>
    </w:p>
    <w:p w14:paraId="44F2F6B4">
      <w:pPr>
        <w:bidi w:val="0"/>
      </w:pPr>
      <w:r>
        <w:rPr>
          <w:rFonts w:hint="eastAsia"/>
        </w:rPr>
        <w:t>【条文说明】既有建筑的改造涉及到既有未改动与改造区域构造及产品的交接和穿越，需要综合考虑既有产品与新增构件在构造上存在耐候性与实效性上的不同，因此强调穿越不同区域的管线需要进行防火阻燃的处理，避免出现防火薄弱环节。</w:t>
      </w:r>
    </w:p>
    <w:p w14:paraId="0821A06F">
      <w:pPr>
        <w:pStyle w:val="4"/>
        <w:bidi w:val="0"/>
      </w:pPr>
      <w:r>
        <w:rPr>
          <w:rFonts w:hint="eastAsia"/>
        </w:rPr>
        <w:t>既有建筑改造工程，按下列条文对楼梯间形式进行改造：</w:t>
      </w:r>
    </w:p>
    <w:p w14:paraId="4902049A">
      <w:pPr>
        <w:bidi w:val="0"/>
        <w:rPr>
          <w:color w:val="auto"/>
        </w:rPr>
      </w:pPr>
      <w:r>
        <w:rPr>
          <w:rFonts w:hint="eastAsia"/>
          <w:color w:val="auto"/>
        </w:rPr>
        <w:t>1 既有建筑改造工程任意区域按照现行标准应设置封闭楼梯间或防烟楼梯间的，建筑各层楼梯应保证形式的统一一致，不应仅对改造区域内的楼梯间进行局部改造；</w:t>
      </w:r>
    </w:p>
    <w:p w14:paraId="6D2E242E">
      <w:pPr>
        <w:bidi w:val="0"/>
        <w:rPr>
          <w:color w:val="auto"/>
        </w:rPr>
      </w:pPr>
      <w:r>
        <w:rPr>
          <w:rFonts w:hint="eastAsia"/>
          <w:color w:val="auto"/>
        </w:rPr>
        <w:t>2 建筑层数不大于3层的既有建筑改造工程，按现行标准需要设置封闭楼梯间的，地上既有建筑敞开楼梯间难以改造为封闭楼梯间时，在增设火灾自动报警系统等消防措施的前提下，可维持地上原有疏散楼梯形式不变；</w:t>
      </w:r>
    </w:p>
    <w:p w14:paraId="17EFAB95">
      <w:pPr>
        <w:bidi w:val="0"/>
        <w:rPr>
          <w:highlight w:val="none"/>
        </w:rPr>
      </w:pPr>
      <w:r>
        <w:rPr>
          <w:rFonts w:hint="eastAsia"/>
          <w:color w:val="auto"/>
        </w:rPr>
        <w:t>3 除与敞开式外廊直接相连的楼梯间外，在既有建筑中增加医疗、旅馆及类似使用功能、歌舞娱乐放映游艺场所、商店、图书馆、展览、会议中心及类似使用功能时，应将敞开式楼梯间改为封闭楼梯间，且应满足封闭楼梯间的通风排烟要求。当既有建筑改造工程情况与本条第2款相同时，可按本条第2款执行。</w:t>
      </w:r>
    </w:p>
    <w:p w14:paraId="08FD259B">
      <w:pPr>
        <w:pStyle w:val="3"/>
        <w:spacing w:before="156" w:after="156"/>
        <w:rPr>
          <w:highlight w:val="none"/>
        </w:rPr>
      </w:pPr>
      <w:bookmarkStart w:id="19" w:name="_Toc23475"/>
      <w:r>
        <w:rPr>
          <w:rFonts w:hint="eastAsia"/>
          <w:highlight w:val="none"/>
        </w:rPr>
        <w:t>灭火救援设施</w:t>
      </w:r>
      <w:bookmarkEnd w:id="19"/>
    </w:p>
    <w:p w14:paraId="412030A5">
      <w:pPr>
        <w:pStyle w:val="4"/>
        <w:bidi w:val="0"/>
      </w:pPr>
      <w:r>
        <w:rPr>
          <w:rFonts w:hint="eastAsia"/>
        </w:rPr>
        <w:t>既有老旧单、多层住宅小区，应积极创造，采用多种可行及性能补偿的方式完善外部消防救援条件。</w:t>
      </w:r>
    </w:p>
    <w:p w14:paraId="17934D16">
      <w:pPr>
        <w:bidi w:val="0"/>
      </w:pPr>
      <w:r>
        <w:rPr>
          <w:rFonts w:hint="eastAsia"/>
        </w:rPr>
        <w:t>【条文说明】城市既有老旧多层住宅小区，是城市消防隐患较大的区域之一，但因多种原因，建筑主体消防改造困难很大，通过制定可行的消防技术标准，在维护，修缮老旧小区的公共设施的过程中，优化公共区域的消防措施，以降低城市既有老旧多层住宅小区的火灾风险。</w:t>
      </w:r>
    </w:p>
    <w:p w14:paraId="01D8C92C">
      <w:pPr>
        <w:bidi w:val="0"/>
      </w:pPr>
      <w:r>
        <w:rPr>
          <w:rFonts w:hint="eastAsia"/>
        </w:rPr>
        <w:t>既有老旧单、多层住宅小区，消防车道设置可按《建筑设计防火规范》GB 50016-2014（2018版）5.2.4条执行；即按建筑占地面积总和不大于2500㎡进行组团消防车道和微型消防车道的规划，在消防车道无法完全按规范要求进行设置的区域，可采用设置宽×高=2.5m×3m、最小转弯半径4m的微型消防车道。通过微型消防车救援进行性能补偿。</w:t>
      </w:r>
    </w:p>
    <w:p w14:paraId="13DD68B5">
      <w:pPr>
        <w:pStyle w:val="4"/>
        <w:bidi w:val="0"/>
      </w:pPr>
      <w:r>
        <w:rPr>
          <w:rFonts w:hint="eastAsia"/>
        </w:rPr>
        <w:t>既有建筑改造工程由于现状场地条件不足，无法满足现行规范中场地内消防车道、消防车登高操作场地相关要求时，不应增设老年人照料设施、儿童活动场所、医疗、歌舞娱乐放映游艺场所，并应采取下列消防技术措施：</w:t>
      </w:r>
    </w:p>
    <w:p w14:paraId="43939AA2">
      <w:pPr>
        <w:rPr>
          <w:color w:val="auto"/>
          <w:highlight w:val="none"/>
        </w:rPr>
      </w:pPr>
      <w:r>
        <w:rPr>
          <w:rFonts w:hint="eastAsia"/>
          <w:color w:val="auto"/>
          <w:highlight w:val="none"/>
        </w:rPr>
        <w:t>1 借用符合相关规定的相邻地块用地或城市道路设置</w:t>
      </w:r>
      <w:r>
        <w:rPr>
          <w:rFonts w:hint="eastAsia" w:cs="Times New Roman"/>
          <w:color w:val="auto"/>
          <w:highlight w:val="none"/>
        </w:rPr>
        <w:t>消防车道、消防车登高操作场地</w:t>
      </w:r>
      <w:r>
        <w:rPr>
          <w:rFonts w:hint="eastAsia"/>
          <w:color w:val="auto"/>
          <w:highlight w:val="none"/>
        </w:rPr>
        <w:t>时，消防车道到达建筑最近安全出口的可行走距离不宜大于40m；消防车登高操作场地相对应的范围内应设置该建筑直通室外的楼梯或直通楼梯间的入口，并保证能覆盖该建筑的全部消防救援口；</w:t>
      </w:r>
    </w:p>
    <w:p w14:paraId="4821C621">
      <w:pPr>
        <w:rPr>
          <w:color w:val="auto"/>
          <w:highlight w:val="none"/>
        </w:rPr>
      </w:pPr>
      <w:r>
        <w:rPr>
          <w:rFonts w:hint="eastAsia"/>
          <w:color w:val="auto"/>
          <w:highlight w:val="none"/>
        </w:rPr>
        <w:t>2 借用符合相关规定的相邻地块用地道路或场地时，消防车道、消防车登高操作场地与建筑消防扑救面之间不应有妨碍消防车操作的障碍物，不应有影响消防车安全作业的架空高压电线；</w:t>
      </w:r>
    </w:p>
    <w:p w14:paraId="1FAEDBAA">
      <w:pPr>
        <w:rPr>
          <w:color w:val="auto"/>
          <w:highlight w:val="none"/>
        </w:rPr>
      </w:pPr>
      <w:r>
        <w:rPr>
          <w:rFonts w:hint="eastAsia"/>
          <w:color w:val="auto"/>
          <w:highlight w:val="none"/>
        </w:rPr>
        <w:t>3 确有困难无法满足上述两点时，可维持既有建筑场地内消防车道及扑救场地现状，但需在既有建筑迎向消防扑救面的一侧，增设至少一部室外楼梯或一部消防电梯（高层建筑）等便于消防救援人员登高救援的设施，该楼梯或消防电梯与消防扑救面应可直通；对按规范无需设置火灾自动报警系统（装置）、自动灭火系统或电气火灾监控系统而增加设置上述系统的既有建筑，应增设上述消防系统。</w:t>
      </w:r>
    </w:p>
    <w:p w14:paraId="49D122CE">
      <w:pPr>
        <w:rPr>
          <w:highlight w:val="none"/>
        </w:rPr>
      </w:pPr>
      <w:r>
        <w:rPr>
          <w:rFonts w:hint="eastAsia"/>
          <w:highlight w:val="none"/>
        </w:rPr>
        <w:t>（本条借鉴《上海市既有建筑改造工程消防技术指南》（2024年版）4.0.5条，红色字体为云南进行的调整）</w:t>
      </w:r>
    </w:p>
    <w:p w14:paraId="55A1EA1E">
      <w:pPr>
        <w:rPr>
          <w:highlight w:val="none"/>
        </w:rPr>
      </w:pPr>
      <w:r>
        <w:rPr>
          <w:rFonts w:hint="eastAsia"/>
          <w:highlight w:val="none"/>
        </w:rPr>
        <w:t>【条文说明】旧版标准中未对消防车登高操作场地单独明确规定，但考虑到消防车道和消防车登高操作场地对于保障消防车安全通行和消防车到场后迅速对高层建筑开展消防救援行动有着重要作用，改造工程受现状条件限制，确实不具备设置条件的，应采取必要的技术措施，改善既有建筑消防登高救援条件。</w:t>
      </w:r>
    </w:p>
    <w:p w14:paraId="6400EAF7">
      <w:pPr>
        <w:rPr>
          <w:highlight w:val="none"/>
        </w:rPr>
      </w:pPr>
      <w:r>
        <w:rPr>
          <w:rFonts w:hint="eastAsia"/>
          <w:highlight w:val="none"/>
        </w:rPr>
        <w:t>利用城市道路设置消防车道、消防救援场地的，应具体分析场地条件并经相应管理部门同意，避免消防车道、消防救援场地与建筑之间设置妨碍消防车操作的行道树、架空管线、围墙等障碍物。</w:t>
      </w:r>
    </w:p>
    <w:p w14:paraId="5BA0A75B">
      <w:pPr>
        <w:pStyle w:val="4"/>
        <w:bidi w:val="0"/>
      </w:pPr>
      <w:r>
        <w:rPr>
          <w:rFonts w:hint="eastAsia"/>
        </w:rPr>
        <w:t>既有建筑改造范围内的消防救援口应按现行标准执行，受现状场地条件限制，设置消防救援口确有困难时，既有建筑原外窗洞口净高度和净宽度均不小于0.8m且窗洞口下沿距室内地面不大于1.2m时，可利用既有建筑外窗洞口作为消防救援口。</w:t>
      </w:r>
    </w:p>
    <w:p w14:paraId="19D550B1">
      <w:pPr>
        <w:rPr>
          <w:highlight w:val="none"/>
        </w:rPr>
      </w:pPr>
      <w:r>
        <w:rPr>
          <w:rFonts w:hint="eastAsia"/>
          <w:highlight w:val="none"/>
        </w:rPr>
        <w:t>（本条全文借鉴《上海市既有建筑改造工程消防技术指南》（2024年版）4.0.14条）</w:t>
      </w:r>
    </w:p>
    <w:p w14:paraId="6FD24F4F">
      <w:pPr>
        <w:rPr>
          <w:highlight w:val="none"/>
        </w:rPr>
      </w:pPr>
      <w:r>
        <w:rPr>
          <w:rFonts w:hint="eastAsia"/>
          <w:highlight w:val="none"/>
        </w:rPr>
        <w:t>【条文说明】以前的标准没有消防救援口的规定，受结构等条件限制，在既有外墙上增设开口有时难度较大。消防救援口0.8m×0.8m的尺寸能够满足消防救援人员进入火场的最低要求。</w:t>
      </w:r>
    </w:p>
    <w:p w14:paraId="3FB5327F">
      <w:pPr>
        <w:pStyle w:val="4"/>
        <w:bidi w:val="0"/>
      </w:pPr>
      <w:r>
        <w:rPr>
          <w:rFonts w:hint="eastAsia"/>
        </w:rPr>
        <w:t>既有建筑在建筑外立面增加金属、石材、玻璃等幕墙，遮挡建筑主体中消防救援口时，需要在幕墙上被遮挡或增设的消防救援口正对的位置，设置不小于现行规范的救援口尺寸大小要求，且从内、外部均可打开和破拆的幕墙开启扇，并满足下列要求：</w:t>
      </w:r>
    </w:p>
    <w:p w14:paraId="0786A47D">
      <w:pPr>
        <w:rPr>
          <w:color w:val="auto"/>
          <w:highlight w:val="none"/>
        </w:rPr>
      </w:pPr>
      <w:r>
        <w:rPr>
          <w:rFonts w:hint="eastAsia"/>
          <w:color w:val="auto"/>
          <w:highlight w:val="none"/>
        </w:rPr>
        <w:t>1 此幕墙开启扇内外两侧均设置永久明显警示标识；</w:t>
      </w:r>
    </w:p>
    <w:p w14:paraId="6DDE9554">
      <w:pPr>
        <w:rPr>
          <w:color w:val="auto"/>
          <w:highlight w:val="none"/>
        </w:rPr>
      </w:pPr>
      <w:r>
        <w:rPr>
          <w:rFonts w:hint="eastAsia"/>
          <w:color w:val="auto"/>
          <w:highlight w:val="none"/>
        </w:rPr>
        <w:t>2 此开启扇与消防救援口之间，设置燃烧性能等级为A级的全密闭安全栈廊，安全栈廊楼板、墙体、顶棚耐火极限均不应小于1.0h；</w:t>
      </w:r>
    </w:p>
    <w:p w14:paraId="4E544FDC">
      <w:pPr>
        <w:rPr>
          <w:color w:val="auto"/>
          <w:highlight w:val="none"/>
        </w:rPr>
      </w:pPr>
      <w:r>
        <w:rPr>
          <w:rFonts w:hint="eastAsia"/>
          <w:color w:val="auto"/>
          <w:highlight w:val="none"/>
        </w:rPr>
        <w:t>3 安全栈廊宽、高尺寸分别至少大于外部幕墙可开启扇对应尺寸的200mm；</w:t>
      </w:r>
    </w:p>
    <w:p w14:paraId="6CB64FBF">
      <w:pPr>
        <w:rPr>
          <w:color w:val="auto"/>
          <w:highlight w:val="none"/>
        </w:rPr>
      </w:pPr>
      <w:r>
        <w:rPr>
          <w:rFonts w:hint="eastAsia"/>
          <w:color w:val="auto"/>
          <w:highlight w:val="none"/>
        </w:rPr>
        <w:t>4 栈廊长度从建筑主体消防救援窗到幕墙可开启扇的距离不应大于1.5m；</w:t>
      </w:r>
    </w:p>
    <w:p w14:paraId="31FE0855">
      <w:pPr>
        <w:rPr>
          <w:color w:val="auto"/>
          <w:highlight w:val="none"/>
        </w:rPr>
      </w:pPr>
      <w:r>
        <w:rPr>
          <w:rFonts w:hint="eastAsia"/>
          <w:color w:val="auto"/>
          <w:highlight w:val="none"/>
        </w:rPr>
        <w:t>5 栈廊各部位与建筑主体及幕墙交接位置孔隙应采取防火封堵措施；</w:t>
      </w:r>
    </w:p>
    <w:p w14:paraId="563C944E">
      <w:pPr>
        <w:rPr>
          <w:color w:val="auto"/>
          <w:highlight w:val="none"/>
        </w:rPr>
      </w:pPr>
      <w:r>
        <w:rPr>
          <w:rFonts w:hint="eastAsia"/>
          <w:color w:val="auto"/>
          <w:highlight w:val="none"/>
        </w:rPr>
        <w:t>6 幕墙设计需要考虑栈廊用于消防救援时的荷载要求；</w:t>
      </w:r>
    </w:p>
    <w:p w14:paraId="52CA1F63">
      <w:pPr>
        <w:rPr>
          <w:color w:val="auto"/>
          <w:highlight w:val="none"/>
        </w:rPr>
      </w:pPr>
      <w:r>
        <w:rPr>
          <w:rFonts w:hint="eastAsia"/>
          <w:color w:val="auto"/>
          <w:highlight w:val="none"/>
        </w:rPr>
        <w:t>7 该幕墙空腔内承受栈廊荷载的结构构件和金属龙骨需喷涂防火涂料，以保障栈廊耐火时限内的荷载安全。</w:t>
      </w:r>
    </w:p>
    <w:p w14:paraId="29ECF51F">
      <w:pPr>
        <w:bidi w:val="0"/>
      </w:pPr>
      <w:r>
        <w:rPr>
          <w:rFonts w:hint="eastAsia"/>
        </w:rPr>
        <w:t>【条文说明】幕墙与建筑主体之间形成的空腔易造成烟囱效应，密闭的栈廊可保障一定条件下的安全施救；安全栈廊尺寸略大于幕墙可开启扇尺寸，是考虑栈廊已经形成通道，避免尺寸过紧造成瓶颈效应；在实际工程中，常有项目为造型需要和其他特殊情况（如某工业项目外立面改造设计中，在幕墙与建筑主体间设置检修马道），外幕墙距离建筑主体尺寸远大于幕墙构造尺寸的需要，而我国人体臂长约为58至70公分，加上身体躯干前伸，其尺度女性约为60-80公分，男性约为70-90公分，控制1.5米的栈廊长度，是考虑救援时救援双方臂长加身体前伸的尺寸之和，同时也控制密闭的栈廊尺寸不能过长，便于快速消散热量与烟气。</w:t>
      </w:r>
    </w:p>
    <w:p w14:paraId="53DDF2F2">
      <w:pPr>
        <w:pStyle w:val="4"/>
        <w:bidi w:val="0"/>
      </w:pPr>
      <w:r>
        <w:rPr>
          <w:rFonts w:hint="eastAsia"/>
        </w:rPr>
        <w:t>改造楼层新增疏散楼梯、消防电梯，经过下部未改造楼层且对下部楼层的防火分区、安全疏散、建筑消防设施等未产生影响时，对下部楼层的相关区域可不改造。</w:t>
      </w:r>
    </w:p>
    <w:p w14:paraId="33770FC3">
      <w:pPr>
        <w:rPr>
          <w:highlight w:val="none"/>
        </w:rPr>
      </w:pPr>
      <w:r>
        <w:rPr>
          <w:rFonts w:hint="eastAsia"/>
          <w:highlight w:val="none"/>
        </w:rPr>
        <w:t>（本条全文借鉴《上海市既有建筑改造工程消防技术指南》（2024年版）4.0.6条）</w:t>
      </w:r>
    </w:p>
    <w:p w14:paraId="481BA897">
      <w:pPr>
        <w:rPr>
          <w:highlight w:val="none"/>
        </w:rPr>
      </w:pPr>
      <w:r>
        <w:rPr>
          <w:rFonts w:hint="eastAsia"/>
          <w:highlight w:val="none"/>
        </w:rPr>
        <w:t>【条文说明】保证安全的情况下，控制既有建筑的改造范围。</w:t>
      </w:r>
    </w:p>
    <w:p w14:paraId="1E70F7C1">
      <w:pPr>
        <w:pStyle w:val="4"/>
        <w:bidi w:val="0"/>
      </w:pPr>
      <w:r>
        <w:rPr>
          <w:rFonts w:hint="eastAsia"/>
        </w:rPr>
        <w:t>既有建筑改造工程中，受建筑平面布置等因素限制，分别设置消防电梯确有困难时，可与相邻防火分区共用1台消防电梯，但应分别设置前室，且开向前室的门均应为甲级防火门。</w:t>
      </w:r>
    </w:p>
    <w:p w14:paraId="2C38884B">
      <w:pPr>
        <w:rPr>
          <w:bCs/>
          <w:highlight w:val="none"/>
        </w:rPr>
      </w:pPr>
      <w:r>
        <w:rPr>
          <w:rFonts w:hint="eastAsia"/>
          <w:highlight w:val="none"/>
        </w:rPr>
        <w:t>【条文说明】</w:t>
      </w:r>
      <w:r>
        <w:rPr>
          <w:rFonts w:hint="eastAsia"/>
          <w:bCs/>
          <w:highlight w:val="none"/>
        </w:rPr>
        <w:t>为保证共用消防电梯两侧防火分区的安全，开向前室的门均采用甲级防火门。同时为避免任意扩大共用消防电梯的适用情况，仅允许相邻2个防火分区共用1台消防电梯</w:t>
      </w:r>
      <w:r>
        <w:rPr>
          <w:rFonts w:hint="eastAsia"/>
          <w:highlight w:val="none"/>
        </w:rPr>
        <w:t>，参见《云南省建设工程消防技术导则（建筑篇） 2025版）图3.3.9-1~3.3.9-3所示。</w:t>
      </w:r>
    </w:p>
    <w:p w14:paraId="20D15684">
      <w:pPr>
        <w:pStyle w:val="4"/>
        <w:bidi w:val="0"/>
      </w:pPr>
      <w:r>
        <w:rPr>
          <w:rFonts w:hint="eastAsia"/>
        </w:rPr>
        <w:t>既有的消防电梯前室的尺寸可不受短边大于2.4m的限制。剪刀楼梯间共用前室与消防电梯前室合用时，使用面积不应小于10m²。</w:t>
      </w:r>
    </w:p>
    <w:p w14:paraId="68879F70">
      <w:pPr>
        <w:rPr>
          <w:highlight w:val="none"/>
        </w:rPr>
      </w:pPr>
      <w:r>
        <w:rPr>
          <w:rFonts w:hint="eastAsia"/>
          <w:highlight w:val="none"/>
        </w:rPr>
        <w:t>（本条全文借鉴《北京市既有建筑改造工程消防设计指南》2023版，3.6.5条）</w:t>
      </w:r>
    </w:p>
    <w:p w14:paraId="20BA71BF">
      <w:pPr>
        <w:rPr>
          <w:highlight w:val="none"/>
        </w:rPr>
      </w:pPr>
      <w:r>
        <w:rPr>
          <w:rFonts w:hint="eastAsia"/>
          <w:highlight w:val="none"/>
        </w:rPr>
        <w:t>【条文说明】以前规范没有针对性的明确要求，因此既有建筑消防电梯前室的短边尺寸难以满足2.4米净宽要求；此外，既有建筑出现了一批剪刀楼梯与消防电梯合用前室（简称“三合一”前室）的住宅，该形式的安全性和合规性方面一直存在不同理解。现行标准允许使用并规定合用前室的使用面积不应小于12.0m²，且短边不应小于2.4m。既有住宅“三合一”前室无法满足要求时，改变住宅核心筒的前室形状难度极大。加大前室短边尺寸，有利于消防救援人员通行，但对建筑整体的消防安全影响有限，因此规定，既有前室的形状和尺寸可维持现状，同时要求使用面积不小于10m²。</w:t>
      </w:r>
    </w:p>
    <w:p w14:paraId="0BEB0DAA">
      <w:pPr>
        <w:pStyle w:val="4"/>
        <w:bidi w:val="0"/>
      </w:pPr>
      <w:r>
        <w:rPr>
          <w:rFonts w:hint="eastAsia"/>
        </w:rPr>
        <w:t>既有消防电梯宜每层停靠，新增设的消防电梯应满足《建筑防火通用规范》GB 55037第7.1.12条及消防电梯相关规范要求，确有困难时，消防电梯可不通至地下室底层，但需在该消防电梯附近醒目位置设置满足现行标准要求，通至地下室底层及室外的安全疏散楼梯间，并采用连续、醒目涂饰和设置安全出口标识。</w:t>
      </w:r>
    </w:p>
    <w:p w14:paraId="7578F57C">
      <w:pPr>
        <w:rPr>
          <w:highlight w:val="none"/>
        </w:rPr>
      </w:pPr>
      <w:r>
        <w:rPr>
          <w:rFonts w:hint="eastAsia"/>
          <w:highlight w:val="none"/>
        </w:rPr>
        <w:t>【条文说明】消防电梯的停靠主要指其服务救援的楼层，增加的消防电梯需增设电梯基坑及集水坑，如底层，将破坏既有建筑结构底板，导致底板防水层无法封闭，造成漏水隐患，因此采用就近设置疏散楼梯间的方式辅助救援。</w:t>
      </w:r>
    </w:p>
    <w:bookmarkEnd w:id="11"/>
    <w:bookmarkEnd w:id="12"/>
    <w:p w14:paraId="1778A31B">
      <w:pPr>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br w:type="page"/>
      </w:r>
    </w:p>
    <w:p w14:paraId="4ACD7DCF">
      <w:pPr>
        <w:pStyle w:val="2"/>
        <w:spacing w:before="156" w:after="156"/>
        <w:rPr>
          <w:rFonts w:cs="Times New Roman"/>
          <w:color w:val="000000" w:themeColor="text1"/>
          <w:highlight w:val="none"/>
          <w14:textFill>
            <w14:solidFill>
              <w14:schemeClr w14:val="tx1"/>
            </w14:solidFill>
          </w14:textFill>
        </w:rPr>
      </w:pPr>
      <w:bookmarkStart w:id="20" w:name="_Toc9166"/>
      <w:r>
        <w:rPr>
          <w:rFonts w:hint="eastAsia" w:cs="Times New Roman"/>
          <w:color w:val="000000" w:themeColor="text1"/>
          <w:highlight w:val="none"/>
          <w:lang w:val="en-US" w:eastAsia="zh-CN"/>
          <w14:textFill>
            <w14:solidFill>
              <w14:schemeClr w14:val="tx1"/>
            </w14:solidFill>
          </w14:textFill>
        </w:rPr>
        <w:t>消防给水和灭火设施</w:t>
      </w:r>
      <w:bookmarkEnd w:id="20"/>
    </w:p>
    <w:p w14:paraId="58F4947D">
      <w:pPr>
        <w:pStyle w:val="3"/>
        <w:snapToGrid w:val="0"/>
        <w:spacing w:before="0" w:beforeLines="0" w:after="0" w:afterLines="0" w:line="100" w:lineRule="exact"/>
        <w:ind w:firstLine="0"/>
        <w:rPr>
          <w:rFonts w:ascii="Times New Roman" w:hAnsi="Times New Roman" w:cs="Times New Roman"/>
          <w:vanish/>
          <w:color w:val="000000" w:themeColor="text1"/>
          <w:highlight w:val="none"/>
          <w14:textFill>
            <w14:solidFill>
              <w14:schemeClr w14:val="tx1"/>
            </w14:solidFill>
          </w14:textFill>
        </w:rPr>
      </w:pPr>
      <w:r>
        <w:rPr>
          <w:rFonts w:ascii="Times New Roman" w:hAnsi="Times New Roman" w:cs="Times New Roman"/>
          <w:vanish/>
          <w:color w:val="000000" w:themeColor="text1"/>
          <w:highlight w:val="none"/>
          <w14:textFill>
            <w14:solidFill>
              <w14:schemeClr w14:val="tx1"/>
            </w14:solidFill>
          </w14:textFill>
        </w:rPr>
        <w:t>消防</w:t>
      </w:r>
      <w:bookmarkStart w:id="21" w:name="_Toc146643490"/>
      <w:bookmarkEnd w:id="21"/>
      <w:bookmarkStart w:id="22" w:name="_Toc140410993"/>
      <w:bookmarkEnd w:id="22"/>
    </w:p>
    <w:p w14:paraId="78C96340">
      <w:pPr>
        <w:pStyle w:val="3"/>
        <w:spacing w:before="156" w:after="156"/>
        <w:ind w:firstLine="0"/>
        <w:rPr>
          <w:rFonts w:ascii="Times New Roman" w:hAnsi="Times New Roman" w:cs="Times New Roman"/>
          <w:color w:val="000000" w:themeColor="text1"/>
          <w:highlight w:val="none"/>
          <w14:textFill>
            <w14:solidFill>
              <w14:schemeClr w14:val="tx1"/>
            </w14:solidFill>
          </w14:textFill>
        </w:rPr>
      </w:pPr>
      <w:bookmarkStart w:id="23" w:name="_Toc30602"/>
      <w:r>
        <w:rPr>
          <w:rFonts w:hint="eastAsia" w:ascii="Times New Roman" w:hAnsi="Times New Roman" w:cs="Times New Roman"/>
          <w:color w:val="000000" w:themeColor="text1"/>
          <w:highlight w:val="none"/>
          <w:lang w:val="en-US" w:eastAsia="zh-CN"/>
          <w14:textFill>
            <w14:solidFill>
              <w14:schemeClr w14:val="tx1"/>
            </w14:solidFill>
          </w14:textFill>
        </w:rPr>
        <w:t>一般规定</w:t>
      </w:r>
      <w:bookmarkEnd w:id="23"/>
    </w:p>
    <w:p w14:paraId="3AE0C0CF">
      <w:pPr>
        <w:pStyle w:val="4"/>
        <w:bidi w:val="0"/>
        <w:rPr>
          <w:rFonts w:hint="eastAsia"/>
        </w:rPr>
      </w:pPr>
      <w:bookmarkStart w:id="24" w:name="_____48"/>
      <w:bookmarkEnd w:id="24"/>
      <w:bookmarkStart w:id="25" w:name="_____62"/>
      <w:bookmarkEnd w:id="25"/>
      <w:bookmarkStart w:id="26" w:name="_____64"/>
      <w:bookmarkEnd w:id="26"/>
      <w:bookmarkStart w:id="27" w:name="_Toc24664"/>
      <w:bookmarkStart w:id="28" w:name="_Toc17820"/>
      <w:r>
        <w:rPr>
          <w:rFonts w:hint="eastAsia"/>
        </w:rPr>
        <w:t>既有建筑改造工程中消防给水设施应按下列要求执行：</w:t>
      </w:r>
    </w:p>
    <w:p w14:paraId="35332D02">
      <w:pPr>
        <w:bidi w:val="0"/>
        <w:rPr>
          <w:rFonts w:hint="eastAsia"/>
          <w:color w:val="auto"/>
          <w:highlight w:val="none"/>
        </w:rPr>
      </w:pPr>
      <w:r>
        <w:rPr>
          <w:rFonts w:hint="eastAsia"/>
          <w:color w:val="auto"/>
          <w:highlight w:val="none"/>
        </w:rPr>
        <w:t>1 功能改变的建筑整体改造，应执行现行标准；</w:t>
      </w:r>
    </w:p>
    <w:p w14:paraId="592A1837">
      <w:pPr>
        <w:bidi w:val="0"/>
        <w:rPr>
          <w:rFonts w:hint="eastAsia"/>
          <w:color w:val="auto"/>
          <w:highlight w:val="none"/>
        </w:rPr>
      </w:pPr>
      <w:r>
        <w:rPr>
          <w:rFonts w:hint="eastAsia"/>
          <w:color w:val="auto"/>
          <w:highlight w:val="none"/>
        </w:rPr>
        <w:t>2 功能未改变的建筑整体改造，应执行现行标准；当消防水池和消防水泵房受结构限制不能按现行规范调整时，消防水泵房位置、消防水池有效容积计算可执行原标准；</w:t>
      </w:r>
    </w:p>
    <w:p w14:paraId="5E19212D">
      <w:pPr>
        <w:bidi w:val="0"/>
        <w:rPr>
          <w:rFonts w:hint="eastAsia"/>
          <w:color w:val="auto"/>
          <w:highlight w:val="none"/>
        </w:rPr>
      </w:pPr>
      <w:r>
        <w:rPr>
          <w:rFonts w:hint="eastAsia"/>
          <w:color w:val="auto"/>
          <w:highlight w:val="none"/>
        </w:rPr>
        <w:t>3 功能改变的建筑局部改造，执行本标准；</w:t>
      </w:r>
    </w:p>
    <w:p w14:paraId="572F0CBD">
      <w:pPr>
        <w:bidi w:val="0"/>
        <w:rPr>
          <w:rFonts w:hint="eastAsia"/>
          <w:color w:val="auto"/>
          <w:highlight w:val="none"/>
        </w:rPr>
      </w:pPr>
      <w:r>
        <w:rPr>
          <w:rFonts w:hint="eastAsia"/>
          <w:color w:val="auto"/>
          <w:highlight w:val="none"/>
        </w:rPr>
        <w:t>4 功能未改变的建筑局部改造以及建筑内部装修，可执行原标准。</w:t>
      </w:r>
    </w:p>
    <w:p w14:paraId="57B025D6">
      <w:pPr>
        <w:pStyle w:val="4"/>
        <w:bidi w:val="0"/>
        <w:rPr>
          <w:rFonts w:hint="eastAsia"/>
        </w:rPr>
      </w:pPr>
      <w:r>
        <w:rPr>
          <w:rFonts w:hint="eastAsia"/>
        </w:rPr>
        <w:t>既有厂房和仓库类建筑局部改造时，如改变火灾危险性分类，消防给水系统应执行现行标准。</w:t>
      </w:r>
    </w:p>
    <w:p w14:paraId="0B4CC728">
      <w:pPr>
        <w:bidi w:val="0"/>
        <w:rPr>
          <w:rFonts w:hint="eastAsia"/>
          <w:highlight w:val="none"/>
        </w:rPr>
      </w:pPr>
      <w:r>
        <w:rPr>
          <w:rFonts w:hint="eastAsia"/>
          <w:highlight w:val="none"/>
        </w:rPr>
        <w:t>【条文说明】厂房和仓库类建筑的火灾危险性分类根据《建筑设计防火规范》GB</w:t>
      </w:r>
      <w:r>
        <w:rPr>
          <w:rFonts w:hint="eastAsia"/>
          <w:highlight w:val="none"/>
          <w:lang w:val="en-US" w:eastAsia="zh-CN"/>
        </w:rPr>
        <w:t xml:space="preserve"> </w:t>
      </w:r>
      <w:r>
        <w:rPr>
          <w:rFonts w:hint="eastAsia"/>
          <w:highlight w:val="none"/>
        </w:rPr>
        <w:t>50016判定。</w:t>
      </w:r>
    </w:p>
    <w:p w14:paraId="72D6C207">
      <w:pPr>
        <w:pStyle w:val="4"/>
        <w:bidi w:val="0"/>
        <w:rPr>
          <w:rFonts w:hint="eastAsia"/>
        </w:rPr>
      </w:pPr>
      <w:r>
        <w:rPr>
          <w:rFonts w:hint="eastAsia"/>
        </w:rPr>
        <w:t>既有公共建筑局部改造时，如涉及改变中类之间用地类别以及改变建筑消防分类，消防给水系统应执行现行标准。</w:t>
      </w:r>
    </w:p>
    <w:p w14:paraId="7FB7BA18">
      <w:pPr>
        <w:bidi w:val="0"/>
        <w:rPr>
          <w:highlight w:val="none"/>
        </w:rPr>
      </w:pPr>
      <w:r>
        <w:rPr>
          <w:rFonts w:hint="eastAsia"/>
          <w:highlight w:val="none"/>
        </w:rPr>
        <w:t>【条文说明】公共建筑的用地类别根据《城市用地分类与规划建设用地标准》GB</w:t>
      </w:r>
      <w:r>
        <w:rPr>
          <w:rFonts w:hint="eastAsia"/>
          <w:highlight w:val="none"/>
          <w:lang w:val="en-US" w:eastAsia="zh-CN"/>
        </w:rPr>
        <w:t xml:space="preserve"> </w:t>
      </w:r>
      <w:r>
        <w:rPr>
          <w:rFonts w:hint="eastAsia"/>
          <w:highlight w:val="none"/>
        </w:rPr>
        <w:t>50137判定；其建筑消防分类根据《建筑设计防火规范》GB</w:t>
      </w:r>
      <w:r>
        <w:rPr>
          <w:rFonts w:hint="eastAsia"/>
          <w:highlight w:val="none"/>
          <w:lang w:val="en-US" w:eastAsia="zh-CN"/>
        </w:rPr>
        <w:t xml:space="preserve"> </w:t>
      </w:r>
      <w:r>
        <w:rPr>
          <w:rFonts w:hint="eastAsia"/>
          <w:highlight w:val="none"/>
        </w:rPr>
        <w:t>50016判定。</w:t>
      </w:r>
    </w:p>
    <w:p w14:paraId="069C2621">
      <w:pPr>
        <w:pStyle w:val="3"/>
        <w:spacing w:before="156" w:after="156"/>
        <w:ind w:firstLine="0"/>
        <w:rPr>
          <w:rFonts w:ascii="Times New Roman" w:hAnsi="Times New Roman" w:cs="Times New Roman"/>
          <w:color w:val="000000" w:themeColor="text1"/>
          <w:highlight w:val="none"/>
          <w14:textFill>
            <w14:solidFill>
              <w14:schemeClr w14:val="tx1"/>
            </w14:solidFill>
          </w14:textFill>
        </w:rPr>
      </w:pPr>
      <w:bookmarkStart w:id="29" w:name="_Toc16348"/>
      <w:r>
        <w:rPr>
          <w:rFonts w:ascii="Times New Roman" w:hAnsi="Times New Roman" w:eastAsia="宋体" w:cs="Times New Roman"/>
          <w:snapToGrid/>
          <w:color w:val="auto"/>
          <w:kern w:val="2"/>
          <w:sz w:val="24"/>
          <w:szCs w:val="24"/>
          <w:highlight w:val="none"/>
          <w:lang w:eastAsia="zh-CN"/>
        </w:rPr>
        <w:t>消防水池、高位消防水箱及水泵房</w:t>
      </w:r>
      <w:bookmarkEnd w:id="29"/>
    </w:p>
    <w:p w14:paraId="6C101CC7">
      <w:pPr>
        <w:pStyle w:val="4"/>
        <w:bidi w:val="0"/>
        <w:rPr>
          <w:lang w:eastAsia="zh-CN"/>
        </w:rPr>
      </w:pPr>
      <w:r>
        <w:rPr>
          <w:lang w:eastAsia="zh-CN"/>
        </w:rPr>
        <w:t>局部改造时，消防水池、高位消防水箱及水泵房的设置应符合下列规定：</w:t>
      </w:r>
    </w:p>
    <w:p w14:paraId="5198AD2D">
      <w:pPr>
        <w:bidi w:val="0"/>
        <w:rPr>
          <w:color w:val="auto"/>
          <w:highlight w:val="none"/>
          <w:lang w:eastAsia="zh-CN"/>
        </w:rPr>
      </w:pPr>
      <w:r>
        <w:rPr>
          <w:color w:val="auto"/>
          <w:highlight w:val="none"/>
          <w:lang w:eastAsia="zh-CN"/>
        </w:rPr>
        <w:t>1</w:t>
      </w:r>
      <w:r>
        <w:rPr>
          <w:rFonts w:hint="eastAsia"/>
          <w:color w:val="auto"/>
          <w:highlight w:val="none"/>
          <w:lang w:val="en-US" w:eastAsia="zh-CN"/>
        </w:rPr>
        <w:t xml:space="preserve"> </w:t>
      </w:r>
      <w:r>
        <w:rPr>
          <w:color w:val="auto"/>
          <w:highlight w:val="none"/>
          <w:lang w:eastAsia="zh-CN"/>
        </w:rPr>
        <w:t>设置位置可按原标准执行，但应采取防水淹的技术措施；</w:t>
      </w:r>
    </w:p>
    <w:p w14:paraId="2CF856BA">
      <w:pPr>
        <w:bidi w:val="0"/>
        <w:rPr>
          <w:color w:val="auto"/>
          <w:highlight w:val="none"/>
          <w:lang w:eastAsia="zh-CN"/>
        </w:rPr>
      </w:pPr>
      <w:r>
        <w:rPr>
          <w:color w:val="auto"/>
          <w:highlight w:val="none"/>
          <w:lang w:eastAsia="zh-CN"/>
        </w:rPr>
        <w:t>2</w:t>
      </w:r>
      <w:r>
        <w:rPr>
          <w:rFonts w:hint="eastAsia"/>
          <w:color w:val="auto"/>
          <w:highlight w:val="none"/>
          <w:lang w:val="en-US" w:eastAsia="zh-CN"/>
        </w:rPr>
        <w:t xml:space="preserve"> </w:t>
      </w:r>
      <w:r>
        <w:rPr>
          <w:color w:val="auto"/>
          <w:highlight w:val="none"/>
          <w:lang w:eastAsia="zh-CN"/>
        </w:rPr>
        <w:t>消防水池的有效容积，受结构限制</w:t>
      </w:r>
      <w:r>
        <w:rPr>
          <w:rFonts w:hint="eastAsia"/>
          <w:color w:val="auto"/>
          <w:highlight w:val="none"/>
          <w:lang w:val="en-US" w:eastAsia="zh-CN"/>
        </w:rPr>
        <w:t>不能</w:t>
      </w:r>
      <w:r>
        <w:rPr>
          <w:color w:val="auto"/>
          <w:highlight w:val="none"/>
          <w:lang w:eastAsia="zh-CN"/>
        </w:rPr>
        <w:t>按现行标准增加时，其有效储水容积的计算方式可</w:t>
      </w:r>
      <w:r>
        <w:rPr>
          <w:rFonts w:hint="eastAsia"/>
          <w:color w:val="auto"/>
          <w:highlight w:val="none"/>
          <w:lang w:val="en-US" w:eastAsia="zh-CN"/>
        </w:rPr>
        <w:t>执行原标准</w:t>
      </w:r>
      <w:r>
        <w:rPr>
          <w:color w:val="auto"/>
          <w:highlight w:val="none"/>
          <w:lang w:eastAsia="zh-CN"/>
        </w:rPr>
        <w:t>；</w:t>
      </w:r>
    </w:p>
    <w:p w14:paraId="3B39B011">
      <w:pPr>
        <w:bidi w:val="0"/>
        <w:rPr>
          <w:color w:val="auto"/>
          <w:highlight w:val="none"/>
          <w:lang w:eastAsia="zh-CN"/>
        </w:rPr>
      </w:pPr>
      <w:r>
        <w:rPr>
          <w:color w:val="auto"/>
          <w:highlight w:val="none"/>
          <w:lang w:eastAsia="zh-CN"/>
        </w:rPr>
        <w:t>3</w:t>
      </w:r>
      <w:r>
        <w:rPr>
          <w:rFonts w:hint="eastAsia"/>
          <w:color w:val="auto"/>
          <w:highlight w:val="none"/>
          <w:lang w:val="en-US" w:eastAsia="zh-CN"/>
        </w:rPr>
        <w:t xml:space="preserve"> </w:t>
      </w:r>
      <w:r>
        <w:rPr>
          <w:color w:val="auto"/>
          <w:highlight w:val="none"/>
          <w:lang w:eastAsia="zh-CN"/>
        </w:rPr>
        <w:t>既有建筑消防系统为稳高压消防给水系统时，可</w:t>
      </w:r>
      <w:r>
        <w:rPr>
          <w:rFonts w:hint="eastAsia"/>
          <w:color w:val="auto"/>
          <w:highlight w:val="none"/>
          <w:lang w:val="en-US" w:eastAsia="zh-CN"/>
        </w:rPr>
        <w:t>执行</w:t>
      </w:r>
      <w:r>
        <w:rPr>
          <w:color w:val="auto"/>
          <w:highlight w:val="none"/>
          <w:lang w:eastAsia="zh-CN"/>
        </w:rPr>
        <w:t>原标准；</w:t>
      </w:r>
    </w:p>
    <w:p w14:paraId="4E92E7B3">
      <w:pPr>
        <w:bidi w:val="0"/>
        <w:rPr>
          <w:color w:val="auto"/>
          <w:highlight w:val="none"/>
          <w:lang w:eastAsia="zh-CN"/>
        </w:rPr>
      </w:pPr>
      <w:r>
        <w:rPr>
          <w:color w:val="auto"/>
          <w:highlight w:val="none"/>
          <w:lang w:eastAsia="zh-CN"/>
        </w:rPr>
        <w:t>4</w:t>
      </w:r>
      <w:r>
        <w:rPr>
          <w:rFonts w:hint="eastAsia"/>
          <w:color w:val="auto"/>
          <w:highlight w:val="none"/>
          <w:lang w:val="en-US" w:eastAsia="zh-CN"/>
        </w:rPr>
        <w:t xml:space="preserve"> </w:t>
      </w:r>
      <w:r>
        <w:rPr>
          <w:color w:val="auto"/>
          <w:highlight w:val="none"/>
          <w:lang w:eastAsia="zh-CN"/>
        </w:rPr>
        <w:t>既有建筑消防系统为</w:t>
      </w:r>
      <w:r>
        <w:rPr>
          <w:rFonts w:hint="eastAsia"/>
          <w:color w:val="auto"/>
          <w:highlight w:val="none"/>
          <w:lang w:val="en-US" w:eastAsia="zh-CN"/>
        </w:rPr>
        <w:t>临时</w:t>
      </w:r>
      <w:r>
        <w:rPr>
          <w:color w:val="auto"/>
          <w:highlight w:val="none"/>
          <w:lang w:eastAsia="zh-CN"/>
        </w:rPr>
        <w:t>高压消防给水系统，当高位消防水箱设置位置受结构限制</w:t>
      </w:r>
      <w:r>
        <w:rPr>
          <w:rFonts w:hint="eastAsia"/>
          <w:color w:val="auto"/>
          <w:highlight w:val="none"/>
          <w:lang w:val="en-US" w:eastAsia="zh-CN"/>
        </w:rPr>
        <w:t>不能</w:t>
      </w:r>
      <w:r>
        <w:rPr>
          <w:color w:val="auto"/>
          <w:highlight w:val="none"/>
          <w:lang w:eastAsia="zh-CN"/>
        </w:rPr>
        <w:t>高于所服务的水灭火设施时，应设置有效容积不小于150L气压水罐及稳压泵等设施，保证水灭火设施最不利点处静水压力满足现行标准要求。</w:t>
      </w:r>
    </w:p>
    <w:p w14:paraId="6C969C98">
      <w:pPr>
        <w:bidi w:val="0"/>
        <w:rPr>
          <w:highlight w:val="none"/>
          <w:lang w:eastAsia="zh-CN"/>
        </w:rPr>
      </w:pPr>
      <w:r>
        <w:rPr>
          <w:highlight w:val="none"/>
          <w:lang w:eastAsia="zh-CN"/>
        </w:rPr>
        <w:t>【条文说明】若原建筑消防水泵房设在地下三层及以下，受空间、结构等影响，改造至地下二层及以上确有困难时，可适用原标准。</w:t>
      </w:r>
    </w:p>
    <w:p w14:paraId="62EC008F">
      <w:pPr>
        <w:bidi w:val="0"/>
        <w:rPr>
          <w:highlight w:val="none"/>
          <w:lang w:eastAsia="zh-CN"/>
        </w:rPr>
      </w:pPr>
      <w:r>
        <w:rPr>
          <w:highlight w:val="none"/>
          <w:lang w:eastAsia="zh-CN"/>
        </w:rPr>
        <w:t>《消防设施通用规范》GB</w:t>
      </w:r>
      <w:r>
        <w:rPr>
          <w:rFonts w:hint="eastAsia"/>
          <w:highlight w:val="none"/>
          <w:lang w:val="en-US" w:eastAsia="zh-CN"/>
        </w:rPr>
        <w:t xml:space="preserve"> </w:t>
      </w:r>
      <w:r>
        <w:rPr>
          <w:highlight w:val="none"/>
          <w:lang w:eastAsia="zh-CN"/>
        </w:rPr>
        <w:t>55036-2022第3.0.8条第3款要求消防水池的最低有效水位应满足消防水泵在最低水位运行安全和实现设计出水量的要求。《建筑设计防火规范（2018版）》GB</w:t>
      </w:r>
      <w:r>
        <w:rPr>
          <w:rFonts w:hint="eastAsia"/>
          <w:highlight w:val="none"/>
          <w:lang w:val="en-US" w:eastAsia="zh-CN"/>
        </w:rPr>
        <w:t xml:space="preserve"> </w:t>
      </w:r>
      <w:r>
        <w:rPr>
          <w:highlight w:val="none"/>
          <w:lang w:eastAsia="zh-CN"/>
        </w:rPr>
        <w:t>50016-2014第8.6.2条规定了消防水池容量要求，其条文解释中提到：</w:t>
      </w:r>
      <w:r>
        <w:rPr>
          <w:rFonts w:hint="eastAsia"/>
          <w:highlight w:val="none"/>
          <w:lang w:eastAsia="zh-CN"/>
        </w:rPr>
        <w:t>“</w:t>
      </w:r>
      <w:r>
        <w:rPr>
          <w:highlight w:val="none"/>
          <w:lang w:eastAsia="zh-CN"/>
        </w:rPr>
        <w:t>有效容积应为水池溢流口以下且不包括水池底部无法取水的部分以及隔墙、柱所占的体积</w:t>
      </w:r>
      <w:r>
        <w:rPr>
          <w:rFonts w:hint="eastAsia"/>
          <w:highlight w:val="none"/>
          <w:lang w:eastAsia="zh-CN"/>
        </w:rPr>
        <w:t>”</w:t>
      </w:r>
      <w:r>
        <w:rPr>
          <w:highlight w:val="none"/>
          <w:lang w:eastAsia="zh-CN"/>
        </w:rPr>
        <w:t>。旧版标准有关最低有效水位的规定不明确，设计时一般会考虑一定的容积冗余度，但对于改造工程中容积冗余度较小的消防水池，按现行标准可能出现有效储水容积计算略有不足的情况，但实际未降低消防安全性，因此可认为保留使用的消防水池有效储水容积不变。</w:t>
      </w:r>
    </w:p>
    <w:p w14:paraId="407D3034">
      <w:pPr>
        <w:bidi w:val="0"/>
        <w:rPr>
          <w:highlight w:val="none"/>
          <w:lang w:eastAsia="zh-CN"/>
        </w:rPr>
      </w:pPr>
      <w:r>
        <w:rPr>
          <w:highlight w:val="none"/>
          <w:lang w:eastAsia="zh-CN"/>
        </w:rPr>
        <w:t>当项目根据业态及功能的需要，新增了消防给水系统或者消防给水系统的设计水量较原设计水量有</w:t>
      </w:r>
      <w:r>
        <w:rPr>
          <w:rFonts w:hint="eastAsia"/>
          <w:highlight w:val="none"/>
          <w:lang w:val="en-US" w:eastAsia="zh-CN"/>
        </w:rPr>
        <w:t>增加</w:t>
      </w:r>
      <w:r>
        <w:rPr>
          <w:highlight w:val="none"/>
          <w:lang w:eastAsia="zh-CN"/>
        </w:rPr>
        <w:t>时，原有消防水池的容积受结构条件限制确实无法</w:t>
      </w:r>
      <w:r>
        <w:rPr>
          <w:rFonts w:hint="eastAsia"/>
          <w:highlight w:val="none"/>
          <w:lang w:val="en-US" w:eastAsia="zh-CN"/>
        </w:rPr>
        <w:t>增加</w:t>
      </w:r>
      <w:r>
        <w:rPr>
          <w:highlight w:val="none"/>
          <w:lang w:eastAsia="zh-CN"/>
        </w:rPr>
        <w:t>时，应进行综合评估，根据项目的实际条件可采用符合现行消防技术标准的一体化消防给水泵站等不降低项目安全性能的技术措施予以补偿加强。</w:t>
      </w:r>
    </w:p>
    <w:p w14:paraId="264EBB5D">
      <w:pPr>
        <w:pStyle w:val="4"/>
        <w:bidi w:val="0"/>
        <w:rPr>
          <w:lang w:eastAsia="zh-CN"/>
        </w:rPr>
      </w:pPr>
      <w:r>
        <w:rPr>
          <w:rFonts w:hint="eastAsia"/>
          <w:lang w:val="en-US" w:eastAsia="zh-CN"/>
        </w:rPr>
        <w:t>既有</w:t>
      </w:r>
      <w:r>
        <w:rPr>
          <w:lang w:eastAsia="zh-CN"/>
        </w:rPr>
        <w:t>建筑改造工程</w:t>
      </w:r>
      <w:r>
        <w:rPr>
          <w:rFonts w:hint="eastAsia"/>
          <w:lang w:val="en-US" w:eastAsia="zh-CN"/>
        </w:rPr>
        <w:t>中，当</w:t>
      </w:r>
      <w:r>
        <w:rPr>
          <w:lang w:eastAsia="zh-CN"/>
        </w:rPr>
        <w:t>采用一体化</w:t>
      </w:r>
      <w:r>
        <w:rPr>
          <w:rFonts w:hint="eastAsia"/>
          <w:lang w:val="en-US" w:eastAsia="zh-CN"/>
        </w:rPr>
        <w:t>（地面式、半埋地式）</w:t>
      </w:r>
      <w:r>
        <w:rPr>
          <w:lang w:eastAsia="zh-CN"/>
        </w:rPr>
        <w:t>消防给水泵站</w:t>
      </w:r>
      <w:r>
        <w:rPr>
          <w:rFonts w:hint="eastAsia"/>
          <w:lang w:val="en-US" w:eastAsia="zh-CN"/>
        </w:rPr>
        <w:t>时</w:t>
      </w:r>
      <w:r>
        <w:rPr>
          <w:rFonts w:hint="eastAsia"/>
          <w:lang w:eastAsia="zh-CN"/>
        </w:rPr>
        <w:t>，</w:t>
      </w:r>
      <w:r>
        <w:rPr>
          <w:rFonts w:hint="eastAsia"/>
          <w:lang w:val="en-US" w:eastAsia="zh-CN"/>
        </w:rPr>
        <w:t>消防泵站的水泵房与其他建筑物之间的防火间距应符合现行《建筑设计防火规范》GB 50016的相关规定。</w:t>
      </w:r>
    </w:p>
    <w:p w14:paraId="04F68729">
      <w:pPr>
        <w:bidi w:val="0"/>
        <w:rPr>
          <w:rFonts w:hint="eastAsia"/>
          <w:highlight w:val="none"/>
          <w:lang w:eastAsia="zh-CN"/>
        </w:rPr>
      </w:pPr>
      <w:r>
        <w:rPr>
          <w:highlight w:val="none"/>
          <w:lang w:eastAsia="zh-CN"/>
        </w:rPr>
        <w:t>【条文说明】建筑局部改造工程，因无法增加建筑面积，在原室内空间增设水池、水泵房极</w:t>
      </w:r>
      <w:r>
        <w:rPr>
          <w:rFonts w:hint="eastAsia"/>
          <w:highlight w:val="none"/>
          <w:lang w:val="en-US" w:eastAsia="zh-CN"/>
        </w:rPr>
        <w:t>为</w:t>
      </w:r>
      <w:r>
        <w:rPr>
          <w:highlight w:val="none"/>
          <w:lang w:eastAsia="zh-CN"/>
        </w:rPr>
        <w:t>困难。室外</w:t>
      </w:r>
      <w:r>
        <w:rPr>
          <w:rFonts w:hint="eastAsia"/>
          <w:highlight w:val="none"/>
          <w:lang w:val="en-US" w:eastAsia="zh-CN"/>
        </w:rPr>
        <w:t>地面式或半埋地式</w:t>
      </w:r>
      <w:r>
        <w:rPr>
          <w:highlight w:val="none"/>
          <w:lang w:eastAsia="zh-CN"/>
        </w:rPr>
        <w:t>安装的一体化消防给水泵站占地小，施工安装较便利，可解决上述问题</w:t>
      </w:r>
      <w:r>
        <w:rPr>
          <w:rFonts w:hint="eastAsia"/>
          <w:highlight w:val="none"/>
          <w:lang w:eastAsia="zh-CN"/>
        </w:rPr>
        <w:t>，</w:t>
      </w:r>
      <w:r>
        <w:rPr>
          <w:rFonts w:hint="eastAsia"/>
          <w:highlight w:val="none"/>
          <w:lang w:val="en-US" w:eastAsia="zh-CN"/>
        </w:rPr>
        <w:t>但需注意一</w:t>
      </w:r>
      <w:r>
        <w:rPr>
          <w:rFonts w:hint="eastAsia"/>
          <w:highlight w:val="none"/>
          <w:lang w:eastAsia="zh-CN"/>
        </w:rPr>
        <w:t>体化消防泵站水泵房的耐火等级不应低于二级。</w:t>
      </w:r>
    </w:p>
    <w:p w14:paraId="58B0C931">
      <w:pPr>
        <w:pStyle w:val="3"/>
        <w:bidi w:val="0"/>
        <w:rPr>
          <w:rFonts w:cs="Times New Roman"/>
          <w:color w:val="000000" w:themeColor="text1"/>
          <w:highlight w:val="none"/>
          <w14:textFill>
            <w14:solidFill>
              <w14:schemeClr w14:val="tx1"/>
            </w14:solidFill>
          </w14:textFill>
        </w:rPr>
      </w:pPr>
      <w:bookmarkStart w:id="30" w:name="_Toc1349"/>
      <w:r>
        <w:rPr>
          <w:highlight w:val="none"/>
          <w:lang w:eastAsia="zh-CN"/>
        </w:rPr>
        <w:t>室外消火栓系统</w:t>
      </w:r>
      <w:bookmarkEnd w:id="30"/>
    </w:p>
    <w:p w14:paraId="3041675E">
      <w:pPr>
        <w:pStyle w:val="4"/>
        <w:bidi w:val="0"/>
        <w:rPr>
          <w:lang w:eastAsia="zh-CN"/>
        </w:rPr>
      </w:pPr>
      <w:r>
        <w:rPr>
          <w:lang w:eastAsia="zh-CN"/>
        </w:rPr>
        <w:t>市政环状管网供水的室外消火栓系统，如两条室外给水引入管均从同一市政给水干管引入，当两条引入管之间的市政干管上设有检修阀门时，可视同两路供水。</w:t>
      </w:r>
    </w:p>
    <w:p w14:paraId="3C91B50B">
      <w:pPr>
        <w:bidi w:val="0"/>
        <w:rPr>
          <w:highlight w:val="none"/>
          <w:lang w:eastAsia="zh-CN"/>
        </w:rPr>
      </w:pPr>
      <w:r>
        <w:rPr>
          <w:highlight w:val="none"/>
          <w:lang w:eastAsia="zh-CN"/>
        </w:rPr>
        <w:t>【条文说明】现行国家标准《消防给水及消火栓系统技术规范》GB</w:t>
      </w:r>
      <w:r>
        <w:rPr>
          <w:rFonts w:hint="eastAsia"/>
          <w:highlight w:val="none"/>
          <w:lang w:val="en-US" w:eastAsia="zh-CN"/>
        </w:rPr>
        <w:t xml:space="preserve"> </w:t>
      </w:r>
      <w:r>
        <w:rPr>
          <w:highlight w:val="none"/>
          <w:lang w:eastAsia="zh-CN"/>
        </w:rPr>
        <w:t>50974对室外消防两路供水认定条件作出了详细规定。既有建筑室外消火栓系统大多采用市政</w:t>
      </w:r>
      <w:r>
        <w:rPr>
          <w:rFonts w:hint="eastAsia"/>
          <w:highlight w:val="none"/>
          <w:lang w:eastAsia="zh-CN"/>
        </w:rPr>
        <w:t>直接</w:t>
      </w:r>
      <w:r>
        <w:rPr>
          <w:highlight w:val="none"/>
          <w:lang w:eastAsia="zh-CN"/>
        </w:rPr>
        <w:t>供水</w:t>
      </w:r>
      <w:r>
        <w:rPr>
          <w:rFonts w:hint="eastAsia"/>
          <w:highlight w:val="none"/>
          <w:lang w:eastAsia="zh-CN"/>
        </w:rPr>
        <w:t>的</w:t>
      </w:r>
      <w:r>
        <w:rPr>
          <w:highlight w:val="none"/>
          <w:lang w:eastAsia="zh-CN"/>
        </w:rPr>
        <w:t>低压</w:t>
      </w:r>
      <w:r>
        <w:rPr>
          <w:rFonts w:hint="eastAsia"/>
          <w:highlight w:val="none"/>
          <w:lang w:eastAsia="zh-CN"/>
        </w:rPr>
        <w:t>给水</w:t>
      </w:r>
      <w:r>
        <w:rPr>
          <w:highlight w:val="none"/>
          <w:lang w:eastAsia="zh-CN"/>
        </w:rPr>
        <w:t>系统，其两路供水认定条件难以满足现行规范要求。原供水系统改造受市政条件制约难以实现，而增设临时高压系统需要增加消防水池及消防水泵，代价较大。</w:t>
      </w:r>
    </w:p>
    <w:p w14:paraId="273CD885">
      <w:pPr>
        <w:bidi w:val="0"/>
        <w:rPr>
          <w:highlight w:val="none"/>
          <w:lang w:eastAsia="zh-CN"/>
        </w:rPr>
      </w:pPr>
      <w:r>
        <w:rPr>
          <w:highlight w:val="none"/>
          <w:lang w:eastAsia="zh-CN"/>
        </w:rPr>
        <w:t>对于改造项目，当建设用地一侧有市政给水环状管网，其环状管网的同一侧 管道由阀门分隔成不同管段，在阀门两端分别设引入管，可以避免市政管网局部 管路检修导致停止供水情况发生，因此适当放宽了两路供水的认定条件。城镇环状给水是否允许设置检修阀门应得到相关职能部门的同意。</w:t>
      </w:r>
    </w:p>
    <w:p w14:paraId="63DE6F34">
      <w:pPr>
        <w:pStyle w:val="3"/>
        <w:bidi w:val="0"/>
        <w:rPr>
          <w:highlight w:val="none"/>
          <w:lang w:eastAsia="zh-CN"/>
        </w:rPr>
      </w:pPr>
      <w:bookmarkStart w:id="31" w:name="_Toc24347"/>
      <w:r>
        <w:rPr>
          <w:highlight w:val="none"/>
          <w:lang w:eastAsia="zh-CN"/>
        </w:rPr>
        <w:t>室内消火栓系统</w:t>
      </w:r>
      <w:bookmarkEnd w:id="31"/>
    </w:p>
    <w:p w14:paraId="2042F875">
      <w:pPr>
        <w:pStyle w:val="4"/>
        <w:bidi w:val="0"/>
        <w:rPr>
          <w:lang w:eastAsia="zh-CN"/>
        </w:rPr>
      </w:pPr>
      <w:r>
        <w:rPr>
          <w:lang w:eastAsia="zh-CN"/>
        </w:rPr>
        <w:t>体积大于5000m³、不超过10000m³且未设置室内消火栓系统的办公建筑、 教学建筑和其他单、多层民用建筑，当局部改为展览、商店、旅馆、医疗建筑、 老年人照料设施和图书馆时，应增设室内消火栓系统。当非改造区域因继续使  用等原因暂时无法增设时，允许仅在改造区域内增设，但应为其他区域后续增  设室内消火栓系统预留条件。</w:t>
      </w:r>
    </w:p>
    <w:p w14:paraId="74C21045">
      <w:pPr>
        <w:bidi w:val="0"/>
        <w:rPr>
          <w:highlight w:val="none"/>
          <w:lang w:eastAsia="zh-CN"/>
        </w:rPr>
      </w:pPr>
      <w:r>
        <w:rPr>
          <w:highlight w:val="none"/>
          <w:lang w:eastAsia="zh-CN"/>
        </w:rPr>
        <w:t>【条文说明】对于现状无消防给水系统的建筑，如局部区域改造为现行国家标准《建筑防火通用规范》GB55037 第8.1.7条第5款提及的建筑功能，可在改造区域局部增设消火栓系统，从而避免消防用水量增加过多，降低消防设施、设备机房的改造难度。</w:t>
      </w:r>
    </w:p>
    <w:p w14:paraId="49F134BD">
      <w:pPr>
        <w:pStyle w:val="4"/>
        <w:bidi w:val="0"/>
        <w:rPr>
          <w:lang w:eastAsia="zh-CN"/>
        </w:rPr>
      </w:pPr>
      <w:r>
        <w:rPr>
          <w:lang w:eastAsia="zh-CN"/>
        </w:rPr>
        <w:t>消防水泵房不在改造</w:t>
      </w:r>
      <w:r>
        <w:rPr>
          <w:rFonts w:hint="eastAsia"/>
          <w:lang w:eastAsia="zh-CN"/>
        </w:rPr>
        <w:t>范围</w:t>
      </w:r>
      <w:r>
        <w:rPr>
          <w:lang w:eastAsia="zh-CN"/>
        </w:rPr>
        <w:t>内的</w:t>
      </w:r>
      <w:r>
        <w:rPr>
          <w:rFonts w:hint="eastAsia"/>
          <w:lang w:eastAsia="zh-CN"/>
        </w:rPr>
        <w:t>局部改造项目，当对室内</w:t>
      </w:r>
      <w:r>
        <w:rPr>
          <w:lang w:eastAsia="zh-CN"/>
        </w:rPr>
        <w:t>消火栓系统改造，校核消防水泵扬程时，消火栓水枪充实水柱应执行现行消防技术标准，消火栓栓口动压可执行</w:t>
      </w:r>
      <w:r>
        <w:rPr>
          <w:rFonts w:hint="eastAsia"/>
          <w:lang w:eastAsia="zh-CN"/>
        </w:rPr>
        <w:t>原</w:t>
      </w:r>
      <w:r>
        <w:rPr>
          <w:lang w:eastAsia="zh-CN"/>
        </w:rPr>
        <w:t>标准。</w:t>
      </w:r>
    </w:p>
    <w:p w14:paraId="44D39165">
      <w:pPr>
        <w:bidi w:val="0"/>
        <w:rPr>
          <w:lang w:eastAsia="zh-CN"/>
        </w:rPr>
      </w:pPr>
      <w:r>
        <w:rPr>
          <w:lang w:eastAsia="zh-CN"/>
        </w:rPr>
        <w:t>【条文说明】现行国家标准《消防给水及消火栓系统技术规范》GB50974 第7.4.12条对高层建筑、厂房、库房和室内净空高度超过8m的民用建筑等场所的消火栓栓口动压提高了要求，需要达到0.35MPa。</w:t>
      </w:r>
      <w:r>
        <w:rPr>
          <w:rFonts w:hint="eastAsia"/>
          <w:lang w:eastAsia="zh-CN"/>
        </w:rPr>
        <w:t>该规范</w:t>
      </w:r>
      <w:r>
        <w:rPr>
          <w:lang w:eastAsia="zh-CN"/>
        </w:rPr>
        <w:t>实施前，上述场所的消火栓栓口动压只要满足该场所的消火栓充实水柱要求，一般不超过0.25MPa。如果按照</w:t>
      </w:r>
      <w:r>
        <w:rPr>
          <w:rFonts w:hint="eastAsia"/>
          <w:lang w:eastAsia="zh-CN"/>
        </w:rPr>
        <w:t>现行规范</w:t>
      </w:r>
      <w:r>
        <w:rPr>
          <w:lang w:eastAsia="zh-CN"/>
        </w:rPr>
        <w:t>要求校核既有建筑中的消防水泵扬程，则可能</w:t>
      </w:r>
      <w:r>
        <w:rPr>
          <w:rFonts w:hint="eastAsia"/>
          <w:lang w:eastAsia="zh-CN"/>
        </w:rPr>
        <w:t>现有</w:t>
      </w:r>
      <w:r>
        <w:rPr>
          <w:lang w:eastAsia="zh-CN"/>
        </w:rPr>
        <w:t>消防水泵</w:t>
      </w:r>
      <w:r>
        <w:rPr>
          <w:rFonts w:hint="eastAsia"/>
          <w:lang w:eastAsia="zh-CN"/>
        </w:rPr>
        <w:t>的</w:t>
      </w:r>
      <w:r>
        <w:rPr>
          <w:lang w:eastAsia="zh-CN"/>
        </w:rPr>
        <w:t>扬程</w:t>
      </w:r>
      <w:r>
        <w:rPr>
          <w:rFonts w:hint="eastAsia"/>
          <w:lang w:eastAsia="zh-CN"/>
        </w:rPr>
        <w:t>大多</w:t>
      </w:r>
      <w:r>
        <w:rPr>
          <w:lang w:eastAsia="zh-CN"/>
        </w:rPr>
        <w:t>不能满足要求，需要更换消防水泵，并且需要对整个管网进行重新调试，代价较高</w:t>
      </w:r>
      <w:r>
        <w:rPr>
          <w:rFonts w:hint="eastAsia"/>
          <w:lang w:eastAsia="zh-CN"/>
        </w:rPr>
        <w:t>。</w:t>
      </w:r>
      <w:r>
        <w:rPr>
          <w:lang w:eastAsia="zh-CN"/>
        </w:rPr>
        <w:t>当消防水泵房不在改造区域内时，更换水泵实施更加困难。</w:t>
      </w:r>
    </w:p>
    <w:p w14:paraId="76AE1E93">
      <w:pPr>
        <w:bidi w:val="0"/>
        <w:rPr>
          <w:lang w:eastAsia="zh-CN"/>
        </w:rPr>
      </w:pPr>
      <w:r>
        <w:rPr>
          <w:lang w:eastAsia="zh-CN"/>
        </w:rPr>
        <w:t>由于消火栓水枪充实水柱是实施灭火的关键因素，因此建议消火栓系统改造时，消火栓水枪充实水柱应执行现行消防技术标准，当消防水泵房不在改造区域 内，校核消防水泵扬程时，消火栓栓口动压可执行</w:t>
      </w:r>
      <w:r>
        <w:rPr>
          <w:rFonts w:hint="eastAsia"/>
          <w:lang w:eastAsia="zh-CN"/>
        </w:rPr>
        <w:t>原有</w:t>
      </w:r>
      <w:r>
        <w:rPr>
          <w:lang w:eastAsia="zh-CN"/>
        </w:rPr>
        <w:t>标准，但应满足水枪充实水柱要求。</w:t>
      </w:r>
    </w:p>
    <w:p w14:paraId="2561CA56">
      <w:pPr>
        <w:pStyle w:val="4"/>
        <w:bidi w:val="0"/>
        <w:rPr>
          <w:lang w:eastAsia="zh-CN"/>
        </w:rPr>
      </w:pPr>
      <w:r>
        <w:rPr>
          <w:lang w:eastAsia="zh-CN"/>
        </w:rPr>
        <w:t>消防水泵房不在改造</w:t>
      </w:r>
      <w:r>
        <w:rPr>
          <w:rFonts w:hint="eastAsia"/>
          <w:lang w:eastAsia="zh-CN"/>
        </w:rPr>
        <w:t>范围</w:t>
      </w:r>
      <w:r>
        <w:rPr>
          <w:lang w:eastAsia="zh-CN"/>
        </w:rPr>
        <w:t>内的</w:t>
      </w:r>
      <w:r>
        <w:rPr>
          <w:rFonts w:hint="eastAsia"/>
          <w:lang w:eastAsia="zh-CN"/>
        </w:rPr>
        <w:t>局部改造项目，</w:t>
      </w:r>
      <w:r>
        <w:rPr>
          <w:lang w:eastAsia="zh-CN"/>
        </w:rPr>
        <w:t>消防给水系统宜按现行消防技术标准设置压力开关、流量开关等消防水泵启泵控制装置</w:t>
      </w:r>
      <w:r>
        <w:rPr>
          <w:rFonts w:hint="eastAsia"/>
          <w:lang w:eastAsia="zh-CN"/>
        </w:rPr>
        <w:t>。</w:t>
      </w:r>
      <w:r>
        <w:rPr>
          <w:lang w:eastAsia="zh-CN"/>
        </w:rPr>
        <w:t>未设置上述启泵控制装置的系统，原消火栓箱内的消防水泵启泵按钮应保留。</w:t>
      </w:r>
    </w:p>
    <w:p w14:paraId="7CCFB726">
      <w:pPr>
        <w:bidi w:val="0"/>
        <w:rPr>
          <w:highlight w:val="none"/>
          <w:lang w:eastAsia="zh-CN"/>
        </w:rPr>
      </w:pPr>
      <w:r>
        <w:rPr>
          <w:highlight w:val="none"/>
          <w:lang w:eastAsia="zh-CN"/>
        </w:rPr>
        <w:t>【条文说明】建筑改造工程，仅在末端增设消火栓或改变原有消火栓位置时，其系统的控制仍是按照原有规范标准设置，故增设或改设的末端消火栓也应按照原控制方式实施，其消火栓箱内的起泵按钮应保留，以保持系统的一致性。</w:t>
      </w:r>
    </w:p>
    <w:p w14:paraId="14ECD3F6">
      <w:pPr>
        <w:pStyle w:val="3"/>
        <w:bidi w:val="0"/>
        <w:rPr>
          <w:highlight w:val="none"/>
          <w:lang w:eastAsia="zh-CN"/>
        </w:rPr>
      </w:pPr>
      <w:bookmarkStart w:id="32" w:name="_Toc982"/>
      <w:r>
        <w:rPr>
          <w:highlight w:val="none"/>
          <w:lang w:eastAsia="zh-CN"/>
        </w:rPr>
        <w:t>自动喷水灭火系统</w:t>
      </w:r>
      <w:bookmarkEnd w:id="32"/>
    </w:p>
    <w:p w14:paraId="6D17D22E">
      <w:pPr>
        <w:pStyle w:val="4"/>
        <w:bidi w:val="0"/>
        <w:rPr>
          <w:lang w:eastAsia="zh-CN"/>
        </w:rPr>
      </w:pPr>
      <w:r>
        <w:rPr>
          <w:lang w:eastAsia="zh-CN"/>
        </w:rPr>
        <w:t>局部改造时，自动喷水灭火系统的设置应符合下列规定：</w:t>
      </w:r>
    </w:p>
    <w:p w14:paraId="45F676D4">
      <w:pPr>
        <w:bidi w:val="0"/>
        <w:rPr>
          <w:color w:val="auto"/>
          <w:highlight w:val="none"/>
          <w:lang w:eastAsia="zh-CN"/>
        </w:rPr>
      </w:pPr>
      <w:r>
        <w:rPr>
          <w:color w:val="auto"/>
          <w:highlight w:val="none"/>
          <w:lang w:eastAsia="zh-CN"/>
        </w:rPr>
        <w:t>1</w:t>
      </w:r>
      <w:r>
        <w:rPr>
          <w:rFonts w:hint="eastAsia"/>
          <w:color w:val="auto"/>
          <w:highlight w:val="none"/>
          <w:lang w:val="en-US" w:eastAsia="zh-CN"/>
        </w:rPr>
        <w:t xml:space="preserve"> </w:t>
      </w:r>
      <w:r>
        <w:rPr>
          <w:color w:val="auto"/>
          <w:highlight w:val="none"/>
          <w:lang w:eastAsia="zh-CN"/>
        </w:rPr>
        <w:t>未设置自动喷水灭火系统的建筑，</w:t>
      </w:r>
      <w:r>
        <w:rPr>
          <w:rFonts w:hint="eastAsia"/>
          <w:color w:val="auto"/>
          <w:highlight w:val="none"/>
          <w:lang w:val="en-US" w:eastAsia="zh-CN"/>
        </w:rPr>
        <w:t>当</w:t>
      </w:r>
      <w:r>
        <w:rPr>
          <w:color w:val="auto"/>
          <w:highlight w:val="none"/>
          <w:lang w:eastAsia="zh-CN"/>
        </w:rPr>
        <w:t>改造后的功能需要设置，非改造区域因继续使用等原因暂时无法增设时，</w:t>
      </w:r>
      <w:r>
        <w:rPr>
          <w:rFonts w:hint="eastAsia"/>
          <w:color w:val="auto"/>
          <w:highlight w:val="none"/>
          <w:lang w:val="en-US" w:eastAsia="zh-CN"/>
        </w:rPr>
        <w:t>可</w:t>
      </w:r>
      <w:r>
        <w:rPr>
          <w:color w:val="auto"/>
          <w:highlight w:val="none"/>
          <w:lang w:eastAsia="zh-CN"/>
        </w:rPr>
        <w:t>仅在改造区域内增设，但应为其他区域后续增设自动喷水灭火系统预留条件；</w:t>
      </w:r>
    </w:p>
    <w:p w14:paraId="51A6D15C">
      <w:pPr>
        <w:bidi w:val="0"/>
        <w:rPr>
          <w:color w:val="auto"/>
          <w:highlight w:val="none"/>
          <w:lang w:eastAsia="zh-CN"/>
        </w:rPr>
      </w:pPr>
      <w:r>
        <w:rPr>
          <w:color w:val="auto"/>
          <w:highlight w:val="none"/>
          <w:lang w:eastAsia="zh-CN"/>
        </w:rPr>
        <w:t>2</w:t>
      </w:r>
      <w:r>
        <w:rPr>
          <w:rFonts w:hint="eastAsia"/>
          <w:color w:val="auto"/>
          <w:highlight w:val="none"/>
          <w:lang w:val="en-US" w:eastAsia="zh-CN"/>
        </w:rPr>
        <w:t xml:space="preserve"> </w:t>
      </w:r>
      <w:r>
        <w:rPr>
          <w:color w:val="auto"/>
          <w:highlight w:val="none"/>
          <w:lang w:eastAsia="zh-CN"/>
        </w:rPr>
        <w:t>应</w:t>
      </w:r>
      <w:r>
        <w:rPr>
          <w:rFonts w:hint="eastAsia"/>
          <w:color w:val="auto"/>
          <w:highlight w:val="none"/>
          <w:lang w:val="en-US" w:eastAsia="zh-CN"/>
        </w:rPr>
        <w:t>根据</w:t>
      </w:r>
      <w:r>
        <w:rPr>
          <w:color w:val="auto"/>
          <w:highlight w:val="none"/>
          <w:lang w:eastAsia="zh-CN"/>
        </w:rPr>
        <w:t>设置区域的危险等级、净空高度和建筑面积，设置自动喷水灭火系统，当符合局部应用系统或简易自动喷水灭火系统的适用条件时，</w:t>
      </w:r>
      <w:r>
        <w:rPr>
          <w:rFonts w:hint="eastAsia"/>
          <w:color w:val="auto"/>
          <w:highlight w:val="none"/>
          <w:lang w:eastAsia="zh-CN"/>
        </w:rPr>
        <w:t>可</w:t>
      </w:r>
      <w:r>
        <w:rPr>
          <w:color w:val="auto"/>
          <w:highlight w:val="none"/>
          <w:lang w:eastAsia="zh-CN"/>
        </w:rPr>
        <w:t>按照对应的系统要求设置。</w:t>
      </w:r>
    </w:p>
    <w:p w14:paraId="2071F6BB">
      <w:pPr>
        <w:bidi w:val="0"/>
        <w:rPr>
          <w:highlight w:val="none"/>
          <w:lang w:eastAsia="zh-CN"/>
        </w:rPr>
      </w:pPr>
      <w:r>
        <w:rPr>
          <w:highlight w:val="none"/>
          <w:lang w:eastAsia="zh-CN"/>
        </w:rPr>
        <w:t>【条文说明】根据现行国家标准《自动喷水灭火系统设计规范》GB</w:t>
      </w:r>
      <w:r>
        <w:rPr>
          <w:rFonts w:hint="eastAsia"/>
          <w:highlight w:val="none"/>
          <w:lang w:val="en-US" w:eastAsia="zh-CN"/>
        </w:rPr>
        <w:t xml:space="preserve"> </w:t>
      </w:r>
      <w:r>
        <w:rPr>
          <w:highlight w:val="none"/>
          <w:lang w:eastAsia="zh-CN"/>
        </w:rPr>
        <w:t>50084的要求，根据设置区域的危险等级、净空高度和建筑面积不同，可分别设置自动喷水灭火系统、局部应用系统和简易自动喷水灭火系统。</w:t>
      </w:r>
    </w:p>
    <w:p w14:paraId="1FFD3C21">
      <w:pPr>
        <w:numPr>
          <w:ilvl w:val="0"/>
          <w:numId w:val="0"/>
        </w:numPr>
        <w:spacing w:line="360" w:lineRule="auto"/>
        <w:rPr>
          <w:rFonts w:ascii="Times New Roman" w:hAnsi="Times New Roman" w:eastAsia="宋体" w:cs="Times New Roman"/>
          <w:color w:val="auto"/>
          <w:sz w:val="24"/>
          <w:szCs w:val="24"/>
          <w:highlight w:val="none"/>
          <w:lang w:eastAsia="zh-CN"/>
        </w:rPr>
      </w:pPr>
      <w:r>
        <w:rPr>
          <w:rFonts w:hint="eastAsia" w:cs="Times New Roman"/>
          <w:color w:val="auto"/>
          <w:sz w:val="24"/>
          <w:szCs w:val="24"/>
          <w:highlight w:val="none"/>
          <w:lang w:val="en-US" w:eastAsia="zh-CN"/>
        </w:rPr>
        <w:t>5.5.2</w:t>
      </w:r>
      <w:r>
        <w:rPr>
          <w:rFonts w:ascii="Times New Roman" w:hAnsi="Times New Roman" w:eastAsia="宋体" w:cs="Times New Roman"/>
          <w:color w:val="auto"/>
          <w:sz w:val="24"/>
          <w:szCs w:val="24"/>
          <w:highlight w:val="none"/>
          <w:lang w:eastAsia="zh-CN"/>
        </w:rPr>
        <w:t>局部改造工程的喷射型或喷洒型自动射流灭火系统与自动喷水灭火系统共用消防水泵时，</w:t>
      </w:r>
      <w:r>
        <w:rPr>
          <w:rFonts w:hint="eastAsia" w:ascii="Times New Roman" w:hAnsi="Times New Roman" w:eastAsia="宋体" w:cs="Times New Roman"/>
          <w:color w:val="auto"/>
          <w:sz w:val="24"/>
          <w:szCs w:val="24"/>
          <w:highlight w:val="none"/>
          <w:lang w:val="en-US" w:eastAsia="zh-CN"/>
        </w:rPr>
        <w:t>当</w:t>
      </w:r>
      <w:r>
        <w:rPr>
          <w:rFonts w:ascii="Times New Roman" w:hAnsi="Times New Roman" w:eastAsia="宋体" w:cs="Times New Roman"/>
          <w:color w:val="auto"/>
          <w:sz w:val="24"/>
          <w:szCs w:val="24"/>
          <w:highlight w:val="none"/>
          <w:lang w:eastAsia="zh-CN"/>
        </w:rPr>
        <w:t>消防水池及泵房不在改造</w:t>
      </w:r>
      <w:r>
        <w:rPr>
          <w:rFonts w:hint="eastAsia" w:ascii="Times New Roman" w:hAnsi="Times New Roman" w:eastAsia="宋体" w:cs="Times New Roman"/>
          <w:color w:val="auto"/>
          <w:sz w:val="24"/>
          <w:szCs w:val="24"/>
          <w:highlight w:val="none"/>
          <w:lang w:eastAsia="zh-CN"/>
        </w:rPr>
        <w:t>范围</w:t>
      </w:r>
      <w:r>
        <w:rPr>
          <w:rFonts w:ascii="Times New Roman" w:hAnsi="Times New Roman" w:eastAsia="宋体" w:cs="Times New Roman"/>
          <w:color w:val="auto"/>
          <w:sz w:val="24"/>
          <w:szCs w:val="24"/>
          <w:highlight w:val="none"/>
          <w:lang w:eastAsia="zh-CN"/>
        </w:rPr>
        <w:t>内，系统设计水量、水压及一次灭火用水量可按满足较大一个系统使用的要求确定。</w:t>
      </w:r>
    </w:p>
    <w:p w14:paraId="018ACC77">
      <w:pPr>
        <w:bidi w:val="0"/>
        <w:rPr>
          <w:rFonts w:ascii="Times New Roman" w:hAnsi="Times New Roman" w:eastAsia="宋体" w:cs="Times New Roman"/>
          <w:color w:val="auto"/>
          <w:szCs w:val="24"/>
          <w:highlight w:val="none"/>
          <w:lang w:eastAsia="zh-CN"/>
        </w:rPr>
      </w:pPr>
      <w:r>
        <w:rPr>
          <w:highlight w:val="none"/>
          <w:lang w:eastAsia="zh-CN"/>
        </w:rPr>
        <w:t>【条文说明】现行国家标准《自动跟踪定位射流灭火系统技术标准》GB</w:t>
      </w:r>
      <w:r>
        <w:rPr>
          <w:rFonts w:hint="eastAsia"/>
          <w:highlight w:val="none"/>
          <w:lang w:val="en-US" w:eastAsia="zh-CN"/>
        </w:rPr>
        <w:t xml:space="preserve"> </w:t>
      </w:r>
      <w:r>
        <w:rPr>
          <w:highlight w:val="none"/>
          <w:lang w:eastAsia="zh-CN"/>
        </w:rPr>
        <w:t>51427第4.5.3条规定喷射型或喷洒型自动射流灭火系统与自动喷水灭火系统共用消防水泵时，如两个系统同时工作，系统设计水量、水压及一次灭火用水量应满足两个系统同时使用的要求。改造工程中喷射型或喷洒型自动射流灭火系统与自动喷水灭火系统共用消防水泵且两个系统服务区域无防火分隔的情况比较常见，存在两个系统同时工作的可能性，但由于消防水池、水泵房不在改造范围内，增加消防水量或更换消防水泵极其困难，因此放宽了对系统设计水量、水压及一次灭火用水量的要求。</w:t>
      </w:r>
    </w:p>
    <w:p w14:paraId="6AB0F05D">
      <w:pPr>
        <w:pStyle w:val="3"/>
        <w:bidi w:val="0"/>
        <w:rPr>
          <w:highlight w:val="none"/>
          <w:lang w:eastAsia="zh-CN"/>
        </w:rPr>
      </w:pPr>
      <w:bookmarkStart w:id="33" w:name="_Toc11681"/>
      <w:r>
        <w:rPr>
          <w:highlight w:val="none"/>
          <w:lang w:eastAsia="zh-CN"/>
        </w:rPr>
        <w:t>其他灭火系统</w:t>
      </w:r>
      <w:bookmarkEnd w:id="33"/>
    </w:p>
    <w:p w14:paraId="709A8599">
      <w:pPr>
        <w:pStyle w:val="4"/>
        <w:bidi w:val="0"/>
      </w:pPr>
      <w:r>
        <w:rPr>
          <w:lang w:eastAsia="zh-CN"/>
        </w:rPr>
        <w:t>既有建筑改造</w:t>
      </w:r>
      <w:r>
        <w:rPr>
          <w:rFonts w:hint="eastAsia"/>
          <w:lang w:val="en-US" w:eastAsia="zh-CN"/>
        </w:rPr>
        <w:t>工程中</w:t>
      </w:r>
      <w:r>
        <w:rPr>
          <w:lang w:eastAsia="zh-CN"/>
        </w:rPr>
        <w:t>灭火器的设置应执行现行标准。</w:t>
      </w:r>
    </w:p>
    <w:p w14:paraId="602E8945">
      <w:pPr>
        <w:rPr>
          <w:highlight w:val="none"/>
        </w:rPr>
      </w:pPr>
      <w:r>
        <w:rPr>
          <w:rFonts w:hint="eastAsia"/>
          <w:highlight w:val="none"/>
        </w:rPr>
        <w:br w:type="page"/>
      </w:r>
    </w:p>
    <w:p w14:paraId="527FD505">
      <w:pPr>
        <w:pStyle w:val="2"/>
        <w:spacing w:before="156" w:after="156"/>
        <w:rPr>
          <w:rFonts w:cs="Times New Roman"/>
          <w:color w:val="000000" w:themeColor="text1"/>
          <w:highlight w:val="none"/>
          <w14:textFill>
            <w14:solidFill>
              <w14:schemeClr w14:val="tx1"/>
            </w14:solidFill>
          </w14:textFill>
        </w:rPr>
      </w:pPr>
      <w:bookmarkStart w:id="34" w:name="_Toc7227"/>
      <w:r>
        <w:rPr>
          <w:rFonts w:hint="eastAsia" w:cs="Times New Roman"/>
          <w:color w:val="000000" w:themeColor="text1"/>
          <w:highlight w:val="none"/>
          <w:lang w:val="en-US" w:eastAsia="zh-CN"/>
          <w14:textFill>
            <w14:solidFill>
              <w14:schemeClr w14:val="tx1"/>
            </w14:solidFill>
          </w14:textFill>
        </w:rPr>
        <w:t>消防通风</w:t>
      </w:r>
      <w:bookmarkEnd w:id="34"/>
    </w:p>
    <w:p w14:paraId="5E45B506">
      <w:pPr>
        <w:pStyle w:val="3"/>
        <w:snapToGrid w:val="0"/>
        <w:spacing w:before="0" w:beforeLines="0" w:after="0" w:afterLines="0" w:line="100" w:lineRule="exact"/>
        <w:ind w:firstLine="0"/>
        <w:rPr>
          <w:rFonts w:ascii="Times New Roman" w:hAnsi="Times New Roman" w:cs="Times New Roman"/>
          <w:vanish/>
          <w:color w:val="000000" w:themeColor="text1"/>
          <w:highlight w:val="none"/>
          <w14:textFill>
            <w14:solidFill>
              <w14:schemeClr w14:val="tx1"/>
            </w14:solidFill>
          </w14:textFill>
        </w:rPr>
      </w:pPr>
      <w:r>
        <w:rPr>
          <w:rFonts w:ascii="Times New Roman" w:hAnsi="Times New Roman" w:cs="Times New Roman"/>
          <w:vanish/>
          <w:color w:val="000000" w:themeColor="text1"/>
          <w:highlight w:val="none"/>
          <w14:textFill>
            <w14:solidFill>
              <w14:schemeClr w14:val="tx1"/>
            </w14:solidFill>
          </w14:textFill>
        </w:rPr>
        <w:t>消防</w:t>
      </w:r>
    </w:p>
    <w:p w14:paraId="04BCD202">
      <w:pPr>
        <w:pStyle w:val="3"/>
        <w:spacing w:before="156" w:after="156"/>
        <w:ind w:firstLine="0"/>
        <w:rPr>
          <w:rFonts w:ascii="Times New Roman" w:hAnsi="Times New Roman" w:cs="Times New Roman"/>
          <w:color w:val="000000" w:themeColor="text1"/>
          <w:highlight w:val="none"/>
          <w14:textFill>
            <w14:solidFill>
              <w14:schemeClr w14:val="tx1"/>
            </w14:solidFill>
          </w14:textFill>
        </w:rPr>
      </w:pPr>
      <w:bookmarkStart w:id="35" w:name="_Toc12461"/>
      <w:r>
        <w:rPr>
          <w:rFonts w:hint="eastAsia" w:ascii="Times New Roman" w:hAnsi="Times New Roman" w:cs="Times New Roman"/>
          <w:color w:val="000000" w:themeColor="text1"/>
          <w:highlight w:val="none"/>
          <w:lang w:val="en-US" w:eastAsia="zh-CN"/>
          <w14:textFill>
            <w14:solidFill>
              <w14:schemeClr w14:val="tx1"/>
            </w14:solidFill>
          </w14:textFill>
        </w:rPr>
        <w:t>一般规定</w:t>
      </w:r>
      <w:bookmarkEnd w:id="35"/>
    </w:p>
    <w:p w14:paraId="11691342">
      <w:pPr>
        <w:pStyle w:val="4"/>
        <w:bidi w:val="0"/>
        <w:rPr>
          <w:rFonts w:hint="eastAsia"/>
          <w:lang w:val="en-US" w:eastAsia="zh-CN"/>
        </w:rPr>
      </w:pPr>
      <w:r>
        <w:rPr>
          <w:rFonts w:hint="eastAsia"/>
          <w:lang w:val="en-US" w:eastAsia="zh-CN"/>
        </w:rPr>
        <w:t>既有建筑改造工程中，防烟和排烟系统的设计、审查及验收，应根据不同的改造形式、改造范围确定相应的适用标准。</w:t>
      </w:r>
    </w:p>
    <w:p w14:paraId="3391588A">
      <w:pPr>
        <w:bidi w:val="0"/>
        <w:rPr>
          <w:rFonts w:hint="eastAsia"/>
          <w:highlight w:val="none"/>
          <w:lang w:val="en-US" w:eastAsia="zh-CN"/>
        </w:rPr>
      </w:pPr>
      <w:r>
        <w:rPr>
          <w:rFonts w:hint="eastAsia"/>
          <w:highlight w:val="none"/>
          <w:lang w:val="en-US" w:eastAsia="zh-CN"/>
        </w:rPr>
        <w:t>【条文说明】考虑到既有建筑改造工程中防烟和排烟系统的设计、审查及验收适用的标准，很难按现行标准全部执行。改造时鼓励按现行标准执行，当确有困难时，改造区域内防烟和排烟系统可按本标准执行。</w:t>
      </w:r>
    </w:p>
    <w:p w14:paraId="5A5FD7BE">
      <w:pPr>
        <w:pStyle w:val="4"/>
        <w:bidi w:val="0"/>
        <w:rPr>
          <w:rFonts w:hint="eastAsia"/>
          <w:lang w:val="en-US" w:eastAsia="zh-CN"/>
        </w:rPr>
      </w:pPr>
      <w:r>
        <w:rPr>
          <w:rFonts w:hint="eastAsia"/>
          <w:lang w:val="en-US" w:eastAsia="zh-CN"/>
        </w:rPr>
        <w:t>既有建筑改造工程中，新增防排烟系统应执行现行标准。</w:t>
      </w:r>
    </w:p>
    <w:p w14:paraId="0178F4A1">
      <w:pPr>
        <w:pStyle w:val="4"/>
        <w:bidi w:val="0"/>
        <w:rPr>
          <w:rFonts w:hint="default"/>
          <w:lang w:val="en-US" w:eastAsia="zh-CN"/>
        </w:rPr>
      </w:pPr>
      <w:r>
        <w:rPr>
          <w:rFonts w:hint="eastAsia"/>
          <w:lang w:val="en-US" w:eastAsia="zh-CN"/>
        </w:rPr>
        <w:t>当使用原建筑保留的机械加压送风竖井、机械排烟竖井时，土建风道内表面应光滑，土建风道的密闭性应满足火灾加压送风或排烟的要求；当涉及更换消防风机时，风机设计风量不应小于该系统计算风量的 1.2 倍。</w:t>
      </w:r>
    </w:p>
    <w:p w14:paraId="5E9D5940">
      <w:pPr>
        <w:bidi w:val="0"/>
        <w:rPr>
          <w:rFonts w:hint="eastAsia"/>
          <w:highlight w:val="none"/>
          <w:lang w:val="en-US" w:eastAsia="zh-CN"/>
        </w:rPr>
      </w:pPr>
      <w:r>
        <w:rPr>
          <w:rFonts w:hint="eastAsia"/>
          <w:highlight w:val="none"/>
          <w:lang w:val="en-US" w:eastAsia="zh-CN"/>
        </w:rPr>
        <w:t>【条文说明】确有困难指竖井因受原有建筑梁、柱、剪力墙、结构筒体等影响不能扩大且无法调整。另外，也可考虑采用耐火极限不低于1.00h的复合式风道、装配式风道等。</w:t>
      </w:r>
    </w:p>
    <w:p w14:paraId="24FB0E79">
      <w:pPr>
        <w:bidi w:val="0"/>
        <w:rPr>
          <w:rFonts w:hint="default"/>
          <w:highlight w:val="none"/>
          <w:lang w:val="en-US" w:eastAsia="zh-CN"/>
        </w:rPr>
      </w:pPr>
      <w:r>
        <w:rPr>
          <w:rFonts w:hint="eastAsia"/>
          <w:highlight w:val="none"/>
          <w:lang w:val="en-US" w:eastAsia="zh-CN"/>
        </w:rPr>
        <w:t>当涉及更换风机时，应保证系统风量、风压满足要求，考虑漏风量及风机制造标准中允许风量的偏差等因素影响，风机设计风量宜按《建筑防排烟系统技术标准》GB 51251要求执行，原土建风道内设计风速可按1.2倍酌情放宽。</w:t>
      </w:r>
    </w:p>
    <w:p w14:paraId="5D58E8FB">
      <w:pPr>
        <w:pStyle w:val="4"/>
        <w:bidi w:val="0"/>
        <w:rPr>
          <w:rFonts w:hint="eastAsia"/>
          <w:lang w:val="en-US" w:eastAsia="zh-CN"/>
        </w:rPr>
      </w:pPr>
      <w:r>
        <w:rPr>
          <w:rFonts w:hint="eastAsia"/>
          <w:lang w:val="en-US" w:eastAsia="zh-CN"/>
        </w:rPr>
        <w:t>改造区域内的加压送风风机、排烟风机、补风风机宜按现行标准设置在专用机房内。安装条件受限确有困难时，应按下列规定执行：</w:t>
      </w:r>
    </w:p>
    <w:p w14:paraId="5832CE0A">
      <w:pPr>
        <w:bidi w:val="0"/>
        <w:rPr>
          <w:rFonts w:hint="eastAsia"/>
          <w:color w:val="auto"/>
          <w:highlight w:val="none"/>
          <w:lang w:val="en-US" w:eastAsia="zh-CN"/>
        </w:rPr>
      </w:pPr>
      <w:r>
        <w:rPr>
          <w:rFonts w:hint="eastAsia"/>
          <w:color w:val="auto"/>
          <w:highlight w:val="none"/>
          <w:lang w:val="en-US" w:eastAsia="zh-CN"/>
        </w:rPr>
        <w:t>1 室外安装的消防风机应设置在具有耐火极限不低于1.00h 、通风与耐候性能良好的保护箱体内或装配式风机房内, 风机两侧应留有600mm以上的检修空间；</w:t>
      </w:r>
    </w:p>
    <w:p w14:paraId="686AE00C">
      <w:pPr>
        <w:bidi w:val="0"/>
        <w:rPr>
          <w:rFonts w:hint="default"/>
          <w:color w:val="auto"/>
          <w:highlight w:val="none"/>
          <w:lang w:val="en-US" w:eastAsia="zh-CN"/>
        </w:rPr>
      </w:pPr>
      <w:r>
        <w:rPr>
          <w:rFonts w:hint="eastAsia"/>
          <w:color w:val="auto"/>
          <w:highlight w:val="none"/>
          <w:lang w:val="en-US" w:eastAsia="zh-CN"/>
        </w:rPr>
        <w:t>2 室内吊顶安装的消防风机应设置在专用风机小室内或装配式风机房内，风机小室应采用耐火极限不低于2.0h的防火隔板和检修门与其他部位隔开，风机两侧应留有600mm以上的检修空间；</w:t>
      </w:r>
    </w:p>
    <w:p w14:paraId="529548CF">
      <w:pPr>
        <w:bidi w:val="0"/>
        <w:rPr>
          <w:rFonts w:hint="eastAsia"/>
          <w:color w:val="auto"/>
          <w:highlight w:val="none"/>
          <w:lang w:val="en-US" w:eastAsia="zh-CN"/>
        </w:rPr>
      </w:pPr>
      <w:r>
        <w:rPr>
          <w:rFonts w:hint="eastAsia"/>
          <w:color w:val="auto"/>
          <w:highlight w:val="none"/>
          <w:lang w:val="en-US" w:eastAsia="zh-CN"/>
        </w:rPr>
        <w:t>3 消防风机专用装配式风机房应符合现行国家标准《建筑设计防火规范》GB 50016 的相关规定。</w:t>
      </w:r>
    </w:p>
    <w:p w14:paraId="733C6BCC">
      <w:pPr>
        <w:bidi w:val="0"/>
        <w:rPr>
          <w:rFonts w:hint="eastAsia"/>
          <w:highlight w:val="none"/>
          <w:lang w:val="en-US" w:eastAsia="zh-CN"/>
        </w:rPr>
      </w:pPr>
      <w:r>
        <w:rPr>
          <w:rFonts w:hint="eastAsia"/>
          <w:highlight w:val="none"/>
          <w:lang w:val="en-US" w:eastAsia="zh-CN"/>
        </w:rPr>
        <w:t>【条文说明】既有建筑消防风机室内吊装或安装在室外的情况十分普遍。改造工程往往不允许增加建筑面积，为防排烟风机设置专用土建机房实施困难，因此放宽了相关要求。</w:t>
      </w:r>
    </w:p>
    <w:p w14:paraId="08775FB7">
      <w:pPr>
        <w:bidi w:val="0"/>
        <w:rPr>
          <w:rFonts w:hint="eastAsia"/>
          <w:highlight w:val="none"/>
          <w:lang w:val="en-US" w:eastAsia="zh-CN"/>
        </w:rPr>
      </w:pPr>
      <w:r>
        <w:rPr>
          <w:rFonts w:hint="eastAsia"/>
          <w:highlight w:val="none"/>
          <w:lang w:val="en-US" w:eastAsia="zh-CN"/>
        </w:rPr>
        <w:t>消防风机吊装于建筑室内时，应设置满足现行国家工程建设消防技术标准的耐火极限要求、便于检修的专用风机小室，且该风机小室不应布置在办公、车间等有人员工作或生产的场所。专用风机小室应采用耐火极限不低于 2.00h 燃烧性能等级为A 级的材料搭建（围合）且检修门达到甲级防火门标准，风机周围满足检修操作要求的空间。</w:t>
      </w:r>
    </w:p>
    <w:p w14:paraId="69EB61F2">
      <w:pPr>
        <w:pStyle w:val="4"/>
        <w:bidi w:val="0"/>
        <w:rPr>
          <w:rFonts w:hint="eastAsia"/>
          <w:lang w:val="en-US" w:eastAsia="zh-CN"/>
        </w:rPr>
      </w:pPr>
      <w:r>
        <w:rPr>
          <w:rFonts w:hint="eastAsia"/>
          <w:lang w:val="en-US" w:eastAsia="zh-CN"/>
        </w:rPr>
        <w:t>使用功能发生改变的整体改造项目，防烟和排烟系统控制应按现行标准执行；使用功能未发生改变的整体改造项目，以及使用功能发生改变的局部改造项目，其防烟、排烟系统的控制应满足各自改造执行的标准相应的要求；使用功能未发生改变的局部改造和既有建筑纯内部装修项目，防烟和排烟系统的系统控制可适用原标准；新增的防烟和排烟系统控制，应按现行标准执行。</w:t>
      </w:r>
    </w:p>
    <w:p w14:paraId="12177844">
      <w:pPr>
        <w:bidi w:val="0"/>
        <w:rPr>
          <w:rFonts w:hint="eastAsia"/>
          <w:highlight w:val="none"/>
          <w:lang w:val="en-US" w:eastAsia="zh-CN"/>
        </w:rPr>
      </w:pPr>
      <w:r>
        <w:rPr>
          <w:rFonts w:hint="eastAsia"/>
          <w:highlight w:val="none"/>
          <w:lang w:val="en-US" w:eastAsia="zh-CN"/>
        </w:rPr>
        <w:t>【条文说明】考虑到既有建筑中消防联动控制系统，原设计标准与现行标准差异较大，对系统整体改造难度较大，对防排烟系统的设备及阀门的联动控制，如电气专业具备同步执行现行标准的条件，则按现行标准执行改造，若不具备，应阐明改造中存在的困难及限制条件等原因，按不低于原建筑建造时的标准执行。</w:t>
      </w:r>
    </w:p>
    <w:p w14:paraId="6E505FEF">
      <w:pPr>
        <w:pStyle w:val="3"/>
        <w:bidi w:val="0"/>
        <w:rPr>
          <w:rFonts w:hint="eastAsia"/>
          <w:highlight w:val="none"/>
        </w:rPr>
      </w:pPr>
      <w:bookmarkStart w:id="36" w:name="_Toc9740"/>
      <w:r>
        <w:rPr>
          <w:rFonts w:hint="eastAsia"/>
          <w:highlight w:val="none"/>
        </w:rPr>
        <w:t>防烟系统</w:t>
      </w:r>
      <w:bookmarkEnd w:id="36"/>
    </w:p>
    <w:p w14:paraId="65CA6399">
      <w:pPr>
        <w:pStyle w:val="4"/>
        <w:bidi w:val="0"/>
        <w:rPr>
          <w:rFonts w:hint="eastAsia"/>
          <w:lang w:val="en-US" w:eastAsia="zh-CN"/>
        </w:rPr>
      </w:pPr>
      <w:r>
        <w:rPr>
          <w:rFonts w:hint="eastAsia"/>
          <w:lang w:val="en-US" w:eastAsia="zh-CN"/>
        </w:rPr>
        <w:t>机械加压送风系统宜按现行标准执行，当执行确有困难时，可按不低于原建造时的标准执行，按原标准经检测合格后的防烟系统可保留使用。</w:t>
      </w:r>
    </w:p>
    <w:p w14:paraId="7427D611">
      <w:pPr>
        <w:bidi w:val="0"/>
        <w:rPr>
          <w:rFonts w:hint="eastAsia"/>
          <w:highlight w:val="none"/>
          <w:lang w:val="en-US" w:eastAsia="zh-CN"/>
        </w:rPr>
      </w:pPr>
      <w:r>
        <w:rPr>
          <w:rFonts w:hint="eastAsia"/>
          <w:highlight w:val="none"/>
          <w:lang w:val="en-US" w:eastAsia="zh-CN"/>
        </w:rPr>
        <w:t>【条文说明】机械加压送风系统原有土建风道因受原有建筑梁、柱、剪力 墙、结构筒体等影响，尤其是高层建筑核心筒部分，加压送风竖井难以扩大，此时加压送风系统可适用原有标准。使用功能发生改变且不涉及楼梯间或前室改造的局部改造项目，由于是局部改造，涉及与非改造区域复杂的关系，有条件时鼓励按现行标准执行，当确有困难时，也可以按不低于原标准执行。</w:t>
      </w:r>
    </w:p>
    <w:p w14:paraId="28E887A8">
      <w:pPr>
        <w:pStyle w:val="4"/>
        <w:bidi w:val="0"/>
        <w:rPr>
          <w:rFonts w:hint="eastAsia"/>
          <w:lang w:val="en-US" w:eastAsia="zh-CN"/>
        </w:rPr>
      </w:pPr>
      <w:r>
        <w:rPr>
          <w:rFonts w:hint="eastAsia"/>
          <w:lang w:val="en-US" w:eastAsia="zh-CN"/>
        </w:rPr>
        <w:t>当疏散楼梯间设置加压送风竖井（道）有困难，且楼梯间自身高度不大于50m时，可采用单点部位送风方式的直灌式加压送风系统，送风量应按《建筑防烟排烟系统技术标准》GB 51251的规定执行。</w:t>
      </w:r>
    </w:p>
    <w:p w14:paraId="27A1AB8B">
      <w:pPr>
        <w:bidi w:val="0"/>
        <w:rPr>
          <w:rFonts w:hint="eastAsia"/>
          <w:highlight w:val="none"/>
          <w:lang w:val="en-US" w:eastAsia="zh-CN"/>
        </w:rPr>
      </w:pPr>
      <w:r>
        <w:rPr>
          <w:rFonts w:hint="eastAsia"/>
          <w:highlight w:val="none"/>
          <w:lang w:val="en-US" w:eastAsia="zh-CN"/>
        </w:rPr>
        <w:t>【条文说明】既有建筑改造工程新增楼梯间或前室时，配套防烟设施需要同步进行设计，此时防烟系统的设置应按现行标准执行。</w:t>
      </w:r>
    </w:p>
    <w:p w14:paraId="248887D5">
      <w:pPr>
        <w:pStyle w:val="4"/>
        <w:bidi w:val="0"/>
        <w:rPr>
          <w:rFonts w:hint="eastAsia"/>
          <w:lang w:val="en-US" w:eastAsia="zh-CN"/>
        </w:rPr>
      </w:pPr>
      <w:r>
        <w:rPr>
          <w:rFonts w:hint="eastAsia"/>
          <w:lang w:val="en-US" w:eastAsia="zh-CN"/>
        </w:rPr>
        <w:t>剪刀楼梯间原合用加压送风系统，受送风井道建筑条件限制分设系统困难时，可维持原系统形式。</w:t>
      </w:r>
    </w:p>
    <w:p w14:paraId="281E146A">
      <w:pPr>
        <w:bidi w:val="0"/>
        <w:rPr>
          <w:rFonts w:hint="eastAsia"/>
          <w:highlight w:val="none"/>
          <w:lang w:val="en-US" w:eastAsia="zh-CN"/>
        </w:rPr>
      </w:pPr>
      <w:r>
        <w:rPr>
          <w:rFonts w:hint="eastAsia"/>
          <w:highlight w:val="none"/>
          <w:lang w:val="en-US" w:eastAsia="zh-CN"/>
        </w:rPr>
        <w:t>【条文说明】现行国家标准《消防设施通用规范》GB 55036第11.2.2条第2 款要求剪刀楼梯两个楼梯间的机械加压送风系统应分别独立设置，而原国家标准《高层建筑防火设计规范》GB 50045-1995（2005 版）第 8.3.4 条：“剪刀楼梯间可合用一个风道，其风量应按二个楼梯间风量计算，送风口应分别设置。”既有建筑剪刀楼梯间加压送风大多采用合用风道、风机，风量加倍的系统，当楼梯间土建条件不改造时，无法增加送风竖井，分设系统实施困难，故放宽要求，可维持原系统形式，但系统加压送风量仍需满足两个楼梯间同时加压送风要求。</w:t>
      </w:r>
    </w:p>
    <w:p w14:paraId="0699B395">
      <w:pPr>
        <w:pStyle w:val="4"/>
        <w:bidi w:val="0"/>
        <w:rPr>
          <w:rFonts w:hint="default"/>
          <w:lang w:val="en-US" w:eastAsia="zh-CN"/>
        </w:rPr>
      </w:pPr>
      <w:r>
        <w:rPr>
          <w:rFonts w:hint="eastAsia"/>
          <w:lang w:val="en-US" w:eastAsia="zh-CN"/>
        </w:rPr>
        <w:t>使用功能发生改变的整体改造项目，设置机械加压送风系统的封闭楼梯间、防烟楼梯间应按《建筑防火通用规范》GB 55037的规定设置应急排烟窗；使用功能未发生改变的整体改造项目，以及局部改造项目，设置机械加压送风系统的封闭楼梯间、防烟楼梯间宜设置应急排烟窗。</w:t>
      </w:r>
    </w:p>
    <w:p w14:paraId="7CB3AEF2">
      <w:pPr>
        <w:pStyle w:val="3"/>
        <w:bidi w:val="0"/>
        <w:rPr>
          <w:rFonts w:hint="eastAsia"/>
          <w:highlight w:val="none"/>
        </w:rPr>
      </w:pPr>
      <w:bookmarkStart w:id="37" w:name="_Toc29564"/>
      <w:r>
        <w:rPr>
          <w:rFonts w:hint="eastAsia"/>
          <w:highlight w:val="none"/>
        </w:rPr>
        <w:t>排烟系统</w:t>
      </w:r>
      <w:bookmarkEnd w:id="37"/>
    </w:p>
    <w:p w14:paraId="6676D4C5">
      <w:pPr>
        <w:pStyle w:val="4"/>
        <w:bidi w:val="0"/>
        <w:rPr>
          <w:rFonts w:hint="eastAsia"/>
          <w:lang w:val="en-US" w:eastAsia="zh-CN"/>
        </w:rPr>
      </w:pPr>
      <w:r>
        <w:rPr>
          <w:rFonts w:hint="eastAsia"/>
          <w:lang w:val="en-US" w:eastAsia="zh-CN"/>
        </w:rPr>
        <w:t>使用功能发生改变的整体改造项目，排烟系统应按现行标准执行。</w:t>
      </w:r>
    </w:p>
    <w:p w14:paraId="0D7E1AF2">
      <w:pPr>
        <w:pStyle w:val="4"/>
        <w:bidi w:val="0"/>
        <w:rPr>
          <w:rFonts w:hint="eastAsia"/>
        </w:rPr>
      </w:pPr>
      <w:r>
        <w:rPr>
          <w:rFonts w:hint="eastAsia"/>
          <w:lang w:val="en-US" w:eastAsia="zh-CN"/>
        </w:rPr>
        <w:t>除使用功能发生改变的整体改造项目外，改造区域的内走道排烟系统宜按现行标准执行；当排烟竖井设置不能满足现行标准要求且无法调整时，内走道排烟系统可适用原标准，按原标准经检测合格后的排烟系统可保留使用。</w:t>
      </w:r>
    </w:p>
    <w:p w14:paraId="5919C7CA">
      <w:pPr>
        <w:bidi w:val="0"/>
        <w:rPr>
          <w:rFonts w:hint="default"/>
          <w:highlight w:val="none"/>
          <w:lang w:eastAsia="zh-CN"/>
        </w:rPr>
      </w:pPr>
      <w:r>
        <w:rPr>
          <w:rFonts w:hint="eastAsia"/>
          <w:highlight w:val="none"/>
          <w:lang w:val="en-US" w:eastAsia="zh-CN"/>
        </w:rPr>
        <w:t>【条文说明】使用功能未发生改变的整体改造项目，其建筑的消防定性往往不会改变，改造时鼓励按现行标准执行，当确有困难（如排烟竖井设置不能满足现行标准要求且无法调整等）时，也可以按不低于原标准执行；使用功能发生改变的局部改造项目，由于是局部改造，涉及与非改造区域复杂的关系，改造区域的排烟系统，有条件时鼓励按现行标准执行，当确有困难时，也可以按不低于原标准执行；以上两种情况的处理，符合国家对既有建筑改造的总体要求</w:t>
      </w:r>
      <w:r>
        <w:rPr>
          <w:rFonts w:hint="default"/>
          <w:highlight w:val="none"/>
          <w:lang w:eastAsia="zh-CN"/>
        </w:rPr>
        <w:t>。</w:t>
      </w:r>
    </w:p>
    <w:p w14:paraId="41C24A04">
      <w:pPr>
        <w:pStyle w:val="4"/>
        <w:bidi w:val="0"/>
        <w:rPr>
          <w:rFonts w:hint="eastAsia"/>
          <w:lang w:val="en-US" w:eastAsia="zh-CN"/>
        </w:rPr>
      </w:pPr>
      <w:r>
        <w:rPr>
          <w:rFonts w:hint="eastAsia"/>
          <w:lang w:val="en-US" w:eastAsia="zh-CN"/>
        </w:rPr>
        <w:t>改造区域内设置自然排烟设施的场所，自然排烟窗的设置宜按现行标准执行。当确有困难时，自然排烟窗应满足下列规定：</w:t>
      </w:r>
    </w:p>
    <w:p w14:paraId="4686CBB6">
      <w:pPr>
        <w:bidi w:val="0"/>
        <w:rPr>
          <w:rFonts w:hint="eastAsia"/>
          <w:color w:val="auto"/>
          <w:highlight w:val="none"/>
          <w:lang w:val="en-US" w:eastAsia="zh-CN"/>
        </w:rPr>
      </w:pPr>
      <w:r>
        <w:rPr>
          <w:rFonts w:hint="eastAsia"/>
          <w:color w:val="auto"/>
          <w:highlight w:val="none"/>
          <w:lang w:val="en-US" w:eastAsia="zh-CN"/>
        </w:rPr>
        <w:t>1 中庭、剧场舞台空间的自然排烟窗的有效排烟面积不应小于该场所面积的 5%；</w:t>
      </w:r>
    </w:p>
    <w:p w14:paraId="71055ED5">
      <w:pPr>
        <w:bidi w:val="0"/>
        <w:rPr>
          <w:rFonts w:hint="default"/>
          <w:color w:val="auto"/>
          <w:highlight w:val="none"/>
          <w:lang w:val="en-US" w:eastAsia="zh-CN"/>
        </w:rPr>
      </w:pPr>
      <w:r>
        <w:rPr>
          <w:rFonts w:hint="eastAsia"/>
          <w:color w:val="auto"/>
          <w:highlight w:val="none"/>
          <w:lang w:val="en-US" w:eastAsia="zh-CN"/>
        </w:rPr>
        <w:t>2 对于净高小于或等于6.0m的地上场所，自然排烟窗的有效排烟面积不应小于该场所建筑面积的2%，且自然排烟窗的高度应设于储烟仓内，受条件限制时，自然排烟窗底边高度可低于储烟仓下沿，但不应低于净空高度的1/2；净高大于6.0m的地上场所，自然排烟窗的设置按现行标准执行；</w:t>
      </w:r>
    </w:p>
    <w:p w14:paraId="74E8DA99">
      <w:pPr>
        <w:bidi w:val="0"/>
        <w:rPr>
          <w:rFonts w:hint="eastAsia"/>
          <w:color w:val="auto"/>
          <w:highlight w:val="none"/>
          <w:lang w:val="en-US" w:eastAsia="zh-CN"/>
        </w:rPr>
      </w:pPr>
      <w:r>
        <w:rPr>
          <w:rFonts w:hint="eastAsia"/>
          <w:color w:val="auto"/>
          <w:highlight w:val="none"/>
          <w:lang w:val="en-US" w:eastAsia="zh-CN"/>
        </w:rPr>
        <w:t>3 作为自然排烟口的可开启外窗，当采用开窗角大于 30°的悬窗或平开窗时，可按开启扇面积计算有效面积，当采用开窗角度小于或等于 30°的悬窗或平开窗以及其他类型外窗时，应按现行国家标准《建筑防烟排烟系统技术标准》GB 51251有关规定计算自然排烟窗有效面积；</w:t>
      </w:r>
    </w:p>
    <w:p w14:paraId="2827DAA4">
      <w:pPr>
        <w:bidi w:val="0"/>
        <w:rPr>
          <w:rFonts w:hint="default"/>
          <w:color w:val="auto"/>
          <w:highlight w:val="none"/>
          <w:lang w:eastAsia="zh-CN"/>
        </w:rPr>
      </w:pPr>
      <w:r>
        <w:rPr>
          <w:rFonts w:hint="default"/>
          <w:color w:val="auto"/>
          <w:highlight w:val="none"/>
          <w:lang w:eastAsia="zh-CN"/>
        </w:rPr>
        <w:t>4 当自然排烟口无法满足上述规定时，应增设机械排烟系统。</w:t>
      </w:r>
    </w:p>
    <w:p w14:paraId="3C0D363A">
      <w:pPr>
        <w:bidi w:val="0"/>
        <w:rPr>
          <w:rFonts w:hint="eastAsia"/>
          <w:highlight w:val="none"/>
          <w:lang w:val="en-US" w:eastAsia="zh-CN"/>
        </w:rPr>
      </w:pPr>
      <w:r>
        <w:rPr>
          <w:rFonts w:hint="eastAsia"/>
          <w:highlight w:val="none"/>
          <w:lang w:val="en-US" w:eastAsia="zh-CN"/>
        </w:rPr>
        <w:t>【条文说明】改造项目中原自然排烟场所排烟口一般难以满足现行消防技术标准的要求，同时受建筑立面、层高、平面布局等土建条件制约，因此本条放宽了自然排烟场所的排烟窗开启方式、有效面积计算及安装高度的要求。</w:t>
      </w:r>
    </w:p>
    <w:p w14:paraId="713A7EF6">
      <w:pPr>
        <w:pStyle w:val="4"/>
        <w:bidi w:val="0"/>
        <w:rPr>
          <w:rFonts w:hint="eastAsia"/>
          <w:lang w:val="en-US" w:eastAsia="zh-CN"/>
        </w:rPr>
      </w:pPr>
      <w:r>
        <w:rPr>
          <w:rFonts w:hint="eastAsia"/>
          <w:lang w:val="en-US" w:eastAsia="zh-CN"/>
        </w:rPr>
        <w:t>改造区域内净高小于或等于6.0m的场所，其机械排烟系统的单个排烟口的最大允许排烟量可按风口有效面积与风速乘积计算，排烟口最大风速按不宜大于10m/s计算确定。</w:t>
      </w:r>
    </w:p>
    <w:p w14:paraId="0EAF2DB0">
      <w:pPr>
        <w:bidi w:val="0"/>
        <w:rPr>
          <w:rFonts w:hint="eastAsia"/>
          <w:highlight w:val="none"/>
          <w:lang w:val="en-US" w:eastAsia="zh-CN"/>
        </w:rPr>
      </w:pPr>
      <w:r>
        <w:rPr>
          <w:rFonts w:hint="eastAsia"/>
          <w:highlight w:val="none"/>
          <w:lang w:val="en-US" w:eastAsia="zh-CN"/>
        </w:rPr>
        <w:t>【条文说明】现行国家标准《建筑防烟排烟系统技术标准》GB 51251 第 4.6.14 条规定了每个排烟口最大排烟量宜按照计算公式计算或采用附录 B选择。排烟口最大排烟量与房间高度和烟层厚度有关，对于房间高度及烟层厚度均较小的空间，排烟口最大排烟量非常小，所需排烟口数量较多。改造工程吊顶空间复杂，布置过多排烟风口较为困难，故放宽要求，可按《建筑防烟排烟系统技术标准》GB 51251第 4.4.12 条第 7 款规定，按排烟口最大排烟风速不超过 10m/s 确定排烟口面积及数量。</w:t>
      </w:r>
    </w:p>
    <w:p w14:paraId="69B641D2">
      <w:pPr>
        <w:pStyle w:val="4"/>
        <w:bidi w:val="0"/>
        <w:rPr>
          <w:rFonts w:hint="default"/>
          <w:lang w:val="en-US" w:eastAsia="zh-CN"/>
        </w:rPr>
      </w:pPr>
      <w:r>
        <w:rPr>
          <w:rFonts w:hint="eastAsia"/>
          <w:lang w:val="en-US" w:eastAsia="zh-CN"/>
        </w:rPr>
        <w:t>改造区域内的排烟风管，其材质、耐火极限要求应按现行标准执行。</w:t>
      </w:r>
    </w:p>
    <w:p w14:paraId="1A08ED97">
      <w:pPr>
        <w:bidi w:val="0"/>
        <w:rPr>
          <w:rFonts w:hint="eastAsia"/>
          <w:highlight w:val="none"/>
        </w:rPr>
      </w:pPr>
      <w:r>
        <w:rPr>
          <w:rFonts w:hint="eastAsia"/>
          <w:highlight w:val="none"/>
          <w:lang w:val="en-US" w:eastAsia="zh-CN"/>
        </w:rPr>
        <w:t>【条文说明】既有建筑改造中排烟系统的改造往往涉及排烟风管的情况比较多，这些改造不涉及排烟系统的竖向管道井和排烟风机，改造难度不大，因此改造范围或装修范围内排烟风管的耐火极限要求、风管材质等应按现行标准执行。</w:t>
      </w:r>
    </w:p>
    <w:p w14:paraId="6ED3207F">
      <w:pPr>
        <w:pStyle w:val="4"/>
        <w:bidi w:val="0"/>
      </w:pPr>
      <w:r>
        <w:rPr>
          <w:rFonts w:hint="eastAsia"/>
          <w:lang w:val="en-US" w:eastAsia="zh-CN"/>
        </w:rPr>
        <w:t>使用功能发生改变的整体改造项目，应急排烟排热设施的设置应满足《建筑防火通用规范》GB 55037的要求。</w:t>
      </w:r>
    </w:p>
    <w:p w14:paraId="0355F8B2">
      <w:pPr>
        <w:rPr>
          <w:rFonts w:cs="Times New Roman"/>
          <w:color w:val="000000" w:themeColor="text1"/>
          <w:highlight w:val="none"/>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br w:type="page"/>
      </w:r>
    </w:p>
    <w:p w14:paraId="75A4CCB2">
      <w:pPr>
        <w:pStyle w:val="2"/>
        <w:spacing w:before="156" w:after="156"/>
        <w:rPr>
          <w:rFonts w:cs="Times New Roman"/>
          <w:color w:val="000000" w:themeColor="text1"/>
          <w:highlight w:val="none"/>
          <w14:textFill>
            <w14:solidFill>
              <w14:schemeClr w14:val="tx1"/>
            </w14:solidFill>
          </w14:textFill>
        </w:rPr>
      </w:pPr>
      <w:bookmarkStart w:id="38" w:name="_Toc29040"/>
      <w:r>
        <w:rPr>
          <w:rFonts w:hint="eastAsia" w:cs="Times New Roman"/>
          <w:color w:val="000000" w:themeColor="text1"/>
          <w:highlight w:val="none"/>
          <w:lang w:val="en-US" w:eastAsia="zh-CN"/>
          <w14:textFill>
            <w14:solidFill>
              <w14:schemeClr w14:val="tx1"/>
            </w14:solidFill>
          </w14:textFill>
        </w:rPr>
        <w:t>消防电气</w:t>
      </w:r>
      <w:bookmarkEnd w:id="38"/>
    </w:p>
    <w:p w14:paraId="522057B9">
      <w:pPr>
        <w:pStyle w:val="3"/>
        <w:snapToGrid w:val="0"/>
        <w:spacing w:before="0" w:beforeLines="0" w:after="0" w:afterLines="0" w:line="100" w:lineRule="exact"/>
        <w:ind w:firstLine="0"/>
        <w:rPr>
          <w:rFonts w:ascii="Times New Roman" w:hAnsi="Times New Roman" w:cs="Times New Roman"/>
          <w:vanish/>
          <w:color w:val="000000" w:themeColor="text1"/>
          <w:highlight w:val="none"/>
          <w14:textFill>
            <w14:solidFill>
              <w14:schemeClr w14:val="tx1"/>
            </w14:solidFill>
          </w14:textFill>
        </w:rPr>
      </w:pPr>
      <w:r>
        <w:rPr>
          <w:rFonts w:ascii="Times New Roman" w:hAnsi="Times New Roman" w:cs="Times New Roman"/>
          <w:vanish/>
          <w:color w:val="000000" w:themeColor="text1"/>
          <w:highlight w:val="none"/>
          <w14:textFill>
            <w14:solidFill>
              <w14:schemeClr w14:val="tx1"/>
            </w14:solidFill>
          </w14:textFill>
        </w:rPr>
        <w:t>消防</w:t>
      </w:r>
    </w:p>
    <w:p w14:paraId="294EDF04">
      <w:pPr>
        <w:pStyle w:val="3"/>
        <w:spacing w:before="156" w:after="156"/>
        <w:ind w:firstLine="0"/>
        <w:rPr>
          <w:rFonts w:ascii="Times New Roman" w:hAnsi="Times New Roman" w:cs="Times New Roman"/>
          <w:color w:val="000000" w:themeColor="text1"/>
          <w:highlight w:val="none"/>
          <w14:textFill>
            <w14:solidFill>
              <w14:schemeClr w14:val="tx1"/>
            </w14:solidFill>
          </w14:textFill>
        </w:rPr>
      </w:pPr>
      <w:bookmarkStart w:id="39" w:name="_Toc14331"/>
      <w:r>
        <w:rPr>
          <w:rFonts w:hint="eastAsia" w:ascii="Times New Roman" w:hAnsi="Times New Roman" w:cs="Times New Roman"/>
          <w:color w:val="000000" w:themeColor="text1"/>
          <w:highlight w:val="none"/>
          <w:lang w:val="en-US" w:eastAsia="zh-CN"/>
          <w14:textFill>
            <w14:solidFill>
              <w14:schemeClr w14:val="tx1"/>
            </w14:solidFill>
          </w14:textFill>
        </w:rPr>
        <w:t>一般规定</w:t>
      </w:r>
      <w:bookmarkEnd w:id="39"/>
    </w:p>
    <w:p w14:paraId="01E5B075">
      <w:pPr>
        <w:pStyle w:val="4"/>
        <w:bidi w:val="0"/>
        <w:rPr>
          <w:lang w:eastAsia="zh-CN"/>
        </w:rPr>
      </w:pPr>
      <w:bookmarkStart w:id="40" w:name="OLE_LINK16"/>
      <w:bookmarkStart w:id="41" w:name="OLE_LINK17"/>
      <w:r>
        <w:rPr>
          <w:lang w:eastAsia="zh-CN"/>
        </w:rPr>
        <w:t>整体改造时</w:t>
      </w:r>
      <w:bookmarkEnd w:id="40"/>
      <w:bookmarkEnd w:id="41"/>
      <w:r>
        <w:rPr>
          <w:lang w:eastAsia="zh-CN"/>
        </w:rPr>
        <w:t>，应</w:t>
      </w:r>
      <w:bookmarkStart w:id="42" w:name="OLE_LINK21"/>
      <w:bookmarkStart w:id="43" w:name="OLE_LINK20"/>
      <w:r>
        <w:rPr>
          <w:lang w:eastAsia="zh-CN"/>
        </w:rPr>
        <w:t>符合现行消防技术标准</w:t>
      </w:r>
      <w:bookmarkEnd w:id="42"/>
      <w:bookmarkEnd w:id="43"/>
      <w:r>
        <w:rPr>
          <w:lang w:eastAsia="zh-CN"/>
        </w:rPr>
        <w:t>。</w:t>
      </w:r>
    </w:p>
    <w:p w14:paraId="1B3D21F2">
      <w:pPr>
        <w:bidi w:val="0"/>
        <w:rPr>
          <w:highlight w:val="none"/>
          <w:lang w:eastAsia="zh-CN"/>
        </w:rPr>
      </w:pPr>
      <w:r>
        <w:rPr>
          <w:highlight w:val="none"/>
          <w:lang w:eastAsia="zh-CN"/>
        </w:rPr>
        <w:t>【条文说明】</w:t>
      </w:r>
      <w:r>
        <w:rPr>
          <w:rFonts w:hint="eastAsia"/>
          <w:highlight w:val="none"/>
          <w:lang w:eastAsia="zh-CN"/>
        </w:rPr>
        <w:t>7</w:t>
      </w:r>
      <w:r>
        <w:rPr>
          <w:highlight w:val="none"/>
          <w:lang w:eastAsia="zh-CN"/>
        </w:rPr>
        <w:t>.1.1整体</w:t>
      </w:r>
      <w:bookmarkStart w:id="44" w:name="OLE_LINK77"/>
      <w:bookmarkStart w:id="45" w:name="OLE_LINK78"/>
      <w:r>
        <w:rPr>
          <w:highlight w:val="none"/>
          <w:lang w:eastAsia="zh-CN"/>
        </w:rPr>
        <w:t>改造</w:t>
      </w:r>
      <w:bookmarkEnd w:id="44"/>
      <w:bookmarkEnd w:id="45"/>
      <w:r>
        <w:rPr>
          <w:highlight w:val="none"/>
          <w:lang w:eastAsia="zh-CN"/>
        </w:rPr>
        <w:t>时，为满足改造后使用功能的要求，</w:t>
      </w:r>
      <w:bookmarkStart w:id="46" w:name="OLE_LINK89"/>
      <w:r>
        <w:rPr>
          <w:highlight w:val="none"/>
          <w:lang w:eastAsia="zh-CN"/>
        </w:rPr>
        <w:t>各电气系统</w:t>
      </w:r>
      <w:bookmarkEnd w:id="46"/>
      <w:r>
        <w:rPr>
          <w:highlight w:val="none"/>
          <w:lang w:eastAsia="zh-CN"/>
        </w:rPr>
        <w:t>均需进行改造，并符合现行消防技术标准。</w:t>
      </w:r>
    </w:p>
    <w:p w14:paraId="0A1D3CF4">
      <w:pPr>
        <w:pStyle w:val="4"/>
        <w:bidi w:val="0"/>
        <w:rPr>
          <w:lang w:eastAsia="zh-CN"/>
        </w:rPr>
      </w:pPr>
      <w:bookmarkStart w:id="47" w:name="OLE_LINK59"/>
      <w:r>
        <w:rPr>
          <w:lang w:eastAsia="zh-CN"/>
        </w:rPr>
        <w:t>建筑内部装修，</w:t>
      </w:r>
      <w:bookmarkEnd w:id="47"/>
      <w:r>
        <w:rPr>
          <w:lang w:eastAsia="zh-CN"/>
        </w:rPr>
        <w:t>可执行原消防技术标准。</w:t>
      </w:r>
      <w:bookmarkStart w:id="48" w:name="OLE_LINK118"/>
      <w:bookmarkStart w:id="49" w:name="OLE_LINK117"/>
      <w:r>
        <w:rPr>
          <w:lang w:eastAsia="zh-CN"/>
        </w:rPr>
        <w:t>当条件具备时，</w:t>
      </w:r>
      <w:bookmarkEnd w:id="48"/>
      <w:bookmarkEnd w:id="49"/>
      <w:r>
        <w:rPr>
          <w:lang w:eastAsia="zh-CN"/>
        </w:rPr>
        <w:t>宜执行现行消防技术标准。</w:t>
      </w:r>
    </w:p>
    <w:p w14:paraId="28BB0D50">
      <w:pPr>
        <w:bidi w:val="0"/>
        <w:rPr>
          <w:highlight w:val="none"/>
          <w:lang w:eastAsia="zh-CN"/>
        </w:rPr>
      </w:pPr>
      <w:r>
        <w:rPr>
          <w:highlight w:val="none"/>
          <w:lang w:eastAsia="zh-CN"/>
        </w:rPr>
        <w:t>【条文说明】</w:t>
      </w:r>
      <w:r>
        <w:rPr>
          <w:rFonts w:hint="eastAsia"/>
          <w:highlight w:val="none"/>
          <w:lang w:eastAsia="zh-CN"/>
        </w:rPr>
        <w:t>7</w:t>
      </w:r>
      <w:r>
        <w:rPr>
          <w:highlight w:val="none"/>
          <w:lang w:eastAsia="zh-CN"/>
        </w:rPr>
        <w:t>.1.2建筑内部装修，不改变原使用功能，仅对建筑内部空间</w:t>
      </w:r>
      <w:bookmarkStart w:id="50" w:name="OLE_LINK90"/>
      <w:bookmarkStart w:id="51" w:name="OLE_LINK91"/>
      <w:r>
        <w:rPr>
          <w:highlight w:val="none"/>
          <w:lang w:eastAsia="zh-CN"/>
        </w:rPr>
        <w:t>调整</w:t>
      </w:r>
      <w:bookmarkEnd w:id="50"/>
      <w:bookmarkEnd w:id="51"/>
      <w:r>
        <w:rPr>
          <w:highlight w:val="none"/>
          <w:lang w:eastAsia="zh-CN"/>
        </w:rPr>
        <w:t>、修饰、保护等，各电气系统未改变，仅在末端做局部调整，</w:t>
      </w:r>
      <w:bookmarkStart w:id="52" w:name="OLE_LINK121"/>
      <w:r>
        <w:rPr>
          <w:highlight w:val="none"/>
          <w:lang w:eastAsia="zh-CN"/>
        </w:rPr>
        <w:t>可执行原消防技术标准</w:t>
      </w:r>
      <w:bookmarkEnd w:id="52"/>
      <w:r>
        <w:rPr>
          <w:highlight w:val="none"/>
          <w:lang w:eastAsia="zh-CN"/>
        </w:rPr>
        <w:t>。</w:t>
      </w:r>
    </w:p>
    <w:p w14:paraId="7A5A4D61">
      <w:pPr>
        <w:pStyle w:val="4"/>
        <w:bidi w:val="0"/>
        <w:rPr>
          <w:lang w:eastAsia="zh-CN"/>
        </w:rPr>
      </w:pPr>
      <w:r>
        <w:rPr>
          <w:lang w:eastAsia="zh-CN"/>
        </w:rPr>
        <w:t>改造工程利用原有变配电系统时，其性能及参数应满足改造后的使用要求，并</w:t>
      </w:r>
      <w:bookmarkStart w:id="53" w:name="OLE_LINK75"/>
      <w:bookmarkStart w:id="54" w:name="OLE_LINK76"/>
      <w:r>
        <w:rPr>
          <w:lang w:eastAsia="zh-CN"/>
        </w:rPr>
        <w:t>符合</w:t>
      </w:r>
      <w:bookmarkEnd w:id="53"/>
      <w:bookmarkEnd w:id="54"/>
      <w:r>
        <w:rPr>
          <w:lang w:eastAsia="zh-CN"/>
        </w:rPr>
        <w:t>本标准的相关规定。</w:t>
      </w:r>
    </w:p>
    <w:p w14:paraId="2158F2F0">
      <w:pPr>
        <w:bidi w:val="0"/>
        <w:rPr>
          <w:highlight w:val="none"/>
          <w:lang w:eastAsia="zh-CN"/>
        </w:rPr>
      </w:pPr>
      <w:r>
        <w:rPr>
          <w:highlight w:val="none"/>
          <w:lang w:eastAsia="zh-CN"/>
        </w:rPr>
        <w:t>【条文说明】</w:t>
      </w:r>
      <w:r>
        <w:rPr>
          <w:rFonts w:hint="eastAsia"/>
          <w:highlight w:val="none"/>
          <w:lang w:eastAsia="zh-CN"/>
        </w:rPr>
        <w:t>7</w:t>
      </w:r>
      <w:r>
        <w:rPr>
          <w:highlight w:val="none"/>
          <w:lang w:eastAsia="zh-CN"/>
        </w:rPr>
        <w:t>.1.</w:t>
      </w:r>
      <w:r>
        <w:rPr>
          <w:rFonts w:hint="eastAsia"/>
          <w:highlight w:val="none"/>
          <w:lang w:val="en-US" w:eastAsia="zh-CN"/>
        </w:rPr>
        <w:t>3</w:t>
      </w:r>
      <w:r>
        <w:rPr>
          <w:highlight w:val="none"/>
          <w:lang w:eastAsia="zh-CN"/>
        </w:rPr>
        <w:t>改造工程利用原有变配电系统时，原变压器的容量，供电回路的数量及其容量、配电线路的保护、线缆的选型及敷设方式等，应满足改造后的使用要求并符合本标准的相关规定，否则应对原有变配电系统进行改造。</w:t>
      </w:r>
    </w:p>
    <w:p w14:paraId="3274AB3D">
      <w:pPr>
        <w:pStyle w:val="4"/>
        <w:bidi w:val="0"/>
        <w:rPr>
          <w:lang w:eastAsia="zh-CN"/>
        </w:rPr>
      </w:pPr>
      <w:r>
        <w:rPr>
          <w:lang w:eastAsia="zh-CN"/>
        </w:rPr>
        <w:t>当建筑的消防安全综合评估中存在严重电气火灾隐患时，应按现行消防技术标准对其进行改造。</w:t>
      </w:r>
    </w:p>
    <w:p w14:paraId="1D9AA982">
      <w:pPr>
        <w:bidi w:val="0"/>
        <w:rPr>
          <w:highlight w:val="none"/>
          <w:lang w:eastAsia="zh-CN"/>
        </w:rPr>
      </w:pPr>
      <w:r>
        <w:rPr>
          <w:highlight w:val="none"/>
          <w:lang w:eastAsia="zh-CN"/>
        </w:rPr>
        <w:t>【条文说明】</w:t>
      </w:r>
      <w:r>
        <w:rPr>
          <w:rFonts w:hint="eastAsia"/>
          <w:highlight w:val="none"/>
          <w:lang w:eastAsia="zh-CN"/>
        </w:rPr>
        <w:t>7</w:t>
      </w:r>
      <w:r>
        <w:rPr>
          <w:highlight w:val="none"/>
          <w:lang w:eastAsia="zh-CN"/>
        </w:rPr>
        <w:t>.1.</w:t>
      </w:r>
      <w:r>
        <w:rPr>
          <w:rFonts w:hint="eastAsia"/>
          <w:highlight w:val="none"/>
          <w:lang w:val="en-US" w:eastAsia="zh-CN"/>
        </w:rPr>
        <w:t>4</w:t>
      </w:r>
      <w:r>
        <w:rPr>
          <w:highlight w:val="none"/>
          <w:lang w:eastAsia="zh-CN"/>
        </w:rPr>
        <w:t>供配电系统中，当断路器接线端子出现过热、变色，线缆绝缘出现裂纹和明显老化、运行温度异常、有闪络放电痕迹，以及私拉乱接等，存在严重电气火灾隐患时，应按现行消防技术标准对其进行改造。</w:t>
      </w:r>
    </w:p>
    <w:p w14:paraId="7A465D55">
      <w:pPr>
        <w:pStyle w:val="3"/>
        <w:bidi w:val="0"/>
        <w:rPr>
          <w:highlight w:val="none"/>
          <w:lang w:eastAsia="zh-CN"/>
        </w:rPr>
      </w:pPr>
      <w:bookmarkStart w:id="55" w:name="_Toc2453"/>
      <w:r>
        <w:rPr>
          <w:highlight w:val="none"/>
          <w:lang w:eastAsia="zh-CN"/>
        </w:rPr>
        <w:t>消防电源及配电</w:t>
      </w:r>
      <w:bookmarkEnd w:id="55"/>
    </w:p>
    <w:p w14:paraId="131985EF">
      <w:pPr>
        <w:pStyle w:val="4"/>
        <w:bidi w:val="0"/>
        <w:rPr>
          <w:lang w:eastAsia="zh-CN"/>
        </w:rPr>
      </w:pPr>
      <w:bookmarkStart w:id="56" w:name="OLE_LINK79"/>
      <w:r>
        <w:rPr>
          <w:lang w:eastAsia="zh-CN"/>
        </w:rPr>
        <w:t>改造区域内</w:t>
      </w:r>
      <w:bookmarkEnd w:id="56"/>
      <w:r>
        <w:rPr>
          <w:lang w:eastAsia="zh-CN"/>
        </w:rPr>
        <w:t>消防用电的负荷等级及其供电电源应符合现行消防技术标准。</w:t>
      </w:r>
    </w:p>
    <w:p w14:paraId="792A30A6">
      <w:pPr>
        <w:bidi w:val="0"/>
        <w:rPr>
          <w:highlight w:val="none"/>
          <w:lang w:eastAsia="zh-CN"/>
        </w:rPr>
      </w:pPr>
      <w:r>
        <w:rPr>
          <w:highlight w:val="none"/>
          <w:lang w:eastAsia="zh-CN"/>
        </w:rPr>
        <w:t>【条文说明】</w:t>
      </w:r>
      <w:r>
        <w:rPr>
          <w:rFonts w:hint="eastAsia"/>
          <w:highlight w:val="none"/>
          <w:lang w:eastAsia="zh-CN"/>
        </w:rPr>
        <w:t>7</w:t>
      </w:r>
      <w:r>
        <w:rPr>
          <w:highlight w:val="none"/>
          <w:lang w:eastAsia="zh-CN"/>
        </w:rPr>
        <w:t>.2.1改造区域内消防用电的负荷等级应根据现行规范确定，并采取相应的供电措施。</w:t>
      </w:r>
    </w:p>
    <w:p w14:paraId="15090A38">
      <w:pPr>
        <w:pStyle w:val="4"/>
        <w:bidi w:val="0"/>
        <w:rPr>
          <w:lang w:eastAsia="zh-CN"/>
        </w:rPr>
      </w:pPr>
      <w:r>
        <w:rPr>
          <w:lang w:eastAsia="zh-CN"/>
        </w:rPr>
        <w:t>备用消防电源的供电时间和容量，应满足改造后建筑火灾延续时间内各消防用电设备的要求。</w:t>
      </w:r>
    </w:p>
    <w:p w14:paraId="3801758C">
      <w:pPr>
        <w:bidi w:val="0"/>
        <w:rPr>
          <w:highlight w:val="none"/>
          <w:lang w:eastAsia="zh-CN"/>
        </w:rPr>
      </w:pPr>
      <w:r>
        <w:rPr>
          <w:highlight w:val="none"/>
          <w:lang w:eastAsia="zh-CN"/>
        </w:rPr>
        <w:t>【条文说明】</w:t>
      </w:r>
      <w:r>
        <w:rPr>
          <w:rFonts w:hint="eastAsia"/>
          <w:highlight w:val="none"/>
          <w:lang w:eastAsia="zh-CN"/>
        </w:rPr>
        <w:t>7</w:t>
      </w:r>
      <w:r>
        <w:rPr>
          <w:highlight w:val="none"/>
          <w:lang w:eastAsia="zh-CN"/>
        </w:rPr>
        <w:t>.2.2</w:t>
      </w:r>
      <w:bookmarkStart w:id="57" w:name="OLE_LINK111"/>
      <w:bookmarkStart w:id="58" w:name="OLE_LINK108"/>
      <w:bookmarkStart w:id="59" w:name="OLE_LINK105"/>
      <w:bookmarkStart w:id="60" w:name="OLE_LINK103"/>
      <w:r>
        <w:rPr>
          <w:highlight w:val="none"/>
          <w:lang w:eastAsia="zh-CN"/>
        </w:rPr>
        <w:t>工程改造后，</w:t>
      </w:r>
      <w:bookmarkEnd w:id="57"/>
      <w:bookmarkEnd w:id="58"/>
      <w:bookmarkStart w:id="61" w:name="OLE_LINK112"/>
      <w:r>
        <w:rPr>
          <w:highlight w:val="none"/>
          <w:lang w:eastAsia="zh-CN"/>
        </w:rPr>
        <w:t>消防用电设备</w:t>
      </w:r>
      <w:bookmarkEnd w:id="61"/>
      <w:r>
        <w:rPr>
          <w:highlight w:val="none"/>
          <w:lang w:eastAsia="zh-CN"/>
        </w:rPr>
        <w:t>的容量和建筑火灾延续时间可能会发生变化，应复核并采取措施，保证</w:t>
      </w:r>
      <w:bookmarkEnd w:id="59"/>
      <w:bookmarkEnd w:id="60"/>
      <w:r>
        <w:rPr>
          <w:highlight w:val="none"/>
          <w:lang w:eastAsia="zh-CN"/>
        </w:rPr>
        <w:t>备用消防电源的供电时间和容量满足改造后建筑火灾延续时间内各消防用电设备的要求。</w:t>
      </w:r>
    </w:p>
    <w:p w14:paraId="60C2A0DD">
      <w:pPr>
        <w:pStyle w:val="4"/>
        <w:bidi w:val="0"/>
        <w:rPr>
          <w:lang w:eastAsia="zh-CN"/>
        </w:rPr>
      </w:pPr>
      <w:bookmarkStart w:id="62" w:name="OLE_LINK41"/>
      <w:r>
        <w:rPr>
          <w:lang w:eastAsia="zh-CN"/>
        </w:rPr>
        <w:t>新增</w:t>
      </w:r>
      <w:bookmarkEnd w:id="62"/>
      <w:r>
        <w:rPr>
          <w:lang w:eastAsia="zh-CN"/>
        </w:rPr>
        <w:t>柴油发电机组作为消防备用电源时，</w:t>
      </w:r>
      <w:bookmarkStart w:id="63" w:name="OLE_LINK99"/>
      <w:bookmarkStart w:id="64" w:name="OLE_LINK98"/>
      <w:r>
        <w:rPr>
          <w:lang w:eastAsia="zh-CN"/>
        </w:rPr>
        <w:t>应</w:t>
      </w:r>
      <w:bookmarkStart w:id="65" w:name="OLE_LINK44"/>
      <w:r>
        <w:rPr>
          <w:lang w:eastAsia="zh-CN"/>
        </w:rPr>
        <w:t>符合</w:t>
      </w:r>
      <w:bookmarkEnd w:id="65"/>
      <w:r>
        <w:rPr>
          <w:lang w:eastAsia="zh-CN"/>
        </w:rPr>
        <w:t>现行消防技术标准。</w:t>
      </w:r>
      <w:bookmarkEnd w:id="63"/>
      <w:bookmarkEnd w:id="64"/>
      <w:bookmarkStart w:id="66" w:name="OLE_LINK97"/>
      <w:r>
        <w:rPr>
          <w:lang w:eastAsia="zh-CN"/>
        </w:rPr>
        <w:t>当仅增大机组容量并维持既有机房位置不变时，配套设施应满足机组正常运行的要</w:t>
      </w:r>
      <w:bookmarkEnd w:id="66"/>
      <w:r>
        <w:rPr>
          <w:lang w:eastAsia="zh-CN"/>
        </w:rPr>
        <w:t>求。</w:t>
      </w:r>
    </w:p>
    <w:p w14:paraId="7C6BA6C9">
      <w:pPr>
        <w:bidi w:val="0"/>
        <w:rPr>
          <w:highlight w:val="none"/>
          <w:lang w:eastAsia="zh-CN"/>
        </w:rPr>
      </w:pPr>
      <w:r>
        <w:rPr>
          <w:highlight w:val="none"/>
          <w:lang w:eastAsia="zh-CN"/>
        </w:rPr>
        <w:t>【条文说明】</w:t>
      </w:r>
      <w:r>
        <w:rPr>
          <w:rFonts w:hint="eastAsia"/>
          <w:highlight w:val="none"/>
          <w:lang w:eastAsia="zh-CN"/>
        </w:rPr>
        <w:t>7</w:t>
      </w:r>
      <w:r>
        <w:rPr>
          <w:highlight w:val="none"/>
          <w:lang w:eastAsia="zh-CN"/>
        </w:rPr>
        <w:t>.2.3新增柴油发电机组作为消防备用电源时，应</w:t>
      </w:r>
      <w:r>
        <w:rPr>
          <w:rFonts w:hint="eastAsia"/>
          <w:highlight w:val="none"/>
          <w:lang w:eastAsia="zh-CN"/>
        </w:rPr>
        <w:t>按照</w:t>
      </w:r>
      <w:r>
        <w:rPr>
          <w:highlight w:val="none"/>
          <w:lang w:eastAsia="zh-CN"/>
        </w:rPr>
        <w:t>现行消防技术标准设计。当仅增大机组容量，并安装在</w:t>
      </w:r>
      <w:bookmarkStart w:id="67" w:name="OLE_LINK100"/>
      <w:bookmarkStart w:id="68" w:name="OLE_LINK101"/>
      <w:r>
        <w:rPr>
          <w:highlight w:val="none"/>
          <w:lang w:eastAsia="zh-CN"/>
        </w:rPr>
        <w:t>原有</w:t>
      </w:r>
      <w:bookmarkEnd w:id="67"/>
      <w:bookmarkEnd w:id="68"/>
      <w:bookmarkStart w:id="69" w:name="OLE_LINK107"/>
      <w:r>
        <w:rPr>
          <w:highlight w:val="none"/>
          <w:lang w:eastAsia="zh-CN"/>
        </w:rPr>
        <w:t>机房</w:t>
      </w:r>
      <w:bookmarkEnd w:id="69"/>
      <w:r>
        <w:rPr>
          <w:highlight w:val="none"/>
          <w:lang w:eastAsia="zh-CN"/>
        </w:rPr>
        <w:t>内时，原有机房的面积、进风、排风、散热、供油、降噪以及机组基础等配套设施，应满足现安装机组正常运行的要求。</w:t>
      </w:r>
    </w:p>
    <w:p w14:paraId="2A33BB99">
      <w:pPr>
        <w:pStyle w:val="4"/>
        <w:bidi w:val="0"/>
        <w:rPr>
          <w:lang w:eastAsia="zh-CN"/>
        </w:rPr>
      </w:pPr>
      <w:r>
        <w:rPr>
          <w:lang w:eastAsia="zh-CN"/>
        </w:rPr>
        <w:t>新增、更换及改造的配电系统应符合现行消防技术标准。</w:t>
      </w:r>
    </w:p>
    <w:p w14:paraId="39B0A21F">
      <w:pPr>
        <w:bidi w:val="0"/>
        <w:rPr>
          <w:highlight w:val="none"/>
          <w:lang w:eastAsia="zh-CN"/>
        </w:rPr>
      </w:pPr>
      <w:r>
        <w:rPr>
          <w:highlight w:val="none"/>
          <w:lang w:eastAsia="zh-CN"/>
        </w:rPr>
        <w:t>【条文说明】</w:t>
      </w:r>
      <w:r>
        <w:rPr>
          <w:rFonts w:hint="eastAsia"/>
          <w:highlight w:val="none"/>
          <w:lang w:eastAsia="zh-CN"/>
        </w:rPr>
        <w:t>7</w:t>
      </w:r>
      <w:r>
        <w:rPr>
          <w:highlight w:val="none"/>
          <w:lang w:eastAsia="zh-CN"/>
        </w:rPr>
        <w:t>.2.4工程改造后，根据配置的消防用电设备，可能会新增配电系统，也可能会更换及改造</w:t>
      </w:r>
      <w:bookmarkStart w:id="70" w:name="OLE_LINK114"/>
      <w:bookmarkStart w:id="71" w:name="OLE_LINK115"/>
      <w:r>
        <w:rPr>
          <w:highlight w:val="none"/>
          <w:lang w:eastAsia="zh-CN"/>
        </w:rPr>
        <w:t>原有的部分配电系统</w:t>
      </w:r>
      <w:bookmarkEnd w:id="70"/>
      <w:bookmarkEnd w:id="71"/>
      <w:r>
        <w:rPr>
          <w:highlight w:val="none"/>
          <w:lang w:eastAsia="zh-CN"/>
        </w:rPr>
        <w:t>，应执行现行消防技术标准。</w:t>
      </w:r>
    </w:p>
    <w:p w14:paraId="511570A0">
      <w:pPr>
        <w:pStyle w:val="4"/>
        <w:bidi w:val="0"/>
        <w:rPr>
          <w:lang w:eastAsia="zh-CN"/>
        </w:rPr>
      </w:pPr>
      <w:bookmarkStart w:id="72" w:name="OLE_LINK19"/>
      <w:bookmarkStart w:id="73" w:name="OLE_LINK18"/>
      <w:r>
        <w:rPr>
          <w:lang w:eastAsia="zh-CN"/>
        </w:rPr>
        <w:t>改造区域</w:t>
      </w:r>
      <w:bookmarkEnd w:id="72"/>
      <w:bookmarkEnd w:id="73"/>
      <w:r>
        <w:rPr>
          <w:lang w:eastAsia="zh-CN"/>
        </w:rPr>
        <w:t>内消防线缆的燃烧性能等级、敷设的防火保护措施，</w:t>
      </w:r>
      <w:bookmarkStart w:id="74" w:name="OLE_LINK39"/>
      <w:bookmarkStart w:id="75" w:name="OLE_LINK40"/>
      <w:r>
        <w:rPr>
          <w:lang w:eastAsia="zh-CN"/>
        </w:rPr>
        <w:t>应符合现行消防技术标准</w:t>
      </w:r>
      <w:bookmarkEnd w:id="74"/>
      <w:bookmarkEnd w:id="75"/>
      <w:r>
        <w:rPr>
          <w:lang w:eastAsia="zh-CN"/>
        </w:rPr>
        <w:t>；改造区域与非改造区域共用的消防主干线缆，</w:t>
      </w:r>
      <w:bookmarkStart w:id="76" w:name="OLE_LINK73"/>
      <w:r>
        <w:rPr>
          <w:lang w:eastAsia="zh-CN"/>
        </w:rPr>
        <w:t>可执行原消防技术标准</w:t>
      </w:r>
      <w:bookmarkEnd w:id="76"/>
      <w:r>
        <w:rPr>
          <w:lang w:eastAsia="zh-CN"/>
        </w:rPr>
        <w:t>。</w:t>
      </w:r>
    </w:p>
    <w:p w14:paraId="3F749EAA">
      <w:pPr>
        <w:bidi w:val="0"/>
        <w:rPr>
          <w:highlight w:val="none"/>
          <w:lang w:eastAsia="zh-CN"/>
        </w:rPr>
      </w:pPr>
      <w:r>
        <w:rPr>
          <w:highlight w:val="none"/>
          <w:lang w:eastAsia="zh-CN"/>
        </w:rPr>
        <w:t>【条文说明】</w:t>
      </w:r>
      <w:r>
        <w:rPr>
          <w:rFonts w:hint="eastAsia"/>
          <w:highlight w:val="none"/>
          <w:lang w:eastAsia="zh-CN"/>
        </w:rPr>
        <w:t>7</w:t>
      </w:r>
      <w:r>
        <w:rPr>
          <w:highlight w:val="none"/>
          <w:lang w:eastAsia="zh-CN"/>
        </w:rPr>
        <w:t>.2.5改造区域内消防线缆的燃烧性能等级、敷设的防火保护措施，应符合现行消防技术标准；改造区域与非改造区域共用的消防主干线缆，按现行规范进行改造，涉及范围较大，不经济，可执行原消防技术标准。</w:t>
      </w:r>
    </w:p>
    <w:p w14:paraId="1416279D">
      <w:pPr>
        <w:pStyle w:val="4"/>
        <w:bidi w:val="0"/>
        <w:rPr>
          <w:lang w:eastAsia="zh-CN"/>
        </w:rPr>
      </w:pPr>
      <w:r>
        <w:rPr>
          <w:lang w:eastAsia="zh-CN"/>
        </w:rPr>
        <w:t>新增或替换的配电箱、控制箱（柜）、接线盒等设计均应执行现行标准。</w:t>
      </w:r>
    </w:p>
    <w:p w14:paraId="11C31865">
      <w:pPr>
        <w:bidi w:val="0"/>
        <w:rPr>
          <w:highlight w:val="none"/>
          <w:lang w:eastAsia="zh-CN"/>
        </w:rPr>
      </w:pPr>
      <w:r>
        <w:rPr>
          <w:highlight w:val="none"/>
          <w:lang w:eastAsia="zh-CN"/>
        </w:rPr>
        <w:t>（参考《福建省既有建筑改造消防设计技术指南》6.1.4）</w:t>
      </w:r>
    </w:p>
    <w:p w14:paraId="0673BF97">
      <w:pPr>
        <w:pStyle w:val="3"/>
        <w:bidi w:val="0"/>
        <w:rPr>
          <w:highlight w:val="none"/>
          <w:lang w:eastAsia="zh-CN"/>
        </w:rPr>
      </w:pPr>
      <w:bookmarkStart w:id="77" w:name="_Toc12742"/>
      <w:r>
        <w:rPr>
          <w:highlight w:val="none"/>
          <w:lang w:eastAsia="zh-CN"/>
        </w:rPr>
        <w:t>火灾自动报警系统</w:t>
      </w:r>
      <w:bookmarkEnd w:id="77"/>
    </w:p>
    <w:p w14:paraId="1E2BF111">
      <w:pPr>
        <w:pStyle w:val="4"/>
        <w:bidi w:val="0"/>
        <w:rPr>
          <w:lang w:eastAsia="zh-CN"/>
        </w:rPr>
      </w:pPr>
      <w:bookmarkStart w:id="78" w:name="OLE_LINK46"/>
      <w:bookmarkStart w:id="79" w:name="OLE_LINK45"/>
      <w:r>
        <w:rPr>
          <w:lang w:eastAsia="zh-CN"/>
        </w:rPr>
        <w:t>局部改造时，改造区域内</w:t>
      </w:r>
      <w:bookmarkStart w:id="80" w:name="OLE_LINK68"/>
      <w:bookmarkStart w:id="81" w:name="OLE_LINK69"/>
      <w:bookmarkStart w:id="82" w:name="OLE_LINK58"/>
      <w:bookmarkStart w:id="83" w:name="OLE_LINK80"/>
      <w:r>
        <w:rPr>
          <w:lang w:eastAsia="zh-CN"/>
        </w:rPr>
        <w:t>火灾自动报警</w:t>
      </w:r>
      <w:bookmarkEnd w:id="80"/>
      <w:bookmarkEnd w:id="81"/>
      <w:r>
        <w:rPr>
          <w:lang w:eastAsia="zh-CN"/>
        </w:rPr>
        <w:t>系统</w:t>
      </w:r>
      <w:bookmarkEnd w:id="82"/>
      <w:bookmarkEnd w:id="83"/>
      <w:r>
        <w:rPr>
          <w:lang w:eastAsia="zh-CN"/>
        </w:rPr>
        <w:t>形式的选择及</w:t>
      </w:r>
      <w:bookmarkStart w:id="84" w:name="OLE_LINK70"/>
      <w:r>
        <w:rPr>
          <w:lang w:eastAsia="zh-CN"/>
        </w:rPr>
        <w:t>系统设计</w:t>
      </w:r>
      <w:bookmarkEnd w:id="84"/>
      <w:r>
        <w:rPr>
          <w:lang w:eastAsia="zh-CN"/>
        </w:rPr>
        <w:t>，</w:t>
      </w:r>
      <w:bookmarkEnd w:id="78"/>
      <w:bookmarkEnd w:id="79"/>
      <w:bookmarkStart w:id="85" w:name="OLE_LINK52"/>
      <w:bookmarkStart w:id="86" w:name="OLE_LINK51"/>
      <w:r>
        <w:rPr>
          <w:lang w:eastAsia="zh-CN"/>
        </w:rPr>
        <w:t>应符合下列规定</w:t>
      </w:r>
      <w:bookmarkEnd w:id="85"/>
      <w:bookmarkEnd w:id="86"/>
      <w:r>
        <w:rPr>
          <w:lang w:eastAsia="zh-CN"/>
        </w:rPr>
        <w:t>：</w:t>
      </w:r>
    </w:p>
    <w:p w14:paraId="363DCB30">
      <w:pPr>
        <w:bidi w:val="0"/>
        <w:rPr>
          <w:color w:val="auto"/>
          <w:highlight w:val="none"/>
          <w:lang w:eastAsia="zh-CN"/>
        </w:rPr>
      </w:pPr>
      <w:bookmarkStart w:id="87" w:name="OLE_LINK71"/>
      <w:bookmarkStart w:id="88" w:name="OLE_LINK72"/>
      <w:r>
        <w:rPr>
          <w:color w:val="auto"/>
          <w:highlight w:val="none"/>
          <w:lang w:eastAsia="zh-CN"/>
        </w:rPr>
        <w:t>1</w:t>
      </w:r>
      <w:bookmarkStart w:id="89" w:name="OLE_LINK65"/>
      <w:bookmarkStart w:id="90" w:name="OLE_LINK64"/>
      <w:bookmarkStart w:id="91" w:name="OLE_LINK63"/>
      <w:r>
        <w:rPr>
          <w:rFonts w:hint="eastAsia"/>
          <w:color w:val="auto"/>
          <w:highlight w:val="none"/>
          <w:lang w:val="en-US" w:eastAsia="zh-CN"/>
        </w:rPr>
        <w:t xml:space="preserve"> </w:t>
      </w:r>
      <w:r>
        <w:rPr>
          <w:color w:val="auto"/>
          <w:highlight w:val="none"/>
          <w:lang w:eastAsia="zh-CN"/>
        </w:rPr>
        <w:t>应符合现行消防技术标准</w:t>
      </w:r>
      <w:bookmarkEnd w:id="89"/>
      <w:bookmarkEnd w:id="90"/>
      <w:bookmarkEnd w:id="91"/>
      <w:r>
        <w:rPr>
          <w:rFonts w:hint="eastAsia"/>
          <w:color w:val="auto"/>
          <w:highlight w:val="none"/>
          <w:lang w:eastAsia="zh-CN"/>
        </w:rPr>
        <w:t>；</w:t>
      </w:r>
    </w:p>
    <w:bookmarkEnd w:id="87"/>
    <w:bookmarkEnd w:id="88"/>
    <w:p w14:paraId="47BF4D41">
      <w:pPr>
        <w:bidi w:val="0"/>
        <w:rPr>
          <w:color w:val="auto"/>
          <w:highlight w:val="none"/>
          <w:lang w:eastAsia="zh-CN"/>
        </w:rPr>
      </w:pPr>
      <w:r>
        <w:rPr>
          <w:color w:val="auto"/>
          <w:highlight w:val="none"/>
          <w:lang w:eastAsia="zh-CN"/>
        </w:rPr>
        <w:t>2</w:t>
      </w:r>
      <w:r>
        <w:rPr>
          <w:rFonts w:hint="eastAsia"/>
          <w:color w:val="auto"/>
          <w:highlight w:val="none"/>
          <w:lang w:val="en-US" w:eastAsia="zh-CN"/>
        </w:rPr>
        <w:t xml:space="preserve"> </w:t>
      </w:r>
      <w:r>
        <w:rPr>
          <w:color w:val="auto"/>
          <w:highlight w:val="none"/>
          <w:lang w:eastAsia="zh-CN"/>
        </w:rPr>
        <w:t>当原建筑设有火灾自动报警系统</w:t>
      </w:r>
      <w:bookmarkStart w:id="92" w:name="OLE_LINK60"/>
      <w:r>
        <w:rPr>
          <w:color w:val="auto"/>
          <w:highlight w:val="none"/>
          <w:lang w:eastAsia="zh-CN"/>
        </w:rPr>
        <w:t>，且支持扩展时，</w:t>
      </w:r>
      <w:bookmarkEnd w:id="92"/>
      <w:r>
        <w:rPr>
          <w:color w:val="auto"/>
          <w:highlight w:val="none"/>
          <w:lang w:eastAsia="zh-CN"/>
        </w:rPr>
        <w:t>应接入原系统</w:t>
      </w:r>
      <w:r>
        <w:rPr>
          <w:rFonts w:hint="eastAsia"/>
          <w:color w:val="auto"/>
          <w:highlight w:val="none"/>
          <w:lang w:eastAsia="zh-CN"/>
        </w:rPr>
        <w:t>。</w:t>
      </w:r>
      <w:r>
        <w:rPr>
          <w:color w:val="auto"/>
          <w:highlight w:val="none"/>
          <w:lang w:eastAsia="zh-CN"/>
        </w:rPr>
        <w:t>不支持扩展时，应增设报警控制器，并应与原系统实现通讯</w:t>
      </w:r>
      <w:r>
        <w:rPr>
          <w:rFonts w:hint="eastAsia"/>
          <w:color w:val="auto"/>
          <w:highlight w:val="none"/>
          <w:lang w:eastAsia="zh-CN"/>
        </w:rPr>
        <w:t>；</w:t>
      </w:r>
    </w:p>
    <w:p w14:paraId="7FEA2C9D">
      <w:pPr>
        <w:bidi w:val="0"/>
        <w:rPr>
          <w:color w:val="auto"/>
          <w:highlight w:val="none"/>
          <w:lang w:eastAsia="zh-CN"/>
        </w:rPr>
      </w:pPr>
      <w:r>
        <w:rPr>
          <w:color w:val="auto"/>
          <w:highlight w:val="none"/>
          <w:lang w:eastAsia="zh-CN"/>
        </w:rPr>
        <w:t>3</w:t>
      </w:r>
      <w:r>
        <w:rPr>
          <w:rFonts w:hint="eastAsia"/>
          <w:color w:val="auto"/>
          <w:highlight w:val="none"/>
          <w:lang w:val="en-US" w:eastAsia="zh-CN"/>
        </w:rPr>
        <w:t xml:space="preserve"> </w:t>
      </w:r>
      <w:r>
        <w:rPr>
          <w:color w:val="auto"/>
          <w:highlight w:val="none"/>
          <w:lang w:eastAsia="zh-CN"/>
        </w:rPr>
        <w:t>当原建筑未设有火灾自动报警系统时，应设置独立系统。</w:t>
      </w:r>
    </w:p>
    <w:p w14:paraId="11F1D723">
      <w:pPr>
        <w:bidi w:val="0"/>
        <w:rPr>
          <w:highlight w:val="none"/>
          <w:lang w:eastAsia="zh-CN"/>
        </w:rPr>
      </w:pPr>
      <w:r>
        <w:rPr>
          <w:highlight w:val="none"/>
          <w:lang w:eastAsia="zh-CN"/>
        </w:rPr>
        <w:t>【条文说明】</w:t>
      </w:r>
      <w:r>
        <w:rPr>
          <w:rFonts w:hint="eastAsia"/>
          <w:highlight w:val="none"/>
          <w:lang w:eastAsia="zh-CN"/>
        </w:rPr>
        <w:t>7</w:t>
      </w:r>
      <w:r>
        <w:rPr>
          <w:highlight w:val="none"/>
          <w:lang w:eastAsia="zh-CN"/>
        </w:rPr>
        <w:t>.3.1当原建筑设有的火灾自动报警系统不支持扩展时，应增设报警控制器，与原系统通过模块或转换模块实现通讯。</w:t>
      </w:r>
    </w:p>
    <w:p w14:paraId="7746CC36">
      <w:pPr>
        <w:pStyle w:val="4"/>
        <w:bidi w:val="0"/>
        <w:rPr>
          <w:lang w:eastAsia="zh-CN"/>
        </w:rPr>
      </w:pPr>
      <w:bookmarkStart w:id="93" w:name="OLE_LINK87"/>
      <w:bookmarkStart w:id="94" w:name="OLE_LINK86"/>
      <w:r>
        <w:rPr>
          <w:lang w:eastAsia="zh-CN"/>
        </w:rPr>
        <w:t>局部改造时，</w:t>
      </w:r>
      <w:bookmarkEnd w:id="93"/>
      <w:bookmarkEnd w:id="94"/>
      <w:bookmarkStart w:id="95" w:name="OLE_LINK37"/>
      <w:bookmarkStart w:id="96" w:name="OLE_LINK36"/>
      <w:r>
        <w:rPr>
          <w:lang w:eastAsia="zh-CN"/>
        </w:rPr>
        <w:t>改造区域内</w:t>
      </w:r>
      <w:bookmarkEnd w:id="95"/>
      <w:bookmarkEnd w:id="96"/>
      <w:r>
        <w:rPr>
          <w:lang w:eastAsia="zh-CN"/>
        </w:rPr>
        <w:t>消火栓按钮启动消火栓泵的功能，可执行原消防技术标准。</w:t>
      </w:r>
    </w:p>
    <w:p w14:paraId="53D12337">
      <w:pPr>
        <w:bidi w:val="0"/>
        <w:rPr>
          <w:highlight w:val="none"/>
          <w:lang w:eastAsia="zh-CN"/>
        </w:rPr>
      </w:pPr>
      <w:r>
        <w:rPr>
          <w:highlight w:val="none"/>
          <w:lang w:eastAsia="zh-CN"/>
        </w:rPr>
        <w:t>【条文说明】</w:t>
      </w:r>
      <w:r>
        <w:rPr>
          <w:rFonts w:hint="eastAsia"/>
          <w:highlight w:val="none"/>
          <w:lang w:eastAsia="zh-CN"/>
        </w:rPr>
        <w:t>7</w:t>
      </w:r>
      <w:r>
        <w:rPr>
          <w:highlight w:val="none"/>
          <w:lang w:eastAsia="zh-CN"/>
        </w:rPr>
        <w:t>.3.2局部改造时，改造区域内</w:t>
      </w:r>
      <w:bookmarkStart w:id="97" w:name="OLE_LINK116"/>
      <w:r>
        <w:rPr>
          <w:highlight w:val="none"/>
          <w:lang w:eastAsia="zh-CN"/>
        </w:rPr>
        <w:t>消火栓按钮</w:t>
      </w:r>
      <w:bookmarkEnd w:id="97"/>
      <w:r>
        <w:rPr>
          <w:highlight w:val="none"/>
          <w:lang w:eastAsia="zh-CN"/>
        </w:rPr>
        <w:t>（包括新增的消火栓按钮）启动消火栓泵的功能，可执行原消防技术标准，目的是不改变原消火栓水泵控制箱（柜）的二次接线。</w:t>
      </w:r>
    </w:p>
    <w:p w14:paraId="6851EB25">
      <w:pPr>
        <w:pStyle w:val="4"/>
        <w:bidi w:val="0"/>
        <w:rPr>
          <w:lang w:eastAsia="zh-CN"/>
        </w:rPr>
      </w:pPr>
      <w:r>
        <w:rPr>
          <w:lang w:eastAsia="zh-CN"/>
        </w:rPr>
        <w:t>局部改造、建筑内部装修，新增的消防水泵、</w:t>
      </w:r>
      <w:bookmarkStart w:id="98" w:name="OLE_LINK55"/>
      <w:bookmarkStart w:id="99" w:name="OLE_LINK56"/>
      <w:r>
        <w:rPr>
          <w:lang w:eastAsia="zh-CN"/>
        </w:rPr>
        <w:t>防排烟风机</w:t>
      </w:r>
      <w:bookmarkEnd w:id="98"/>
      <w:bookmarkEnd w:id="99"/>
      <w:r>
        <w:rPr>
          <w:lang w:eastAsia="zh-CN"/>
        </w:rPr>
        <w:t>等</w:t>
      </w:r>
      <w:bookmarkStart w:id="100" w:name="OLE_LINK26"/>
      <w:bookmarkStart w:id="101" w:name="OLE_LINK15"/>
      <w:r>
        <w:rPr>
          <w:lang w:eastAsia="zh-CN"/>
        </w:rPr>
        <w:t>消防</w:t>
      </w:r>
      <w:bookmarkStart w:id="102" w:name="OLE_LINK61"/>
      <w:bookmarkStart w:id="103" w:name="OLE_LINK57"/>
      <w:r>
        <w:rPr>
          <w:lang w:eastAsia="zh-CN"/>
        </w:rPr>
        <w:t>设备的控制</w:t>
      </w:r>
      <w:bookmarkEnd w:id="102"/>
      <w:bookmarkEnd w:id="103"/>
      <w:r>
        <w:rPr>
          <w:lang w:eastAsia="zh-CN"/>
        </w:rPr>
        <w:t>，</w:t>
      </w:r>
      <w:bookmarkEnd w:id="100"/>
      <w:bookmarkEnd w:id="101"/>
      <w:bookmarkStart w:id="104" w:name="OLE_LINK29"/>
      <w:bookmarkStart w:id="105" w:name="OLE_LINK27"/>
      <w:r>
        <w:rPr>
          <w:lang w:eastAsia="zh-CN"/>
        </w:rPr>
        <w:t>应符合现行消防技术标准</w:t>
      </w:r>
      <w:bookmarkEnd w:id="104"/>
      <w:bookmarkEnd w:id="105"/>
      <w:r>
        <w:rPr>
          <w:lang w:eastAsia="zh-CN"/>
        </w:rPr>
        <w:t>；更换的消防设备的控制，宜符合现行消防技术标准。</w:t>
      </w:r>
    </w:p>
    <w:p w14:paraId="5B706E9A">
      <w:pPr>
        <w:bidi w:val="0"/>
        <w:rPr>
          <w:highlight w:val="none"/>
          <w:lang w:eastAsia="zh-CN"/>
        </w:rPr>
      </w:pPr>
      <w:r>
        <w:rPr>
          <w:highlight w:val="none"/>
          <w:lang w:eastAsia="zh-CN"/>
        </w:rPr>
        <w:t>【条文说明】</w:t>
      </w:r>
      <w:r>
        <w:rPr>
          <w:rFonts w:hint="eastAsia"/>
          <w:highlight w:val="none"/>
          <w:lang w:eastAsia="zh-CN"/>
        </w:rPr>
        <w:t>7</w:t>
      </w:r>
      <w:r>
        <w:rPr>
          <w:highlight w:val="none"/>
          <w:lang w:eastAsia="zh-CN"/>
        </w:rPr>
        <w:t>.3.3局部改造、建筑内部装修，对于新增的</w:t>
      </w:r>
      <w:bookmarkStart w:id="106" w:name="OLE_LINK119"/>
      <w:bookmarkStart w:id="107" w:name="OLE_LINK120"/>
      <w:r>
        <w:rPr>
          <w:highlight w:val="none"/>
          <w:lang w:eastAsia="zh-CN"/>
        </w:rPr>
        <w:t>消防水泵、防排烟风机等消防设备的控制</w:t>
      </w:r>
      <w:bookmarkEnd w:id="106"/>
      <w:bookmarkEnd w:id="107"/>
      <w:r>
        <w:rPr>
          <w:highlight w:val="none"/>
          <w:lang w:eastAsia="zh-CN"/>
        </w:rPr>
        <w:t>，应符合现行消防技术标准；对于更换的消防水泵、防排烟风机等消防设备的控制，可执行原消防技术标准，当条件具备时，宜符合现行消防技术标准。</w:t>
      </w:r>
    </w:p>
    <w:p w14:paraId="2FAC9BF5">
      <w:pPr>
        <w:pStyle w:val="4"/>
        <w:bidi w:val="0"/>
        <w:rPr>
          <w:lang w:eastAsia="zh-CN"/>
        </w:rPr>
      </w:pPr>
      <w:r>
        <w:rPr>
          <w:lang w:eastAsia="zh-CN"/>
        </w:rPr>
        <w:t>局</w:t>
      </w:r>
      <w:bookmarkStart w:id="108" w:name="OLE_LINK34"/>
      <w:bookmarkStart w:id="109" w:name="OLE_LINK35"/>
      <w:r>
        <w:rPr>
          <w:lang w:eastAsia="zh-CN"/>
        </w:rPr>
        <w:t>部改造、建筑内部装修，</w:t>
      </w:r>
      <w:bookmarkEnd w:id="108"/>
      <w:bookmarkEnd w:id="109"/>
      <w:r>
        <w:rPr>
          <w:lang w:eastAsia="zh-CN"/>
        </w:rPr>
        <w:t>当消防给水系统</w:t>
      </w:r>
      <w:bookmarkStart w:id="110" w:name="OLE_LINK38"/>
      <w:r>
        <w:rPr>
          <w:lang w:eastAsia="zh-CN"/>
        </w:rPr>
        <w:t>新增</w:t>
      </w:r>
      <w:bookmarkEnd w:id="110"/>
      <w:r>
        <w:rPr>
          <w:lang w:eastAsia="zh-CN"/>
        </w:rPr>
        <w:t>流量开关、压力开关时，消防水泵的自动启动控制应符合现行消防技术标准。</w:t>
      </w:r>
    </w:p>
    <w:p w14:paraId="4B50CAA2">
      <w:pPr>
        <w:bidi w:val="0"/>
        <w:rPr>
          <w:highlight w:val="none"/>
          <w:lang w:eastAsia="zh-CN"/>
        </w:rPr>
      </w:pPr>
      <w:r>
        <w:rPr>
          <w:highlight w:val="none"/>
          <w:lang w:eastAsia="zh-CN"/>
        </w:rPr>
        <w:t>【条文说明】</w:t>
      </w:r>
      <w:r>
        <w:rPr>
          <w:rFonts w:hint="eastAsia"/>
          <w:highlight w:val="none"/>
          <w:lang w:eastAsia="zh-CN"/>
        </w:rPr>
        <w:t>7</w:t>
      </w:r>
      <w:r>
        <w:rPr>
          <w:highlight w:val="none"/>
          <w:lang w:eastAsia="zh-CN"/>
        </w:rPr>
        <w:t>.3.4局部改造、建筑内部装修，当消防给水系统新增流量开关、压力开关时，消防水泵的</w:t>
      </w:r>
      <w:bookmarkStart w:id="111" w:name="OLE_LINK123"/>
      <w:bookmarkStart w:id="112" w:name="OLE_LINK122"/>
      <w:r>
        <w:rPr>
          <w:highlight w:val="none"/>
          <w:lang w:eastAsia="zh-CN"/>
        </w:rPr>
        <w:t>启动</w:t>
      </w:r>
      <w:bookmarkEnd w:id="111"/>
      <w:bookmarkEnd w:id="112"/>
      <w:r>
        <w:rPr>
          <w:highlight w:val="none"/>
          <w:lang w:eastAsia="zh-CN"/>
        </w:rPr>
        <w:t>，需按现行消防技术标准才能实施自动启动控制。</w:t>
      </w:r>
      <w:bookmarkStart w:id="113" w:name="OLE_LINK30"/>
      <w:bookmarkStart w:id="114" w:name="OLE_LINK31"/>
    </w:p>
    <w:p w14:paraId="45BD844E">
      <w:pPr>
        <w:pStyle w:val="4"/>
        <w:bidi w:val="0"/>
        <w:rPr>
          <w:lang w:eastAsia="zh-CN"/>
        </w:rPr>
      </w:pPr>
      <w:r>
        <w:rPr>
          <w:lang w:eastAsia="zh-CN"/>
        </w:rPr>
        <w:t>局部改造</w:t>
      </w:r>
      <w:bookmarkStart w:id="115" w:name="OLE_LINK54"/>
      <w:bookmarkStart w:id="116" w:name="OLE_LINK53"/>
      <w:r>
        <w:rPr>
          <w:lang w:eastAsia="zh-CN"/>
        </w:rPr>
        <w:t>、建筑内部装修</w:t>
      </w:r>
      <w:bookmarkEnd w:id="115"/>
      <w:bookmarkEnd w:id="116"/>
      <w:r>
        <w:rPr>
          <w:lang w:eastAsia="zh-CN"/>
        </w:rPr>
        <w:t>，</w:t>
      </w:r>
      <w:bookmarkEnd w:id="113"/>
      <w:bookmarkEnd w:id="114"/>
      <w:r>
        <w:rPr>
          <w:lang w:eastAsia="zh-CN"/>
        </w:rPr>
        <w:t>当防排烟系统新增常闭加压送风口、排烟防火阀、排烟阀时，防排烟风机的控制应符合现行消防技术标准。</w:t>
      </w:r>
    </w:p>
    <w:p w14:paraId="416D925D">
      <w:pPr>
        <w:bidi w:val="0"/>
        <w:rPr>
          <w:highlight w:val="none"/>
          <w:lang w:eastAsia="zh-CN"/>
        </w:rPr>
      </w:pPr>
      <w:r>
        <w:rPr>
          <w:highlight w:val="none"/>
          <w:lang w:eastAsia="zh-CN"/>
        </w:rPr>
        <w:t>【条文说明】</w:t>
      </w:r>
      <w:r>
        <w:rPr>
          <w:rFonts w:hint="eastAsia"/>
          <w:highlight w:val="none"/>
          <w:lang w:eastAsia="zh-CN"/>
        </w:rPr>
        <w:t>7</w:t>
      </w:r>
      <w:r>
        <w:rPr>
          <w:highlight w:val="none"/>
          <w:lang w:eastAsia="zh-CN"/>
        </w:rPr>
        <w:t>.3.5局部改造、建筑内部装修，当防排烟系统新增常闭加压送风口、排烟防火阀、排烟阀时，需按现行消防技术标准，才能对防排烟风机实施控制。</w:t>
      </w:r>
    </w:p>
    <w:p w14:paraId="1D637817">
      <w:pPr>
        <w:pStyle w:val="4"/>
        <w:bidi w:val="0"/>
        <w:rPr>
          <w:lang w:eastAsia="zh-CN"/>
        </w:rPr>
      </w:pPr>
      <w:r>
        <w:rPr>
          <w:lang w:eastAsia="zh-CN"/>
        </w:rPr>
        <w:t>改造后建筑无火灾自动报警系统时，新增的防火卷帘、常开防火门、自动排烟窗、电动挡烟垂壁，可采用自带火灾探测器接口的控制箱直接进行联动控制。</w:t>
      </w:r>
    </w:p>
    <w:p w14:paraId="7CE21CE1">
      <w:pPr>
        <w:bidi w:val="0"/>
        <w:rPr>
          <w:highlight w:val="none"/>
          <w:lang w:eastAsia="zh-CN"/>
        </w:rPr>
      </w:pPr>
      <w:r>
        <w:rPr>
          <w:highlight w:val="none"/>
          <w:lang w:eastAsia="zh-CN"/>
        </w:rPr>
        <w:t>（参考黑龙江2024指南、安徽《既有建筑改造指南》DB34/T4711-2024第9.4.4）</w:t>
      </w:r>
    </w:p>
    <w:p w14:paraId="728B15D7">
      <w:pPr>
        <w:pStyle w:val="4"/>
        <w:bidi w:val="0"/>
        <w:rPr>
          <w:lang w:eastAsia="zh-CN"/>
        </w:rPr>
      </w:pPr>
      <w:r>
        <w:rPr>
          <w:lang w:eastAsia="zh-CN"/>
        </w:rPr>
        <w:t>当改造项目受条件限制，设置有线火灾自动报警系统有困难时，可采用无线火灾自动报警系统。</w:t>
      </w:r>
    </w:p>
    <w:p w14:paraId="5859050F">
      <w:pPr>
        <w:bidi w:val="0"/>
        <w:rPr>
          <w:highlight w:val="none"/>
          <w:lang w:eastAsia="zh-CN"/>
        </w:rPr>
      </w:pPr>
      <w:r>
        <w:rPr>
          <w:highlight w:val="none"/>
          <w:lang w:eastAsia="zh-CN"/>
        </w:rPr>
        <w:t>（参考《沈阳既有建筑改造消防设计与审查指南》2022版）</w:t>
      </w:r>
    </w:p>
    <w:p w14:paraId="5B2CA02D">
      <w:pPr>
        <w:pStyle w:val="4"/>
        <w:bidi w:val="0"/>
        <w:rPr>
          <w:lang w:eastAsia="zh-CN"/>
        </w:rPr>
      </w:pPr>
      <w:r>
        <w:rPr>
          <w:lang w:eastAsia="zh-CN"/>
        </w:rPr>
        <w:t>改造工程新增的可能散发可燃气体、可燃蒸汽的场所应设置可燃气体探测报警装置。</w:t>
      </w:r>
    </w:p>
    <w:p w14:paraId="736BC771">
      <w:pPr>
        <w:bidi w:val="0"/>
        <w:rPr>
          <w:highlight w:val="none"/>
        </w:rPr>
      </w:pPr>
      <w:r>
        <w:rPr>
          <w:highlight w:val="none"/>
          <w:lang w:eastAsia="zh-CN"/>
        </w:rPr>
        <w:t>（几乎所有省市地标里面都有写这条，建议增加。</w:t>
      </w:r>
      <w:r>
        <w:rPr>
          <w:highlight w:val="none"/>
        </w:rPr>
        <w:t>）</w:t>
      </w:r>
    </w:p>
    <w:p w14:paraId="167057BA">
      <w:pPr>
        <w:pStyle w:val="3"/>
        <w:bidi w:val="0"/>
        <w:rPr>
          <w:highlight w:val="none"/>
          <w:lang w:eastAsia="zh-CN"/>
        </w:rPr>
      </w:pPr>
      <w:bookmarkStart w:id="117" w:name="_Toc31784"/>
      <w:r>
        <w:rPr>
          <w:highlight w:val="none"/>
          <w:lang w:eastAsia="zh-CN"/>
        </w:rPr>
        <w:t>电气火灾监控系统</w:t>
      </w:r>
      <w:bookmarkEnd w:id="117"/>
    </w:p>
    <w:p w14:paraId="13FAB2F6">
      <w:pPr>
        <w:pStyle w:val="4"/>
        <w:bidi w:val="0"/>
        <w:rPr>
          <w:lang w:eastAsia="zh-CN"/>
        </w:rPr>
      </w:pPr>
      <w:r>
        <w:rPr>
          <w:lang w:eastAsia="zh-CN"/>
        </w:rPr>
        <w:t>既有建筑改造工程中的非消防配电回路，应根据现行设计标准规定设置电气火灾监控系统或装置。</w:t>
      </w:r>
    </w:p>
    <w:p w14:paraId="4F430838">
      <w:pPr>
        <w:bidi w:val="0"/>
        <w:rPr>
          <w:highlight w:val="none"/>
          <w:lang w:eastAsia="zh-CN"/>
        </w:rPr>
      </w:pPr>
      <w:r>
        <w:rPr>
          <w:highlight w:val="none"/>
          <w:lang w:eastAsia="zh-CN"/>
        </w:rPr>
        <w:t>（参考《北京市既有建筑改造工程消防设计指南》5.1.2）</w:t>
      </w:r>
    </w:p>
    <w:p w14:paraId="2308D947">
      <w:pPr>
        <w:bidi w:val="0"/>
        <w:rPr>
          <w:highlight w:val="none"/>
          <w:lang w:eastAsia="zh-CN"/>
        </w:rPr>
      </w:pPr>
      <w:r>
        <w:rPr>
          <w:highlight w:val="none"/>
          <w:lang w:eastAsia="zh-CN"/>
        </w:rPr>
        <w:t>（参考《石家庄市既有建筑改造利用消防设计审查指南2024》8.3.2）</w:t>
      </w:r>
    </w:p>
    <w:p w14:paraId="6058A154">
      <w:pPr>
        <w:pStyle w:val="4"/>
        <w:bidi w:val="0"/>
        <w:rPr>
          <w:lang w:eastAsia="zh-CN"/>
        </w:rPr>
      </w:pPr>
      <w:r>
        <w:rPr>
          <w:lang w:eastAsia="zh-CN"/>
        </w:rPr>
        <w:t>既有建筑物</w:t>
      </w:r>
      <w:r>
        <w:rPr>
          <w:rFonts w:hint="eastAsia"/>
          <w:lang w:val="en-US" w:eastAsia="zh-CN"/>
        </w:rPr>
        <w:t>设</w:t>
      </w:r>
      <w:r>
        <w:rPr>
          <w:lang w:eastAsia="zh-CN"/>
        </w:rPr>
        <w:t>有电气火灾监控系统时，改造部分的电气火灾探测器可接入原系统。</w:t>
      </w:r>
    </w:p>
    <w:p w14:paraId="693DC699">
      <w:pPr>
        <w:bidi w:val="0"/>
        <w:rPr>
          <w:highlight w:val="none"/>
          <w:lang w:eastAsia="zh-CN"/>
        </w:rPr>
      </w:pPr>
      <w:r>
        <w:rPr>
          <w:highlight w:val="none"/>
          <w:lang w:eastAsia="zh-CN"/>
        </w:rPr>
        <w:t>（参考《沈阳2022》7.4.1）</w:t>
      </w:r>
    </w:p>
    <w:p w14:paraId="0BF477F8">
      <w:pPr>
        <w:pStyle w:val="4"/>
        <w:bidi w:val="0"/>
        <w:rPr>
          <w:lang w:eastAsia="zh-CN"/>
        </w:rPr>
      </w:pPr>
      <w:r>
        <w:rPr>
          <w:lang w:eastAsia="zh-CN"/>
        </w:rPr>
        <w:t>既有建筑局部改造工程原建筑无电气火灾监控系统，改造区域设置的电气火灾监控系统，新增的电气火灾监控主机设备应设置在消防控制室内或有人值班的房间和场所内。</w:t>
      </w:r>
    </w:p>
    <w:p w14:paraId="69FCCBAC">
      <w:pPr>
        <w:pStyle w:val="4"/>
        <w:bidi w:val="0"/>
        <w:rPr>
          <w:lang w:eastAsia="zh-CN"/>
        </w:rPr>
      </w:pPr>
      <w:r>
        <w:rPr>
          <w:lang w:eastAsia="zh-CN"/>
        </w:rPr>
        <w:t>当采用独立式电气火灾监控探测器报警时，可接入火灾自动报警系统，宜采用编码模块接入方式，并应与火灾报警信息的显示有所区别。</w:t>
      </w:r>
    </w:p>
    <w:p w14:paraId="428790B5">
      <w:pPr>
        <w:bidi w:val="0"/>
        <w:rPr>
          <w:rFonts w:ascii="Times New Roman" w:hAnsi="Times New Roman" w:cs="Times New Roman"/>
          <w:highlight w:val="none"/>
          <w:lang w:eastAsia="zh-CN"/>
        </w:rPr>
      </w:pPr>
      <w:r>
        <w:rPr>
          <w:highlight w:val="none"/>
          <w:lang w:eastAsia="zh-CN"/>
        </w:rPr>
        <w:t>（参考《沈阳2022》7.4.3）</w:t>
      </w:r>
    </w:p>
    <w:p w14:paraId="0E40E98B">
      <w:pPr>
        <w:pStyle w:val="3"/>
        <w:bidi w:val="0"/>
        <w:rPr>
          <w:highlight w:val="none"/>
          <w:lang w:eastAsia="zh-CN"/>
        </w:rPr>
      </w:pPr>
      <w:bookmarkStart w:id="118" w:name="_Toc17999"/>
      <w:r>
        <w:rPr>
          <w:highlight w:val="none"/>
          <w:lang w:eastAsia="zh-CN"/>
        </w:rPr>
        <w:t>消防应急照明和疏散指示系统</w:t>
      </w:r>
      <w:bookmarkEnd w:id="118"/>
    </w:p>
    <w:p w14:paraId="4D7D8022">
      <w:pPr>
        <w:pStyle w:val="4"/>
        <w:bidi w:val="0"/>
        <w:rPr>
          <w:lang w:eastAsia="zh-CN"/>
        </w:rPr>
      </w:pPr>
      <w:r>
        <w:rPr>
          <w:lang w:eastAsia="zh-CN"/>
        </w:rPr>
        <w:t>原建筑内未设置消防应急照明和疏散指示系统时，建筑改造时系统设计应执行现行标准。</w:t>
      </w:r>
    </w:p>
    <w:p w14:paraId="131DB259">
      <w:pPr>
        <w:bidi w:val="0"/>
        <w:rPr>
          <w:highlight w:val="none"/>
        </w:rPr>
      </w:pPr>
      <w:r>
        <w:rPr>
          <w:highlight w:val="none"/>
        </w:rPr>
        <w:t>（参考《</w:t>
      </w:r>
      <w:r>
        <w:rPr>
          <w:highlight w:val="none"/>
          <w:lang w:eastAsia="zh-CN"/>
        </w:rPr>
        <w:t>福建2024</w:t>
      </w:r>
      <w:r>
        <w:rPr>
          <w:highlight w:val="none"/>
        </w:rPr>
        <w:t>》</w:t>
      </w:r>
      <w:r>
        <w:rPr>
          <w:highlight w:val="none"/>
          <w:lang w:eastAsia="zh-CN"/>
        </w:rPr>
        <w:t>6.2.1。</w:t>
      </w:r>
      <w:r>
        <w:rPr>
          <w:highlight w:val="none"/>
        </w:rPr>
        <w:t>）</w:t>
      </w:r>
    </w:p>
    <w:p w14:paraId="55705F65">
      <w:pPr>
        <w:pStyle w:val="4"/>
        <w:bidi w:val="0"/>
        <w:rPr>
          <w:lang w:eastAsia="zh-CN"/>
        </w:rPr>
      </w:pPr>
      <w:r>
        <w:rPr>
          <w:lang w:eastAsia="zh-CN"/>
        </w:rPr>
        <w:t>原建筑内已设置消防应急照明和疏散指示系统时，使用功能改变的既有建筑整体改造工程，消防应急照明和疏散指示系统应执行现行标准。</w:t>
      </w:r>
    </w:p>
    <w:p w14:paraId="0E4F37B9">
      <w:pPr>
        <w:bidi w:val="0"/>
        <w:rPr>
          <w:highlight w:val="none"/>
          <w:lang w:eastAsia="zh-CN"/>
        </w:rPr>
      </w:pPr>
      <w:r>
        <w:rPr>
          <w:highlight w:val="none"/>
          <w:lang w:eastAsia="zh-CN"/>
        </w:rPr>
        <w:t>（参考《山东2023》6.5.1，部分术语参考《上海2024》）</w:t>
      </w:r>
    </w:p>
    <w:p w14:paraId="27B0DCC1">
      <w:pPr>
        <w:pStyle w:val="4"/>
        <w:bidi w:val="0"/>
        <w:rPr>
          <w:lang w:eastAsia="zh-CN"/>
        </w:rPr>
      </w:pPr>
      <w:r>
        <w:rPr>
          <w:lang w:eastAsia="zh-CN"/>
        </w:rPr>
        <w:t>原建筑内已设置消防应急照明和疏散指示系统时，使用功能未改变的既有建筑整体改造工程，消防应急照明和疏散指示标志灯具的选择、供电时间、布置及管线等应执行现行标准，系统形式、系统配电、系统控制等宜执行现行标准。</w:t>
      </w:r>
    </w:p>
    <w:p w14:paraId="0D6B0D6F">
      <w:pPr>
        <w:bidi w:val="0"/>
        <w:rPr>
          <w:highlight w:val="none"/>
          <w:lang w:eastAsia="zh-CN"/>
        </w:rPr>
      </w:pPr>
      <w:r>
        <w:rPr>
          <w:highlight w:val="none"/>
          <w:lang w:eastAsia="zh-CN"/>
        </w:rPr>
        <w:t>（参考《山东2024》6.5.2，部分术语参考《上海2024》）</w:t>
      </w:r>
    </w:p>
    <w:p w14:paraId="7D132807">
      <w:pPr>
        <w:pStyle w:val="4"/>
        <w:bidi w:val="0"/>
        <w:rPr>
          <w:lang w:eastAsia="zh-CN"/>
        </w:rPr>
      </w:pPr>
      <w:r>
        <w:rPr>
          <w:lang w:eastAsia="zh-CN"/>
        </w:rPr>
        <w:t>原建筑内已设置消防应急照明和疏散指示系统时，建筑内部装修</w:t>
      </w:r>
      <w:r>
        <w:rPr>
          <w:rFonts w:hint="eastAsia"/>
          <w:lang w:eastAsia="zh-CN"/>
        </w:rPr>
        <w:t>及</w:t>
      </w:r>
      <w:r>
        <w:rPr>
          <w:lang w:eastAsia="zh-CN"/>
        </w:rPr>
        <w:t>局部改造时，消防应急照明及疏散指示系统的设置应符合下列规定：</w:t>
      </w:r>
    </w:p>
    <w:p w14:paraId="23237679">
      <w:pPr>
        <w:bidi w:val="0"/>
        <w:rPr>
          <w:color w:val="auto"/>
          <w:highlight w:val="none"/>
          <w:lang w:eastAsia="zh-CN"/>
        </w:rPr>
      </w:pPr>
      <w:r>
        <w:rPr>
          <w:color w:val="auto"/>
          <w:highlight w:val="none"/>
          <w:lang w:eastAsia="zh-CN"/>
        </w:rPr>
        <w:t>1</w:t>
      </w:r>
      <w:r>
        <w:rPr>
          <w:rFonts w:hint="eastAsia"/>
          <w:color w:val="auto"/>
          <w:highlight w:val="none"/>
          <w:lang w:val="en-US" w:eastAsia="zh-CN"/>
        </w:rPr>
        <w:t xml:space="preserve"> </w:t>
      </w:r>
      <w:r>
        <w:rPr>
          <w:color w:val="auto"/>
          <w:highlight w:val="none"/>
          <w:lang w:eastAsia="zh-CN"/>
        </w:rPr>
        <w:t>防火分区</w:t>
      </w:r>
      <w:r>
        <w:rPr>
          <w:rFonts w:hint="eastAsia"/>
          <w:color w:val="auto"/>
          <w:highlight w:val="none"/>
          <w:lang w:val="en-US" w:eastAsia="zh-CN"/>
        </w:rPr>
        <w:t>整体</w:t>
      </w:r>
      <w:r>
        <w:rPr>
          <w:color w:val="auto"/>
          <w:highlight w:val="none"/>
          <w:lang w:eastAsia="zh-CN"/>
        </w:rPr>
        <w:t>改造时，消防应急照明和疏散指示标志灯具的选择、供电时间、布置及管线等应执行现行标准，系统形式、系统配电、系统控制等宜执行现行标准；</w:t>
      </w:r>
    </w:p>
    <w:p w14:paraId="6C1C0350">
      <w:pPr>
        <w:bidi w:val="0"/>
        <w:rPr>
          <w:color w:val="auto"/>
          <w:highlight w:val="none"/>
          <w:lang w:eastAsia="zh-CN"/>
        </w:rPr>
      </w:pPr>
      <w:r>
        <w:rPr>
          <w:color w:val="auto"/>
          <w:highlight w:val="none"/>
          <w:lang w:eastAsia="zh-CN"/>
        </w:rPr>
        <w:t>2</w:t>
      </w:r>
      <w:r>
        <w:rPr>
          <w:rFonts w:hint="eastAsia"/>
          <w:color w:val="auto"/>
          <w:highlight w:val="none"/>
          <w:lang w:val="en-US" w:eastAsia="zh-CN"/>
        </w:rPr>
        <w:t xml:space="preserve"> </w:t>
      </w:r>
      <w:r>
        <w:rPr>
          <w:color w:val="auto"/>
          <w:highlight w:val="none"/>
          <w:lang w:eastAsia="zh-CN"/>
        </w:rPr>
        <w:t>防火分区</w:t>
      </w:r>
      <w:r>
        <w:rPr>
          <w:rFonts w:hint="eastAsia"/>
          <w:color w:val="auto"/>
          <w:highlight w:val="none"/>
          <w:lang w:val="en-US" w:eastAsia="zh-CN"/>
        </w:rPr>
        <w:t>局部</w:t>
      </w:r>
      <w:r>
        <w:rPr>
          <w:color w:val="auto"/>
          <w:highlight w:val="none"/>
          <w:lang w:eastAsia="zh-CN"/>
        </w:rPr>
        <w:t>改造仅涉及末端设备调整时，消防应急照明和疏散指示标志灯具的选择、供电时间、布置及管线等应执行现行标准，系统形式、系统配电、系统控制等可</w:t>
      </w:r>
      <w:r>
        <w:rPr>
          <w:rFonts w:hint="eastAsia"/>
          <w:color w:val="auto"/>
          <w:highlight w:val="none"/>
          <w:lang w:val="en-US" w:eastAsia="zh-CN"/>
        </w:rPr>
        <w:t>执行</w:t>
      </w:r>
      <w:r>
        <w:rPr>
          <w:color w:val="auto"/>
          <w:highlight w:val="none"/>
          <w:lang w:eastAsia="zh-CN"/>
        </w:rPr>
        <w:t>原标准。</w:t>
      </w:r>
    </w:p>
    <w:p w14:paraId="3EF0D075">
      <w:pPr>
        <w:bidi w:val="0"/>
        <w:rPr>
          <w:highlight w:val="none"/>
          <w:lang w:eastAsia="zh-CN"/>
        </w:rPr>
      </w:pPr>
      <w:r>
        <w:rPr>
          <w:highlight w:val="none"/>
          <w:lang w:eastAsia="zh-CN"/>
        </w:rPr>
        <w:t>（参考《上海市2024》7.3.1，并作了一定调整）</w:t>
      </w:r>
    </w:p>
    <w:p w14:paraId="63664159">
      <w:pPr>
        <w:bidi w:val="0"/>
        <w:rPr>
          <w:rFonts w:hint="default"/>
          <w:highlight w:val="none"/>
          <w:lang w:val="en-US" w:eastAsia="zh-CN"/>
        </w:rPr>
      </w:pPr>
      <w:r>
        <w:rPr>
          <w:highlight w:val="none"/>
          <w:lang w:eastAsia="zh-CN"/>
        </w:rPr>
        <w:t>【条文说明】</w:t>
      </w:r>
      <w:r>
        <w:rPr>
          <w:rFonts w:hint="eastAsia"/>
          <w:highlight w:val="none"/>
          <w:lang w:eastAsia="zh-CN"/>
        </w:rPr>
        <w:t>7</w:t>
      </w:r>
      <w:r>
        <w:rPr>
          <w:highlight w:val="none"/>
          <w:lang w:eastAsia="zh-CN"/>
        </w:rPr>
        <w:t>.5.4由于消防应急照明及疏散指示系统原标准与现行标准差异较大，既有建筑局部改造时，消防应急照明及疏散指示系统的设置宜优先采用现行标准。</w:t>
      </w:r>
    </w:p>
    <w:p w14:paraId="7C72995E">
      <w:pPr>
        <w:bidi w:val="0"/>
        <w:rPr>
          <w:highlight w:val="none"/>
          <w:lang w:eastAsia="zh-CN"/>
        </w:rPr>
      </w:pPr>
      <w:r>
        <w:rPr>
          <w:highlight w:val="none"/>
          <w:lang w:eastAsia="zh-CN"/>
        </w:rPr>
        <w:t>电气的末端配电系统通常是以楼层或防火分区进行划分，整层改造的建筑，改造区域内执行现行标准相对容易实现。而对于消防应急照明及疏散指示系统的设置，若建筑内某一层（防火分区）改造时，仅剩局部不需要设置消防应急照明及疏散指示标志的场所以及核心筒、楼梯间、电梯厅或设备机房等不在改造范围内，仍视为整层改造。同时，在局部改造时，宜避免在同一楼层（防火分区）内消防应急照明及疏散指示标志采用不同系统型式的情况发生。若既有建筑的改造楼层楼梯间应急照明采用竖向供电方式，改造确有困难时，可维持原供电方式。</w:t>
      </w:r>
    </w:p>
    <w:p w14:paraId="32C821BA">
      <w:pPr>
        <w:pStyle w:val="3"/>
        <w:bidi w:val="0"/>
        <w:rPr>
          <w:highlight w:val="none"/>
          <w:lang w:eastAsia="zh-CN"/>
        </w:rPr>
      </w:pPr>
      <w:bookmarkStart w:id="119" w:name="_Toc21861"/>
      <w:r>
        <w:rPr>
          <w:highlight w:val="none"/>
          <w:lang w:eastAsia="zh-CN"/>
        </w:rPr>
        <w:t>布线系统</w:t>
      </w:r>
      <w:bookmarkEnd w:id="119"/>
    </w:p>
    <w:p w14:paraId="588DD6D0">
      <w:pPr>
        <w:pStyle w:val="4"/>
        <w:bidi w:val="0"/>
        <w:rPr>
          <w:lang w:eastAsia="zh-CN"/>
        </w:rPr>
      </w:pPr>
      <w:r>
        <w:rPr>
          <w:lang w:eastAsia="zh-CN"/>
        </w:rPr>
        <w:t>改造区域内消防与非消防电力线缆、控制线缆的选型与敷设，应满足现行消防技术标准的要求。</w:t>
      </w:r>
    </w:p>
    <w:p w14:paraId="3E64CDA7">
      <w:pPr>
        <w:bidi w:val="0"/>
        <w:rPr>
          <w:highlight w:val="none"/>
          <w:lang w:eastAsia="zh-CN"/>
        </w:rPr>
      </w:pPr>
      <w:r>
        <w:rPr>
          <w:highlight w:val="none"/>
          <w:lang w:eastAsia="zh-CN"/>
        </w:rPr>
        <w:t>（参考《北京市既有建筑改造工程消防设计指南》5.1.1、石家庄2024、黑龙江2024均有此要求）</w:t>
      </w:r>
    </w:p>
    <w:p w14:paraId="68F007EE">
      <w:pPr>
        <w:pStyle w:val="4"/>
        <w:bidi w:val="0"/>
        <w:rPr>
          <w:lang w:eastAsia="zh-CN"/>
        </w:rPr>
      </w:pPr>
      <w:r>
        <w:rPr>
          <w:lang w:eastAsia="zh-CN"/>
        </w:rPr>
        <w:t>局部改造项目中，与非改造区域共用的消防主干电缆可</w:t>
      </w:r>
      <w:r>
        <w:rPr>
          <w:rFonts w:hint="eastAsia"/>
          <w:lang w:val="en-US" w:eastAsia="zh-CN"/>
        </w:rPr>
        <w:t>执行</w:t>
      </w:r>
      <w:r>
        <w:rPr>
          <w:lang w:eastAsia="zh-CN"/>
        </w:rPr>
        <w:t>原标准，但电缆绝缘和载流量应满足改造后的要求。</w:t>
      </w:r>
    </w:p>
    <w:p w14:paraId="0149B6CE">
      <w:pPr>
        <w:bidi w:val="0"/>
        <w:rPr>
          <w:highlight w:val="none"/>
          <w:lang w:eastAsia="zh-CN"/>
        </w:rPr>
      </w:pPr>
      <w:r>
        <w:rPr>
          <w:highlight w:val="none"/>
          <w:lang w:eastAsia="zh-CN"/>
        </w:rPr>
        <w:t>（参考《江苏省既有建筑改造消防设计要点（试行）》4.3.11、山东6.7.2）</w:t>
      </w:r>
    </w:p>
    <w:p w14:paraId="489B3AC2">
      <w:pPr>
        <w:bidi w:val="0"/>
        <w:ind w:left="0" w:leftChars="0" w:firstLine="0" w:firstLineChars="0"/>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br w:type="page"/>
      </w:r>
    </w:p>
    <w:bookmarkEnd w:id="27"/>
    <w:bookmarkEnd w:id="28"/>
    <w:p w14:paraId="0A591B09">
      <w:pPr>
        <w:pStyle w:val="2"/>
        <w:numPr>
          <w:ilvl w:val="0"/>
          <w:numId w:val="0"/>
        </w:numPr>
        <w:spacing w:before="156" w:after="156" w:line="260" w:lineRule="atLeast"/>
        <w:jc w:val="both"/>
        <w:rPr>
          <w:rFonts w:hint="default" w:cs="Times New Roman"/>
          <w:color w:val="000000" w:themeColor="text1"/>
          <w:highlight w:val="none"/>
          <w:lang w:val="en-US"/>
          <w14:textFill>
            <w14:solidFill>
              <w14:schemeClr w14:val="tx1"/>
            </w14:solidFill>
          </w14:textFill>
        </w:rPr>
      </w:pPr>
      <w:bookmarkStart w:id="120" w:name="_Toc25388"/>
      <w:bookmarkStart w:id="121" w:name="_Toc109117980"/>
      <w:r>
        <w:rPr>
          <w:rFonts w:cs="Times New Roman"/>
          <w:color w:val="000000" w:themeColor="text1"/>
          <w:highlight w:val="none"/>
          <w14:textFill>
            <w14:solidFill>
              <w14:schemeClr w14:val="tx1"/>
            </w14:solidFill>
          </w14:textFill>
        </w:rPr>
        <w:t>附录</w:t>
      </w:r>
      <w:r>
        <w:rPr>
          <w:rFonts w:hint="eastAsia" w:cs="Times New Roman"/>
          <w:color w:val="000000" w:themeColor="text1"/>
          <w:highlight w:val="none"/>
          <w14:textFill>
            <w14:solidFill>
              <w14:schemeClr w14:val="tx1"/>
            </w14:solidFill>
          </w14:textFill>
        </w:rPr>
        <w:t>A</w:t>
      </w:r>
      <w:r>
        <w:rPr>
          <w:rFonts w:cs="Times New Roman"/>
          <w:color w:val="000000" w:themeColor="text1"/>
          <w:highlight w:val="none"/>
          <w14:textFill>
            <w14:solidFill>
              <w14:schemeClr w14:val="tx1"/>
            </w14:solidFill>
          </w14:textFill>
        </w:rPr>
        <w:t xml:space="preserve"> </w:t>
      </w:r>
      <w:r>
        <w:rPr>
          <w:rFonts w:hint="eastAsia" w:cs="Times New Roman"/>
          <w:color w:val="000000" w:themeColor="text1"/>
          <w:highlight w:val="none"/>
          <w:lang w:val="en-US" w:eastAsia="zh-CN"/>
          <w14:textFill>
            <w14:solidFill>
              <w14:schemeClr w14:val="tx1"/>
            </w14:solidFill>
          </w14:textFill>
        </w:rPr>
        <w:t>消防安全评估报告</w:t>
      </w:r>
      <w:bookmarkEnd w:id="120"/>
      <w:r>
        <w:rPr>
          <w:rFonts w:hint="eastAsia" w:cs="Times New Roman"/>
          <w:color w:val="000000" w:themeColor="text1"/>
          <w:highlight w:val="none"/>
          <w:lang w:val="en-US" w:eastAsia="zh-CN"/>
          <w14:textFill>
            <w14:solidFill>
              <w14:schemeClr w14:val="tx1"/>
            </w14:solidFill>
          </w14:textFill>
        </w:rPr>
        <w:t>示例</w:t>
      </w:r>
    </w:p>
    <w:p w14:paraId="14039555">
      <w:pPr>
        <w:bidi w:val="0"/>
      </w:pPr>
      <w:bookmarkStart w:id="122" w:name="_Toc1171"/>
      <w:bookmarkStart w:id="123" w:name="_Toc146643513"/>
      <w:bookmarkStart w:id="124" w:name="_Toc31376"/>
      <w:bookmarkStart w:id="125" w:name="_Toc15961"/>
      <w:bookmarkStart w:id="126" w:name="_Toc140411020"/>
      <w:r>
        <w:rPr>
          <w:rFonts w:hint="eastAsia"/>
        </w:rPr>
        <w:t>1、工程概况及消防安全基本情况</w:t>
      </w:r>
    </w:p>
    <w:p w14:paraId="582D9CBF">
      <w:pPr>
        <w:bidi w:val="0"/>
        <w:rPr>
          <w:rFonts w:hint="eastAsia"/>
          <w:lang w:eastAsia="zh-CN"/>
        </w:rPr>
      </w:pPr>
      <w:r>
        <w:rPr>
          <w:rFonts w:hint="eastAsia"/>
          <w:u w:val="single"/>
          <w:lang w:eastAsia="zh-CN"/>
        </w:rPr>
        <w:t xml:space="preserve">   　　　　　　　　　　　　　</w:t>
      </w:r>
      <w:r>
        <w:rPr>
          <w:rFonts w:hint="eastAsia"/>
        </w:rPr>
        <w:t>单位位于</w:t>
      </w:r>
      <w:r>
        <w:rPr>
          <w:rFonts w:hint="eastAsia"/>
          <w:lang w:eastAsia="zh-CN"/>
        </w:rPr>
        <w:t>云南省</w:t>
      </w:r>
      <w:r>
        <w:rPr>
          <w:rFonts w:hint="eastAsia"/>
          <w:u w:val="single"/>
          <w:lang w:eastAsia="zh-CN"/>
        </w:rPr>
        <w:t xml:space="preserve">   　　　　　</w:t>
      </w:r>
      <w:r>
        <w:rPr>
          <w:rFonts w:hint="eastAsia"/>
          <w:lang w:eastAsia="zh-CN"/>
        </w:rPr>
        <w:t>（州/市）</w:t>
      </w:r>
    </w:p>
    <w:p w14:paraId="58C4B9DB">
      <w:pPr>
        <w:bidi w:val="0"/>
        <w:ind w:left="0" w:leftChars="0" w:firstLine="0" w:firstLineChars="0"/>
        <w:rPr>
          <w:lang w:eastAsia="zh-CN"/>
        </w:rPr>
      </w:pPr>
      <w:r>
        <w:rPr>
          <w:rFonts w:hint="eastAsia"/>
          <w:u w:val="single"/>
          <w:lang w:eastAsia="zh-CN"/>
        </w:rPr>
        <w:t xml:space="preserve">   　　　　　</w:t>
      </w:r>
      <w:r>
        <w:rPr>
          <w:rFonts w:hint="eastAsia"/>
          <w:lang w:eastAsia="zh-CN"/>
        </w:rPr>
        <w:t>（县/</w:t>
      </w:r>
      <w:r>
        <w:rPr>
          <w:rFonts w:hint="eastAsia"/>
        </w:rPr>
        <w:t>区</w:t>
      </w:r>
      <w:r>
        <w:rPr>
          <w:rFonts w:hint="eastAsia"/>
          <w:lang w:eastAsia="zh-CN"/>
        </w:rPr>
        <w:t>)</w:t>
      </w:r>
      <w:r>
        <w:rPr>
          <w:rFonts w:hint="eastAsia"/>
          <w:u w:val="single"/>
          <w:lang w:eastAsia="zh-CN"/>
        </w:rPr>
        <w:t xml:space="preserve">   　　　</w:t>
      </w:r>
      <w:r>
        <w:rPr>
          <w:rFonts w:hint="eastAsia"/>
        </w:rPr>
        <w:t>路</w:t>
      </w:r>
      <w:r>
        <w:rPr>
          <w:rFonts w:hint="eastAsia"/>
          <w:u w:val="single"/>
          <w:lang w:eastAsia="zh-CN"/>
        </w:rPr>
        <w:t xml:space="preserve">   　　　</w:t>
      </w:r>
      <w:r>
        <w:rPr>
          <w:rFonts w:hint="eastAsia"/>
        </w:rPr>
        <w:t>号。该单位(</w:t>
      </w:r>
      <w:r>
        <w:rPr>
          <w:rFonts w:hint="eastAsia"/>
          <w:u w:val="single"/>
          <w:lang w:eastAsia="zh-CN"/>
        </w:rPr>
        <w:t xml:space="preserve">   　　　　　</w:t>
      </w:r>
      <w:r>
        <w:rPr>
          <w:rFonts w:hint="eastAsia"/>
        </w:rPr>
        <w:t>建筑或场所</w:t>
      </w:r>
      <w:r>
        <w:rPr>
          <w:rFonts w:hint="eastAsia"/>
          <w:u w:val="single"/>
          <w:lang w:eastAsia="zh-CN"/>
        </w:rPr>
        <w:t xml:space="preserve">   　</w:t>
      </w:r>
      <w:r>
        <w:rPr>
          <w:rFonts w:hint="eastAsia"/>
        </w:rPr>
        <w:t>层)于</w:t>
      </w:r>
      <w:r>
        <w:rPr>
          <w:rFonts w:hint="eastAsia"/>
          <w:u w:val="single"/>
          <w:lang w:eastAsia="zh-CN"/>
        </w:rPr>
        <w:t xml:space="preserve">   　</w:t>
      </w:r>
      <w:r>
        <w:rPr>
          <w:rFonts w:hint="eastAsia"/>
        </w:rPr>
        <w:t>年</w:t>
      </w:r>
      <w:r>
        <w:rPr>
          <w:rFonts w:hint="eastAsia"/>
          <w:u w:val="single"/>
          <w:lang w:eastAsia="zh-CN"/>
        </w:rPr>
        <w:t xml:space="preserve">   　</w:t>
      </w:r>
      <w:r>
        <w:rPr>
          <w:rFonts w:hint="eastAsia"/>
        </w:rPr>
        <w:t>月消防设计审核合格</w:t>
      </w:r>
      <w:r>
        <w:rPr>
          <w:rFonts w:hint="eastAsia"/>
          <w:lang w:eastAsia="zh-CN"/>
        </w:rPr>
        <w:t>，</w:t>
      </w:r>
      <w:r>
        <w:rPr>
          <w:rFonts w:hint="eastAsia"/>
          <w:u w:val="single"/>
          <w:lang w:eastAsia="zh-CN"/>
        </w:rPr>
        <w:t xml:space="preserve">   　</w:t>
      </w:r>
      <w:r>
        <w:rPr>
          <w:rFonts w:hint="eastAsia"/>
        </w:rPr>
        <w:t>年</w:t>
      </w:r>
      <w:r>
        <w:rPr>
          <w:rFonts w:hint="eastAsia"/>
          <w:u w:val="single"/>
          <w:lang w:eastAsia="zh-CN"/>
        </w:rPr>
        <w:t xml:space="preserve">   　</w:t>
      </w:r>
      <w:r>
        <w:rPr>
          <w:rFonts w:hint="eastAsia"/>
        </w:rPr>
        <w:t>月通过消防验收。建筑主要功能</w:t>
      </w:r>
      <w:r>
        <w:rPr>
          <w:rFonts w:hint="eastAsia"/>
          <w:lang w:eastAsia="zh-CN"/>
        </w:rPr>
        <w:t>为</w:t>
      </w:r>
      <w:r>
        <w:rPr>
          <w:rFonts w:hint="eastAsia"/>
          <w:u w:val="single"/>
          <w:lang w:eastAsia="zh-CN"/>
        </w:rPr>
        <w:t xml:space="preserve">   　　　　　　　　</w:t>
      </w:r>
      <w:r>
        <w:rPr>
          <w:rFonts w:hint="eastAsia"/>
          <w:lang w:eastAsia="zh-CN"/>
        </w:rPr>
        <w:t>，</w:t>
      </w:r>
      <w:r>
        <w:rPr>
          <w:rFonts w:hint="eastAsia"/>
        </w:rPr>
        <w:t>建筑类别</w:t>
      </w:r>
      <w:r>
        <w:rPr>
          <w:rFonts w:hint="eastAsia"/>
          <w:lang w:eastAsia="zh-CN"/>
        </w:rPr>
        <w:t>为</w:t>
      </w:r>
      <w:r>
        <w:rPr>
          <w:rFonts w:hint="eastAsia"/>
          <w:u w:val="single"/>
          <w:lang w:eastAsia="zh-CN"/>
        </w:rPr>
        <w:t xml:space="preserve">   　　　　　　</w:t>
      </w:r>
      <w:r>
        <w:rPr>
          <w:rFonts w:hint="eastAsia"/>
          <w:lang w:eastAsia="zh-CN"/>
        </w:rPr>
        <w:t>，</w:t>
      </w:r>
      <w:r>
        <w:rPr>
          <w:rFonts w:hint="eastAsia"/>
        </w:rPr>
        <w:t>耐火等级</w:t>
      </w:r>
      <w:r>
        <w:rPr>
          <w:rFonts w:hint="eastAsia"/>
          <w:lang w:eastAsia="zh-CN"/>
        </w:rPr>
        <w:t>为</w:t>
      </w:r>
      <w:r>
        <w:rPr>
          <w:rFonts w:hint="eastAsia"/>
          <w:u w:val="single"/>
          <w:lang w:eastAsia="zh-CN"/>
        </w:rPr>
        <w:t xml:space="preserve">   　　　　　　</w:t>
      </w:r>
      <w:r>
        <w:rPr>
          <w:rFonts w:hint="eastAsia"/>
        </w:rPr>
        <w:t>，火灾危险性分类</w:t>
      </w:r>
      <w:r>
        <w:rPr>
          <w:rFonts w:hint="eastAsia"/>
          <w:lang w:eastAsia="zh-CN"/>
        </w:rPr>
        <w:t>为</w:t>
      </w:r>
      <w:r>
        <w:rPr>
          <w:rFonts w:hint="eastAsia"/>
          <w:u w:val="single"/>
          <w:lang w:eastAsia="zh-CN"/>
        </w:rPr>
        <w:t xml:space="preserve">   　　　　　</w:t>
      </w:r>
      <w:r>
        <w:rPr>
          <w:rFonts w:hint="eastAsia"/>
        </w:rPr>
        <w:t>，总建筑面积</w:t>
      </w:r>
      <w:r>
        <w:rPr>
          <w:rFonts w:hint="eastAsia"/>
          <w:u w:val="single"/>
          <w:lang w:eastAsia="zh-CN"/>
        </w:rPr>
        <w:t xml:space="preserve">   　</w:t>
      </w:r>
      <w:r>
        <w:rPr>
          <w:rFonts w:hint="eastAsia"/>
        </w:rPr>
        <w:t>平方米</w:t>
      </w:r>
      <w:r>
        <w:rPr>
          <w:rFonts w:hint="eastAsia"/>
          <w:lang w:eastAsia="zh-CN"/>
        </w:rPr>
        <w:t>，</w:t>
      </w:r>
      <w:r>
        <w:rPr>
          <w:rFonts w:hint="eastAsia"/>
        </w:rPr>
        <w:t>地上</w:t>
      </w:r>
      <w:r>
        <w:rPr>
          <w:rFonts w:hint="eastAsia"/>
          <w:u w:val="single"/>
          <w:lang w:eastAsia="zh-CN"/>
        </w:rPr>
        <w:t xml:space="preserve">   　</w:t>
      </w:r>
      <w:r>
        <w:rPr>
          <w:rFonts w:hint="eastAsia"/>
        </w:rPr>
        <w:t>层，地下</w:t>
      </w:r>
      <w:r>
        <w:rPr>
          <w:rFonts w:hint="eastAsia"/>
          <w:u w:val="single"/>
          <w:lang w:eastAsia="zh-CN"/>
        </w:rPr>
        <w:t xml:space="preserve">   　</w:t>
      </w:r>
      <w:r>
        <w:rPr>
          <w:rFonts w:hint="eastAsia"/>
        </w:rPr>
        <w:t>层，建筑高度</w:t>
      </w:r>
      <w:r>
        <w:rPr>
          <w:rFonts w:hint="eastAsia"/>
          <w:u w:val="single"/>
          <w:lang w:eastAsia="zh-CN"/>
        </w:rPr>
        <w:t xml:space="preserve">   　</w:t>
      </w:r>
      <w:r>
        <w:rPr>
          <w:rFonts w:hint="eastAsia"/>
        </w:rPr>
        <w:t>米，建筑功能为</w:t>
      </w:r>
      <w:r>
        <w:rPr>
          <w:rFonts w:hint="eastAsia"/>
          <w:u w:val="single"/>
          <w:lang w:eastAsia="zh-CN"/>
        </w:rPr>
        <w:t xml:space="preserve">   　</w:t>
      </w:r>
      <w:r>
        <w:rPr>
          <w:rFonts w:hint="eastAsia"/>
        </w:rPr>
        <w:t>。建筑竣工日期</w:t>
      </w:r>
      <w:r>
        <w:rPr>
          <w:rFonts w:hint="eastAsia"/>
          <w:lang w:eastAsia="zh-CN"/>
        </w:rPr>
        <w:t>为</w:t>
      </w:r>
      <w:r>
        <w:rPr>
          <w:rFonts w:hint="eastAsia"/>
          <w:u w:val="single"/>
          <w:lang w:eastAsia="zh-CN"/>
        </w:rPr>
        <w:t xml:space="preserve">   　</w:t>
      </w:r>
      <w:r>
        <w:rPr>
          <w:rFonts w:hint="eastAsia"/>
          <w:lang w:eastAsia="zh-CN"/>
        </w:rPr>
        <w:t>年</w:t>
      </w:r>
      <w:r>
        <w:rPr>
          <w:rFonts w:hint="eastAsia"/>
          <w:u w:val="single"/>
          <w:lang w:eastAsia="zh-CN"/>
        </w:rPr>
        <w:t xml:space="preserve">   　</w:t>
      </w:r>
      <w:r>
        <w:rPr>
          <w:rFonts w:hint="eastAsia"/>
          <w:lang w:eastAsia="zh-CN"/>
        </w:rPr>
        <w:t>月</w:t>
      </w:r>
      <w:r>
        <w:rPr>
          <w:rFonts w:hint="eastAsia"/>
        </w:rPr>
        <w:t>，竣工</w:t>
      </w:r>
      <w:r>
        <w:rPr>
          <w:rFonts w:hint="eastAsia"/>
          <w:lang w:eastAsia="zh-CN"/>
        </w:rPr>
        <w:t>图纸提供情况</w:t>
      </w:r>
      <w:r>
        <w:rPr>
          <w:rFonts w:hint="eastAsia"/>
          <w:u w:val="single"/>
          <w:lang w:eastAsia="zh-CN"/>
        </w:rPr>
        <w:t xml:space="preserve">   　　　　　　　　　　　</w:t>
      </w:r>
      <w:r>
        <w:rPr>
          <w:rFonts w:hint="eastAsia"/>
          <w:lang w:eastAsia="zh-CN"/>
        </w:rPr>
        <w:t>，</w:t>
      </w:r>
      <w:r>
        <w:rPr>
          <w:rFonts w:hint="eastAsia"/>
        </w:rPr>
        <w:t>依法取得消防行政审批手续情况</w:t>
      </w:r>
      <w:r>
        <w:rPr>
          <w:rFonts w:hint="eastAsia"/>
          <w:u w:val="single"/>
          <w:lang w:eastAsia="zh-CN"/>
        </w:rPr>
        <w:t xml:space="preserve">   　　　　　　</w:t>
      </w:r>
      <w:r>
        <w:rPr>
          <w:rFonts w:hint="eastAsia"/>
        </w:rPr>
        <w:t>，原设计单位为</w:t>
      </w:r>
      <w:r>
        <w:rPr>
          <w:rFonts w:hint="eastAsia"/>
          <w:u w:val="single"/>
          <w:lang w:eastAsia="zh-CN"/>
        </w:rPr>
        <w:t xml:space="preserve">   　　　　</w:t>
      </w:r>
      <w:r>
        <w:rPr>
          <w:rFonts w:hint="eastAsia"/>
          <w:lang w:eastAsia="zh-CN"/>
        </w:rPr>
        <w:t>，</w:t>
      </w:r>
      <w:r>
        <w:rPr>
          <w:rFonts w:hint="eastAsia"/>
        </w:rPr>
        <w:t>原施工单位为</w:t>
      </w:r>
      <w:r>
        <w:rPr>
          <w:rFonts w:hint="eastAsia"/>
          <w:u w:val="single"/>
          <w:lang w:eastAsia="zh-CN"/>
        </w:rPr>
        <w:t xml:space="preserve">   　　　　　　　　</w:t>
      </w:r>
      <w:r>
        <w:rPr>
          <w:rFonts w:hint="eastAsia"/>
          <w:lang w:eastAsia="zh-CN"/>
        </w:rPr>
        <w:t>。</w:t>
      </w:r>
    </w:p>
    <w:p w14:paraId="774575BE">
      <w:pPr>
        <w:bidi w:val="0"/>
        <w:rPr>
          <w:lang w:eastAsia="zh-CN"/>
        </w:rPr>
      </w:pPr>
      <w:r>
        <w:rPr>
          <w:rFonts w:hint="eastAsia"/>
        </w:rPr>
        <w:t>主要消防设施有消防安全疏散设施、火灾应急照明系统、火灾自动报警系统、消火栓系统、自动喷水灭火系统、气体灭火系统、干粉灭火系统、机械加压送风系统、机械排烟系统、防火分隔系统、灭火器等。</w:t>
      </w:r>
      <w:r>
        <w:rPr>
          <w:rFonts w:hint="eastAsia"/>
          <w:lang w:eastAsia="zh-CN"/>
        </w:rPr>
        <w:t>（</w:t>
      </w:r>
      <w:r>
        <w:rPr>
          <w:rFonts w:hint="eastAsia"/>
        </w:rPr>
        <w:t>根据实际情况描述</w:t>
      </w:r>
      <w:r>
        <w:rPr>
          <w:rFonts w:hint="eastAsia"/>
          <w:lang w:eastAsia="zh-CN"/>
        </w:rPr>
        <w:t>）</w:t>
      </w:r>
    </w:p>
    <w:p w14:paraId="6CBE3407">
      <w:pPr>
        <w:bidi w:val="0"/>
        <w:rPr>
          <w:lang w:eastAsia="zh-CN"/>
        </w:rPr>
      </w:pPr>
      <w:r>
        <w:rPr>
          <w:rFonts w:hint="eastAsia"/>
        </w:rPr>
        <w:t>2、评估依据</w:t>
      </w:r>
      <w:r>
        <w:rPr>
          <w:rFonts w:hint="eastAsia"/>
          <w:lang w:eastAsia="zh-CN"/>
        </w:rPr>
        <w:t>（</w:t>
      </w:r>
      <w:r>
        <w:rPr>
          <w:rFonts w:hint="eastAsia"/>
        </w:rPr>
        <w:t>根据实际情况描述</w:t>
      </w:r>
      <w:r>
        <w:rPr>
          <w:rFonts w:hint="eastAsia"/>
          <w:lang w:eastAsia="zh-CN"/>
        </w:rPr>
        <w:t>）</w:t>
      </w:r>
    </w:p>
    <w:p w14:paraId="165A948A">
      <w:pPr>
        <w:bidi w:val="0"/>
      </w:pPr>
      <w:r>
        <w:rPr>
          <w:rFonts w:hint="eastAsia"/>
        </w:rPr>
        <w:t>本次消防技术评估的有关法律法规、规章及标准。</w:t>
      </w:r>
    </w:p>
    <w:p w14:paraId="2C68828D">
      <w:pPr>
        <w:bidi w:val="0"/>
      </w:pPr>
      <w:r>
        <w:rPr>
          <w:rFonts w:hint="eastAsia"/>
        </w:rPr>
        <w:t>3、执行现行技术标准的难点</w:t>
      </w:r>
    </w:p>
    <w:p w14:paraId="3EF8B588">
      <w:pPr>
        <w:bidi w:val="0"/>
        <w:rPr>
          <w:rFonts w:hint="eastAsia" w:eastAsia="宋体"/>
          <w:lang w:eastAsia="zh-CN"/>
        </w:rPr>
      </w:pPr>
      <w:r>
        <w:rPr>
          <w:rFonts w:hint="eastAsia"/>
          <w:lang w:eastAsia="zh-CN"/>
        </w:rPr>
        <w:t>（1）符合当</w:t>
      </w:r>
      <w:r>
        <w:rPr>
          <w:rFonts w:hint="eastAsia"/>
        </w:rPr>
        <w:t>时消防技术标准要求，但不符合现行技术标准要求的，存在问题及执行难点如下</w:t>
      </w:r>
      <w:r>
        <w:rPr>
          <w:rFonts w:hint="eastAsia"/>
          <w:lang w:eastAsia="zh-CN"/>
        </w:rPr>
        <w:t>：</w:t>
      </w:r>
    </w:p>
    <w:p w14:paraId="5CBEC9B6">
      <w:pPr>
        <w:bidi w:val="0"/>
      </w:pPr>
      <w:r>
        <w:rPr>
          <w:rFonts w:hint="eastAsia"/>
        </w:rPr>
        <w:t>存在的问题</w:t>
      </w:r>
      <w:r>
        <w:rPr>
          <w:rFonts w:hint="eastAsia"/>
          <w:lang w:eastAsia="zh-CN"/>
        </w:rPr>
        <w:t>：</w:t>
      </w:r>
      <w:r>
        <w:rPr>
          <w:rFonts w:hint="eastAsia"/>
          <w:u w:val="single"/>
          <w:lang w:eastAsia="zh-CN"/>
        </w:rPr>
        <w:t xml:space="preserve">   　　　　　　　　　　　　　　　　　　　　　　　　　</w:t>
      </w:r>
      <w:r>
        <w:rPr>
          <w:rFonts w:hint="eastAsia"/>
          <w:lang w:eastAsia="zh-CN"/>
        </w:rPr>
        <w:t>。</w:t>
      </w:r>
    </w:p>
    <w:p w14:paraId="2443ABEA">
      <w:pPr>
        <w:bidi w:val="0"/>
      </w:pPr>
      <w:r>
        <w:rPr>
          <w:rFonts w:hint="eastAsia"/>
        </w:rPr>
        <w:t>执行的难点</w:t>
      </w:r>
      <w:r>
        <w:rPr>
          <w:rFonts w:hint="eastAsia"/>
          <w:lang w:eastAsia="zh-CN"/>
        </w:rPr>
        <w:t>：</w:t>
      </w:r>
      <w:r>
        <w:rPr>
          <w:rFonts w:hint="eastAsia"/>
          <w:u w:val="single"/>
          <w:lang w:eastAsia="zh-CN"/>
        </w:rPr>
        <w:t xml:space="preserve">   　　　　　　　　　　　　　　　　　　　　　　　　　</w:t>
      </w:r>
      <w:r>
        <w:rPr>
          <w:rFonts w:hint="eastAsia"/>
          <w:lang w:eastAsia="zh-CN"/>
        </w:rPr>
        <w:t>。</w:t>
      </w:r>
    </w:p>
    <w:p w14:paraId="42F78C86">
      <w:pPr>
        <w:bidi w:val="0"/>
        <w:rPr>
          <w:rFonts w:hint="eastAsia" w:eastAsia="宋体"/>
          <w:lang w:eastAsia="zh-CN"/>
        </w:rPr>
      </w:pPr>
      <w:r>
        <w:rPr>
          <w:rFonts w:hint="eastAsia"/>
          <w:lang w:eastAsia="zh-CN"/>
        </w:rPr>
        <w:t>（2）</w:t>
      </w:r>
      <w:r>
        <w:rPr>
          <w:rFonts w:hint="eastAsia"/>
        </w:rPr>
        <w:t>其他难以执行现行技术标准要求的，问题及执行难点如下</w:t>
      </w:r>
      <w:r>
        <w:rPr>
          <w:rFonts w:hint="eastAsia"/>
          <w:lang w:eastAsia="zh-CN"/>
        </w:rPr>
        <w:t>：</w:t>
      </w:r>
    </w:p>
    <w:p w14:paraId="0BD7596C">
      <w:pPr>
        <w:bidi w:val="0"/>
      </w:pPr>
      <w:r>
        <w:rPr>
          <w:rFonts w:hint="eastAsia"/>
        </w:rPr>
        <w:t>存在的问题</w:t>
      </w:r>
      <w:r>
        <w:rPr>
          <w:rFonts w:hint="eastAsia"/>
          <w:lang w:eastAsia="zh-CN"/>
        </w:rPr>
        <w:t>：</w:t>
      </w:r>
      <w:r>
        <w:rPr>
          <w:rFonts w:hint="eastAsia"/>
          <w:u w:val="single"/>
          <w:lang w:eastAsia="zh-CN"/>
        </w:rPr>
        <w:t xml:space="preserve">   　　　　　　　　　　　　　　　　　　　　　　　　　</w:t>
      </w:r>
      <w:r>
        <w:rPr>
          <w:rFonts w:hint="eastAsia"/>
          <w:lang w:eastAsia="zh-CN"/>
        </w:rPr>
        <w:t>。</w:t>
      </w:r>
    </w:p>
    <w:p w14:paraId="1A23E6D4">
      <w:pPr>
        <w:bidi w:val="0"/>
      </w:pPr>
      <w:r>
        <w:rPr>
          <w:rFonts w:hint="eastAsia"/>
        </w:rPr>
        <w:t>执行的难点</w:t>
      </w:r>
      <w:r>
        <w:rPr>
          <w:rFonts w:hint="eastAsia"/>
          <w:lang w:eastAsia="zh-CN"/>
        </w:rPr>
        <w:t>：</w:t>
      </w:r>
      <w:r>
        <w:rPr>
          <w:rFonts w:hint="eastAsia"/>
          <w:u w:val="single"/>
          <w:lang w:eastAsia="zh-CN"/>
        </w:rPr>
        <w:t xml:space="preserve">   　　　　　　　　　　　　　　　　　　　　　　　　　</w:t>
      </w:r>
      <w:r>
        <w:rPr>
          <w:rFonts w:hint="eastAsia"/>
          <w:lang w:eastAsia="zh-CN"/>
        </w:rPr>
        <w:t>。</w:t>
      </w:r>
    </w:p>
    <w:p w14:paraId="4D692CF9">
      <w:pPr>
        <w:bidi w:val="0"/>
      </w:pPr>
      <w:r>
        <w:rPr>
          <w:rFonts w:hint="eastAsia"/>
        </w:rPr>
        <w:t>4、改造措施及建议</w:t>
      </w:r>
    </w:p>
    <w:p w14:paraId="4476256B">
      <w:pPr>
        <w:bidi w:val="0"/>
        <w:rPr>
          <w:rFonts w:hint="eastAsia" w:eastAsia="宋体"/>
          <w:lang w:eastAsia="zh-CN"/>
        </w:rPr>
      </w:pPr>
      <w:r>
        <w:rPr>
          <w:rFonts w:hint="eastAsia"/>
          <w:lang w:eastAsia="zh-CN"/>
        </w:rPr>
        <w:t>（1）</w:t>
      </w:r>
      <w:r>
        <w:rPr>
          <w:rFonts w:hint="eastAsia"/>
        </w:rPr>
        <w:t>建筑设计</w:t>
      </w:r>
      <w:r>
        <w:rPr>
          <w:rFonts w:hint="eastAsia"/>
          <w:lang w:eastAsia="zh-CN"/>
        </w:rPr>
        <w:t>：</w:t>
      </w:r>
      <w:r>
        <w:rPr>
          <w:rFonts w:hint="eastAsia"/>
          <w:u w:val="single"/>
          <w:lang w:eastAsia="zh-CN"/>
        </w:rPr>
        <w:t xml:space="preserve">   　　　　　　　　　　　　　　　　　　　　　　　　</w:t>
      </w:r>
      <w:r>
        <w:rPr>
          <w:rFonts w:hint="eastAsia"/>
          <w:lang w:eastAsia="zh-CN"/>
        </w:rPr>
        <w:t>。</w:t>
      </w:r>
    </w:p>
    <w:p w14:paraId="21ABC256">
      <w:pPr>
        <w:bidi w:val="0"/>
      </w:pPr>
      <w:r>
        <w:rPr>
          <w:rFonts w:hint="eastAsia"/>
          <w:lang w:eastAsia="zh-CN"/>
        </w:rPr>
        <w:t>（2）</w:t>
      </w:r>
      <w:r>
        <w:rPr>
          <w:rFonts w:hint="eastAsia"/>
        </w:rPr>
        <w:t>消防设施</w:t>
      </w:r>
      <w:r>
        <w:rPr>
          <w:rFonts w:hint="eastAsia"/>
          <w:lang w:eastAsia="zh-CN"/>
        </w:rPr>
        <w:t>：</w:t>
      </w:r>
      <w:r>
        <w:rPr>
          <w:rFonts w:hint="eastAsia"/>
          <w:u w:val="single"/>
          <w:lang w:eastAsia="zh-CN"/>
        </w:rPr>
        <w:t xml:space="preserve">   　　　　　　　　　　　　　　　　　　　　　　　　</w:t>
      </w:r>
      <w:r>
        <w:rPr>
          <w:rFonts w:hint="eastAsia"/>
          <w:lang w:eastAsia="zh-CN"/>
        </w:rPr>
        <w:t>。</w:t>
      </w:r>
    </w:p>
    <w:p w14:paraId="4743EC6D">
      <w:pPr>
        <w:bidi w:val="0"/>
      </w:pPr>
      <w:r>
        <w:rPr>
          <w:rFonts w:hint="eastAsia"/>
          <w:lang w:eastAsia="zh-CN"/>
        </w:rPr>
        <w:t>（3）</w:t>
      </w:r>
      <w:r>
        <w:rPr>
          <w:rFonts w:hint="eastAsia"/>
        </w:rPr>
        <w:t>消防电气</w:t>
      </w:r>
      <w:r>
        <w:rPr>
          <w:rFonts w:hint="eastAsia"/>
          <w:lang w:eastAsia="zh-CN"/>
        </w:rPr>
        <w:t>：</w:t>
      </w:r>
      <w:r>
        <w:rPr>
          <w:rFonts w:hint="eastAsia"/>
          <w:u w:val="single"/>
          <w:lang w:eastAsia="zh-CN"/>
        </w:rPr>
        <w:t xml:space="preserve">   　　　　　　　　　　　　　　　　　　　　　　　　</w:t>
      </w:r>
      <w:r>
        <w:rPr>
          <w:rFonts w:hint="eastAsia"/>
          <w:lang w:eastAsia="zh-CN"/>
        </w:rPr>
        <w:t>。</w:t>
      </w:r>
    </w:p>
    <w:p w14:paraId="53C4A5C8">
      <w:pPr>
        <w:bidi w:val="0"/>
      </w:pPr>
      <w:r>
        <w:rPr>
          <w:rFonts w:hint="eastAsia"/>
          <w:lang w:eastAsia="zh-CN"/>
        </w:rPr>
        <w:t>（4）</w:t>
      </w:r>
      <w:r>
        <w:rPr>
          <w:rFonts w:hint="eastAsia"/>
        </w:rPr>
        <w:t>消防安全管理</w:t>
      </w:r>
      <w:r>
        <w:rPr>
          <w:rFonts w:hint="eastAsia"/>
          <w:lang w:eastAsia="zh-CN"/>
        </w:rPr>
        <w:t>：</w:t>
      </w:r>
      <w:r>
        <w:rPr>
          <w:rFonts w:hint="eastAsia"/>
          <w:u w:val="single"/>
          <w:lang w:eastAsia="zh-CN"/>
        </w:rPr>
        <w:t xml:space="preserve">   　　　　　　　　　　　　　　　　　　　　　　</w:t>
      </w:r>
      <w:r>
        <w:rPr>
          <w:rFonts w:hint="eastAsia"/>
          <w:lang w:eastAsia="zh-CN"/>
        </w:rPr>
        <w:t>。</w:t>
      </w:r>
    </w:p>
    <w:p w14:paraId="7ABF266B">
      <w:pPr>
        <w:bidi w:val="0"/>
      </w:pPr>
      <w:r>
        <w:rPr>
          <w:rFonts w:hint="eastAsia"/>
        </w:rPr>
        <w:t>5、评估结论</w:t>
      </w:r>
    </w:p>
    <w:p w14:paraId="7668FB2F">
      <w:pPr>
        <w:bidi w:val="0"/>
        <w:rPr>
          <w:lang w:eastAsia="zh-CN"/>
        </w:rPr>
      </w:pPr>
      <w:r>
        <w:rPr>
          <w:rFonts w:hint="eastAsia"/>
          <w:lang w:eastAsia="zh-CN"/>
        </w:rPr>
        <w:t>根据消防安全评估的要求和程序，结合消防标准和《云南省既有建筑改造消防技术标准》，对消防评估内容进行分析。通过改造前情况和改造后需执行的标准进行对照、针对改造的难度提出改造后拟采取的消防技术措施，该建筑改造评估报告提出的解决措施和建议□可以/□不可以满足消防安全的技术要求。</w:t>
      </w:r>
    </w:p>
    <w:p w14:paraId="02C448BA">
      <w:pPr>
        <w:bidi w:val="0"/>
      </w:pPr>
      <w:r>
        <w:rPr>
          <w:rFonts w:hint="eastAsia"/>
        </w:rPr>
        <w:t>评估结论</w:t>
      </w:r>
      <w:r>
        <w:rPr>
          <w:rFonts w:hint="eastAsia"/>
          <w:lang w:eastAsia="zh-CN"/>
        </w:rPr>
        <w:t>：</w:t>
      </w:r>
      <w:r>
        <w:rPr>
          <w:rFonts w:hint="eastAsia"/>
        </w:rPr>
        <w:t>□可行</w:t>
      </w:r>
      <w:r>
        <w:rPr>
          <w:rFonts w:hint="eastAsia"/>
          <w:lang w:eastAsia="zh-CN"/>
        </w:rPr>
        <w:t xml:space="preserve"> </w:t>
      </w:r>
      <w:r>
        <w:rPr>
          <w:rFonts w:hint="eastAsia"/>
        </w:rPr>
        <w:t>□不可行</w:t>
      </w:r>
    </w:p>
    <w:p w14:paraId="2244E45E">
      <w:pPr>
        <w:bidi w:val="0"/>
      </w:pPr>
      <w:r>
        <w:rPr>
          <w:rFonts w:hint="eastAsia"/>
        </w:rPr>
        <w:t>注:报告封面、签字页及其他证明文件需随报告正文一同提交。</w:t>
      </w:r>
    </w:p>
    <w:p w14:paraId="603E6A0D">
      <w:pPr>
        <w:keepNext w:val="0"/>
        <w:keepLines w:val="0"/>
        <w:pageBreakBefore w:val="0"/>
        <w:widowControl w:val="0"/>
        <w:kinsoku/>
        <w:wordWrap/>
        <w:overflowPunct/>
        <w:topLinePunct w:val="0"/>
        <w:autoSpaceDE/>
        <w:autoSpaceDN/>
        <w:bidi w:val="0"/>
        <w:adjustRightInd/>
        <w:snapToGrid/>
        <w:spacing w:before="313" w:beforeLines="100" w:after="157" w:afterLines="50"/>
        <w:ind w:left="0" w:leftChars="0" w:firstLine="0" w:firstLineChars="0"/>
        <w:jc w:val="center"/>
        <w:textAlignment w:val="auto"/>
        <w:rPr>
          <w:rFonts w:hint="eastAsia"/>
          <w:highlight w:val="none"/>
          <w:lang w:val="en-US" w:eastAsia="zh-CN"/>
        </w:rPr>
      </w:pPr>
      <w:r>
        <w:rPr>
          <w:highlight w:val="none"/>
        </w:rPr>
        <w:t>表</w:t>
      </w:r>
      <w:r>
        <w:rPr>
          <w:rFonts w:hint="eastAsia"/>
          <w:highlight w:val="none"/>
        </w:rPr>
        <w:t>A</w:t>
      </w:r>
      <w:r>
        <w:rPr>
          <w:highlight w:val="none"/>
        </w:rPr>
        <w:t xml:space="preserve">.0.1 </w:t>
      </w:r>
      <w:r>
        <w:rPr>
          <w:rFonts w:hint="eastAsia"/>
          <w:highlight w:val="none"/>
          <w:lang w:val="en-US" w:eastAsia="zh-CN"/>
        </w:rPr>
        <w:t>既有建筑改造消防安全评估表</w:t>
      </w:r>
      <w:bookmarkEnd w:id="122"/>
      <w:bookmarkEnd w:id="123"/>
      <w:bookmarkEnd w:id="124"/>
      <w:bookmarkEnd w:id="125"/>
      <w:bookmarkEnd w:id="126"/>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53"/>
        <w:gridCol w:w="324"/>
        <w:gridCol w:w="214"/>
        <w:gridCol w:w="343"/>
        <w:gridCol w:w="222"/>
        <w:gridCol w:w="506"/>
        <w:gridCol w:w="495"/>
        <w:gridCol w:w="69"/>
        <w:gridCol w:w="506"/>
        <w:gridCol w:w="459"/>
        <w:gridCol w:w="138"/>
        <w:gridCol w:w="544"/>
        <w:gridCol w:w="54"/>
        <w:gridCol w:w="573"/>
        <w:gridCol w:w="78"/>
        <w:gridCol w:w="600"/>
        <w:gridCol w:w="163"/>
        <w:gridCol w:w="221"/>
        <w:gridCol w:w="300"/>
        <w:gridCol w:w="495"/>
        <w:gridCol w:w="81"/>
        <w:gridCol w:w="424"/>
        <w:gridCol w:w="999"/>
      </w:tblGrid>
      <w:tr w14:paraId="04C8F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529" w:type="dxa"/>
            <w:gridSpan w:val="4"/>
            <w:tcBorders>
              <w:tl2br w:val="nil"/>
              <w:tr2bl w:val="nil"/>
            </w:tcBorders>
            <w:tcMar>
              <w:top w:w="150" w:type="dxa"/>
              <w:left w:w="0" w:type="dxa"/>
              <w:bottom w:w="150" w:type="dxa"/>
              <w:right w:w="150" w:type="dxa"/>
            </w:tcMar>
            <w:vAlign w:val="center"/>
          </w:tcPr>
          <w:p w14:paraId="15F76E86">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工程名称</w:t>
            </w:r>
          </w:p>
        </w:tc>
        <w:tc>
          <w:tcPr>
            <w:tcW w:w="6911" w:type="dxa"/>
            <w:gridSpan w:val="19"/>
            <w:tcBorders>
              <w:tl2br w:val="nil"/>
              <w:tr2bl w:val="nil"/>
            </w:tcBorders>
            <w:tcMar>
              <w:top w:w="150" w:type="dxa"/>
              <w:left w:w="150" w:type="dxa"/>
              <w:bottom w:w="150" w:type="dxa"/>
              <w:right w:w="150" w:type="dxa"/>
            </w:tcMar>
            <w:vAlign w:val="center"/>
          </w:tcPr>
          <w:p w14:paraId="269F8EA2">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r>
      <w:tr w14:paraId="504F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529" w:type="dxa"/>
            <w:gridSpan w:val="4"/>
            <w:tcBorders>
              <w:tl2br w:val="nil"/>
              <w:tr2bl w:val="nil"/>
            </w:tcBorders>
            <w:tcMar>
              <w:top w:w="150" w:type="dxa"/>
              <w:left w:w="0" w:type="dxa"/>
              <w:bottom w:w="150" w:type="dxa"/>
              <w:right w:w="150" w:type="dxa"/>
            </w:tcMar>
            <w:vAlign w:val="center"/>
          </w:tcPr>
          <w:p w14:paraId="050CB791">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工程地址</w:t>
            </w:r>
          </w:p>
        </w:tc>
        <w:tc>
          <w:tcPr>
            <w:tcW w:w="6911" w:type="dxa"/>
            <w:gridSpan w:val="19"/>
            <w:tcBorders>
              <w:tl2br w:val="nil"/>
              <w:tr2bl w:val="nil"/>
            </w:tcBorders>
            <w:tcMar>
              <w:top w:w="150" w:type="dxa"/>
              <w:left w:w="150" w:type="dxa"/>
              <w:bottom w:w="150" w:type="dxa"/>
              <w:right w:w="150" w:type="dxa"/>
            </w:tcMar>
            <w:vAlign w:val="center"/>
          </w:tcPr>
          <w:p w14:paraId="2ABB0FD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eastAsia" w:ascii="Times New Roman" w:hAnsi="Times New Roman" w:eastAsia="宋体" w:cs="Times New Roman"/>
                <w:color w:val="000000" w:themeColor="text1"/>
                <w:sz w:val="18"/>
                <w:szCs w:val="18"/>
                <w:highlight w:val="none"/>
                <w:u w:val="single"/>
                <w:lang w:eastAsia="zh-CN"/>
                <w14:textFill>
                  <w14:solidFill>
                    <w14:schemeClr w14:val="tx1"/>
                  </w14:solidFill>
                </w14:textFill>
              </w:rPr>
              <w:t xml:space="preserve">            </w:t>
            </w:r>
            <w:r>
              <w:rPr>
                <w:rFonts w:hint="eastAsia" w:ascii="Times New Roman" w:hAnsi="Times New Roman" w:eastAsia="宋体" w:cs="Times New Roman"/>
                <w:color w:val="000000" w:themeColor="text1"/>
                <w:sz w:val="18"/>
                <w:szCs w:val="18"/>
                <w:highlight w:val="none"/>
                <w:u w:val="none"/>
                <w:lang w:val="en-US" w:eastAsia="zh-CN"/>
                <w14:textFill>
                  <w14:solidFill>
                    <w14:schemeClr w14:val="tx1"/>
                  </w14:solidFill>
                </w14:textFill>
              </w:rPr>
              <w:t>市</w:t>
            </w:r>
            <w:r>
              <w:rPr>
                <w:rFonts w:hint="eastAsia" w:ascii="Times New Roman" w:hAnsi="Times New Roman" w:eastAsia="宋体" w:cs="Times New Roman"/>
                <w:color w:val="000000" w:themeColor="text1"/>
                <w:sz w:val="18"/>
                <w:szCs w:val="18"/>
                <w:highlight w:val="none"/>
                <w:u w:val="single"/>
                <w:lang w:eastAsia="zh-CN"/>
                <w14:textFill>
                  <w14:solidFill>
                    <w14:schemeClr w14:val="tx1"/>
                  </w14:solidFill>
                </w14:textFill>
              </w:rPr>
              <w:t xml:space="preserve">            </w:t>
            </w: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区</w:t>
            </w:r>
            <w:r>
              <w:rPr>
                <w:rFonts w:hint="eastAsia" w:ascii="Times New Roman" w:hAnsi="Times New Roman" w:eastAsia="宋体" w:cs="Times New Roman"/>
                <w:color w:val="000000" w:themeColor="text1"/>
                <w:sz w:val="18"/>
                <w:szCs w:val="18"/>
                <w:highlight w:val="none"/>
                <w:u w:val="single"/>
                <w:lang w:eastAsia="zh-CN"/>
                <w14:textFill>
                  <w14:solidFill>
                    <w14:schemeClr w14:val="tx1"/>
                  </w14:solidFill>
                </w14:textFill>
              </w:rPr>
              <w:t xml:space="preserve">            </w:t>
            </w: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街道</w:t>
            </w:r>
            <w:r>
              <w:rPr>
                <w:rFonts w:hint="eastAsia" w:ascii="Times New Roman" w:hAnsi="Times New Roman" w:eastAsia="宋体" w:cs="Times New Roman"/>
                <w:color w:val="000000" w:themeColor="text1"/>
                <w:sz w:val="18"/>
                <w:szCs w:val="18"/>
                <w:highlight w:val="none"/>
                <w:u w:val="single"/>
                <w:lang w:eastAsia="zh-CN"/>
                <w14:textFill>
                  <w14:solidFill>
                    <w14:schemeClr w14:val="tx1"/>
                  </w14:solidFill>
                </w14:textFill>
              </w:rPr>
              <w:t xml:space="preserve">            </w:t>
            </w: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路</w:t>
            </w:r>
            <w:r>
              <w:rPr>
                <w:rFonts w:hint="eastAsia" w:ascii="Times New Roman" w:hAnsi="Times New Roman" w:eastAsia="宋体" w:cs="Times New Roman"/>
                <w:color w:val="000000" w:themeColor="text1"/>
                <w:sz w:val="18"/>
                <w:szCs w:val="18"/>
                <w:highlight w:val="none"/>
                <w:u w:val="single"/>
                <w:lang w:eastAsia="zh-CN"/>
                <w14:textFill>
                  <w14:solidFill>
                    <w14:schemeClr w14:val="tx1"/>
                  </w14:solidFill>
                </w14:textFill>
              </w:rPr>
              <w:t xml:space="preserve">            </w:t>
            </w: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号</w:t>
            </w:r>
          </w:p>
        </w:tc>
      </w:tr>
      <w:tr w14:paraId="35ABF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529" w:type="dxa"/>
            <w:gridSpan w:val="4"/>
            <w:tcBorders>
              <w:tl2br w:val="nil"/>
              <w:tr2bl w:val="nil"/>
            </w:tcBorders>
            <w:tcMar>
              <w:top w:w="150" w:type="dxa"/>
              <w:left w:w="0" w:type="dxa"/>
              <w:bottom w:w="150" w:type="dxa"/>
              <w:right w:w="150" w:type="dxa"/>
            </w:tcMar>
            <w:vAlign w:val="center"/>
          </w:tcPr>
          <w:p w14:paraId="701D9A17">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改造实施单位</w:t>
            </w:r>
          </w:p>
        </w:tc>
        <w:tc>
          <w:tcPr>
            <w:tcW w:w="2252" w:type="dxa"/>
            <w:gridSpan w:val="6"/>
            <w:tcBorders>
              <w:tl2br w:val="nil"/>
              <w:tr2bl w:val="nil"/>
            </w:tcBorders>
            <w:tcMar>
              <w:top w:w="150" w:type="dxa"/>
              <w:left w:w="150" w:type="dxa"/>
              <w:bottom w:w="150" w:type="dxa"/>
              <w:right w:w="150" w:type="dxa"/>
            </w:tcMar>
            <w:vAlign w:val="center"/>
          </w:tcPr>
          <w:p w14:paraId="4B4A3C44">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307" w:type="dxa"/>
            <w:gridSpan w:val="4"/>
            <w:tcBorders>
              <w:tl2br w:val="nil"/>
              <w:tr2bl w:val="nil"/>
            </w:tcBorders>
            <w:tcMar>
              <w:top w:w="150" w:type="dxa"/>
              <w:left w:w="150" w:type="dxa"/>
              <w:bottom w:w="150" w:type="dxa"/>
              <w:right w:w="150" w:type="dxa"/>
            </w:tcMar>
            <w:vAlign w:val="center"/>
          </w:tcPr>
          <w:p w14:paraId="434DFFAD">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原建设单位</w:t>
            </w:r>
          </w:p>
          <w:p w14:paraId="585C88A9">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（产权单位）</w:t>
            </w:r>
          </w:p>
        </w:tc>
        <w:tc>
          <w:tcPr>
            <w:tcW w:w="3352" w:type="dxa"/>
            <w:gridSpan w:val="9"/>
            <w:tcBorders>
              <w:tl2br w:val="nil"/>
              <w:tr2bl w:val="nil"/>
            </w:tcBorders>
            <w:tcMar>
              <w:top w:w="150" w:type="dxa"/>
              <w:left w:w="150" w:type="dxa"/>
              <w:bottom w:w="150" w:type="dxa"/>
              <w:right w:w="150" w:type="dxa"/>
            </w:tcMar>
            <w:vAlign w:val="center"/>
          </w:tcPr>
          <w:p w14:paraId="27247262">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r>
      <w:tr w14:paraId="16B5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529" w:type="dxa"/>
            <w:gridSpan w:val="4"/>
            <w:tcBorders>
              <w:tl2br w:val="nil"/>
              <w:tr2bl w:val="nil"/>
            </w:tcBorders>
            <w:tcMar>
              <w:top w:w="150" w:type="dxa"/>
              <w:left w:w="0" w:type="dxa"/>
              <w:bottom w:w="150" w:type="dxa"/>
              <w:right w:w="150" w:type="dxa"/>
            </w:tcMar>
            <w:vAlign w:val="center"/>
          </w:tcPr>
          <w:p w14:paraId="45CACA01">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改造设计单位</w:t>
            </w:r>
          </w:p>
        </w:tc>
        <w:tc>
          <w:tcPr>
            <w:tcW w:w="2252" w:type="dxa"/>
            <w:gridSpan w:val="6"/>
            <w:tcBorders>
              <w:tl2br w:val="nil"/>
              <w:tr2bl w:val="nil"/>
            </w:tcBorders>
            <w:tcMar>
              <w:top w:w="150" w:type="dxa"/>
              <w:left w:w="150" w:type="dxa"/>
              <w:bottom w:w="150" w:type="dxa"/>
              <w:right w:w="150" w:type="dxa"/>
            </w:tcMar>
            <w:vAlign w:val="center"/>
          </w:tcPr>
          <w:p w14:paraId="14D43E0E">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307" w:type="dxa"/>
            <w:gridSpan w:val="4"/>
            <w:tcBorders>
              <w:tl2br w:val="nil"/>
              <w:tr2bl w:val="nil"/>
            </w:tcBorders>
            <w:tcMar>
              <w:top w:w="150" w:type="dxa"/>
              <w:left w:w="150" w:type="dxa"/>
              <w:bottom w:w="150" w:type="dxa"/>
              <w:right w:w="150" w:type="dxa"/>
            </w:tcMar>
            <w:vAlign w:val="center"/>
          </w:tcPr>
          <w:p w14:paraId="347D097C">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原设计单位</w:t>
            </w:r>
          </w:p>
        </w:tc>
        <w:tc>
          <w:tcPr>
            <w:tcW w:w="3352" w:type="dxa"/>
            <w:gridSpan w:val="9"/>
            <w:tcBorders>
              <w:tl2br w:val="nil"/>
              <w:tr2bl w:val="nil"/>
            </w:tcBorders>
            <w:tcMar>
              <w:top w:w="150" w:type="dxa"/>
              <w:left w:w="150" w:type="dxa"/>
              <w:bottom w:w="150" w:type="dxa"/>
              <w:right w:w="150" w:type="dxa"/>
            </w:tcMar>
            <w:vAlign w:val="center"/>
          </w:tcPr>
          <w:p w14:paraId="400AA972">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r>
      <w:tr w14:paraId="27FAA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529" w:type="dxa"/>
            <w:gridSpan w:val="4"/>
            <w:tcBorders>
              <w:tl2br w:val="nil"/>
              <w:tr2bl w:val="nil"/>
            </w:tcBorders>
            <w:tcMar>
              <w:top w:w="150" w:type="dxa"/>
              <w:left w:w="0" w:type="dxa"/>
              <w:bottom w:w="150" w:type="dxa"/>
              <w:right w:w="150" w:type="dxa"/>
            </w:tcMar>
            <w:vAlign w:val="center"/>
          </w:tcPr>
          <w:p w14:paraId="530547DF">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评估单位</w:t>
            </w:r>
          </w:p>
        </w:tc>
        <w:tc>
          <w:tcPr>
            <w:tcW w:w="2252" w:type="dxa"/>
            <w:gridSpan w:val="6"/>
            <w:tcBorders>
              <w:tl2br w:val="nil"/>
              <w:tr2bl w:val="nil"/>
            </w:tcBorders>
            <w:tcMar>
              <w:top w:w="150" w:type="dxa"/>
              <w:left w:w="150" w:type="dxa"/>
              <w:bottom w:w="150" w:type="dxa"/>
              <w:right w:w="150" w:type="dxa"/>
            </w:tcMar>
            <w:vAlign w:val="center"/>
          </w:tcPr>
          <w:p w14:paraId="0B96F77F">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307" w:type="dxa"/>
            <w:gridSpan w:val="4"/>
            <w:tcBorders>
              <w:tl2br w:val="nil"/>
              <w:tr2bl w:val="nil"/>
            </w:tcBorders>
            <w:tcMar>
              <w:top w:w="150" w:type="dxa"/>
              <w:left w:w="150" w:type="dxa"/>
              <w:bottom w:w="150" w:type="dxa"/>
              <w:right w:w="150" w:type="dxa"/>
            </w:tcMar>
            <w:vAlign w:val="center"/>
          </w:tcPr>
          <w:p w14:paraId="57B9C567">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评估单位</w:t>
            </w:r>
          </w:p>
          <w:p w14:paraId="5E9223FC">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联系人</w:t>
            </w:r>
          </w:p>
        </w:tc>
        <w:tc>
          <w:tcPr>
            <w:tcW w:w="1060" w:type="dxa"/>
            <w:gridSpan w:val="4"/>
            <w:tcBorders>
              <w:tl2br w:val="nil"/>
              <w:tr2bl w:val="nil"/>
            </w:tcBorders>
            <w:tcMar>
              <w:top w:w="150" w:type="dxa"/>
              <w:left w:w="150" w:type="dxa"/>
              <w:bottom w:w="150" w:type="dxa"/>
              <w:right w:w="150" w:type="dxa"/>
            </w:tcMar>
            <w:vAlign w:val="center"/>
          </w:tcPr>
          <w:p w14:paraId="488E065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793" w:type="dxa"/>
            <w:gridSpan w:val="2"/>
            <w:tcBorders>
              <w:tl2br w:val="nil"/>
              <w:tr2bl w:val="nil"/>
            </w:tcBorders>
            <w:tcMar>
              <w:top w:w="150" w:type="dxa"/>
              <w:left w:w="150" w:type="dxa"/>
              <w:bottom w:w="150" w:type="dxa"/>
              <w:right w:w="150" w:type="dxa"/>
            </w:tcMar>
            <w:vAlign w:val="center"/>
          </w:tcPr>
          <w:p w14:paraId="123935CC">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联系电话</w:t>
            </w:r>
          </w:p>
        </w:tc>
        <w:tc>
          <w:tcPr>
            <w:tcW w:w="1499" w:type="dxa"/>
            <w:gridSpan w:val="3"/>
            <w:tcBorders>
              <w:tl2br w:val="nil"/>
              <w:tr2bl w:val="nil"/>
            </w:tcBorders>
            <w:tcMar>
              <w:top w:w="150" w:type="dxa"/>
              <w:left w:w="150" w:type="dxa"/>
              <w:bottom w:w="150" w:type="dxa"/>
              <w:right w:w="150" w:type="dxa"/>
            </w:tcMar>
            <w:vAlign w:val="center"/>
          </w:tcPr>
          <w:p w14:paraId="16225713">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0ED4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529" w:type="dxa"/>
            <w:gridSpan w:val="4"/>
            <w:tcBorders>
              <w:tl2br w:val="nil"/>
              <w:tr2bl w:val="nil"/>
            </w:tcBorders>
            <w:tcMar>
              <w:top w:w="150" w:type="dxa"/>
              <w:left w:w="0" w:type="dxa"/>
              <w:bottom w:w="150" w:type="dxa"/>
              <w:right w:w="150" w:type="dxa"/>
            </w:tcMar>
            <w:vAlign w:val="center"/>
          </w:tcPr>
          <w:p w14:paraId="7C4A3A50">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改造类别</w:t>
            </w:r>
          </w:p>
        </w:tc>
        <w:tc>
          <w:tcPr>
            <w:tcW w:w="6911" w:type="dxa"/>
            <w:gridSpan w:val="19"/>
            <w:tcBorders>
              <w:tl2br w:val="nil"/>
              <w:tr2bl w:val="nil"/>
            </w:tcBorders>
            <w:tcMar>
              <w:top w:w="150" w:type="dxa"/>
              <w:left w:w="150" w:type="dxa"/>
              <w:bottom w:w="150" w:type="dxa"/>
              <w:right w:w="150" w:type="dxa"/>
            </w:tcMar>
            <w:vAlign w:val="center"/>
          </w:tcPr>
          <w:p w14:paraId="4C731DF1">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w:t>
            </w: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既有建筑修</w:t>
            </w: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 xml:space="preserve">缮    </w:t>
            </w: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 xml:space="preserve"> </w:t>
            </w: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w:t>
            </w: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建筑立面改造</w:t>
            </w: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 xml:space="preserve">     □</w:t>
            </w: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 xml:space="preserve">内部装修 </w:t>
            </w:r>
          </w:p>
          <w:p w14:paraId="77E0524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left"/>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w:t>
            </w: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 xml:space="preserve">建筑局部改造 </w:t>
            </w: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 xml:space="preserve">    □</w:t>
            </w: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建筑整体改造</w:t>
            </w:r>
          </w:p>
        </w:tc>
      </w:tr>
      <w:tr w14:paraId="32E6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529" w:type="dxa"/>
            <w:gridSpan w:val="4"/>
            <w:tcBorders>
              <w:tl2br w:val="nil"/>
              <w:tr2bl w:val="nil"/>
            </w:tcBorders>
            <w:tcMar>
              <w:top w:w="150" w:type="dxa"/>
              <w:left w:w="0" w:type="dxa"/>
              <w:bottom w:w="150" w:type="dxa"/>
              <w:right w:w="150" w:type="dxa"/>
            </w:tcMar>
            <w:vAlign w:val="center"/>
          </w:tcPr>
          <w:p w14:paraId="4FBCFB7E">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改造前功能</w:t>
            </w:r>
          </w:p>
        </w:tc>
        <w:tc>
          <w:tcPr>
            <w:tcW w:w="2252" w:type="dxa"/>
            <w:gridSpan w:val="6"/>
            <w:tcBorders>
              <w:tl2br w:val="nil"/>
              <w:tr2bl w:val="nil"/>
            </w:tcBorders>
            <w:tcMar>
              <w:top w:w="150" w:type="dxa"/>
              <w:left w:w="150" w:type="dxa"/>
              <w:bottom w:w="150" w:type="dxa"/>
              <w:right w:w="150" w:type="dxa"/>
            </w:tcMar>
            <w:vAlign w:val="center"/>
          </w:tcPr>
          <w:p w14:paraId="5B16E0D2">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307" w:type="dxa"/>
            <w:gridSpan w:val="4"/>
            <w:tcBorders>
              <w:tl2br w:val="nil"/>
              <w:tr2bl w:val="nil"/>
            </w:tcBorders>
            <w:tcMar>
              <w:top w:w="150" w:type="dxa"/>
              <w:left w:w="150" w:type="dxa"/>
              <w:bottom w:w="150" w:type="dxa"/>
              <w:right w:w="150" w:type="dxa"/>
            </w:tcMar>
            <w:vAlign w:val="center"/>
          </w:tcPr>
          <w:p w14:paraId="2F468203">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改造后功能</w:t>
            </w:r>
          </w:p>
        </w:tc>
        <w:tc>
          <w:tcPr>
            <w:tcW w:w="3352" w:type="dxa"/>
            <w:gridSpan w:val="9"/>
            <w:tcBorders>
              <w:tl2br w:val="nil"/>
              <w:tr2bl w:val="nil"/>
            </w:tcBorders>
            <w:tcMar>
              <w:top w:w="150" w:type="dxa"/>
              <w:left w:w="150" w:type="dxa"/>
              <w:bottom w:w="150" w:type="dxa"/>
              <w:right w:w="150" w:type="dxa"/>
            </w:tcMar>
            <w:vAlign w:val="center"/>
          </w:tcPr>
          <w:p w14:paraId="32F6D87E">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r>
      <w:tr w14:paraId="34EEC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781" w:type="dxa"/>
            <w:gridSpan w:val="10"/>
            <w:tcBorders>
              <w:tl2br w:val="nil"/>
              <w:tr2bl w:val="nil"/>
            </w:tcBorders>
            <w:tcMar>
              <w:top w:w="150" w:type="dxa"/>
              <w:left w:w="0" w:type="dxa"/>
              <w:bottom w:w="150" w:type="dxa"/>
              <w:right w:w="150" w:type="dxa"/>
            </w:tcMar>
            <w:vAlign w:val="center"/>
          </w:tcPr>
          <w:p w14:paraId="3E751BF8">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改造前既有建筑施工图审查机构出具的综合</w:t>
            </w:r>
          </w:p>
          <w:p w14:paraId="34229CD2">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审查合格书，技术咨询报告等审查意见文号</w:t>
            </w:r>
          </w:p>
        </w:tc>
        <w:tc>
          <w:tcPr>
            <w:tcW w:w="1307" w:type="dxa"/>
            <w:gridSpan w:val="4"/>
            <w:tcBorders>
              <w:tl2br w:val="nil"/>
              <w:tr2bl w:val="nil"/>
            </w:tcBorders>
            <w:tcMar>
              <w:top w:w="150" w:type="dxa"/>
              <w:left w:w="150" w:type="dxa"/>
              <w:bottom w:w="150" w:type="dxa"/>
              <w:right w:w="150" w:type="dxa"/>
            </w:tcMar>
            <w:vAlign w:val="center"/>
          </w:tcPr>
          <w:p w14:paraId="67C6A6EE">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060" w:type="dxa"/>
            <w:gridSpan w:val="4"/>
            <w:tcBorders>
              <w:tl2br w:val="nil"/>
              <w:tr2bl w:val="nil"/>
            </w:tcBorders>
            <w:tcMar>
              <w:top w:w="150" w:type="dxa"/>
              <w:left w:w="150" w:type="dxa"/>
              <w:bottom w:w="150" w:type="dxa"/>
              <w:right w:w="150" w:type="dxa"/>
            </w:tcMar>
            <w:vAlign w:val="center"/>
          </w:tcPr>
          <w:p w14:paraId="3F480AE9">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审核日期</w:t>
            </w:r>
          </w:p>
        </w:tc>
        <w:tc>
          <w:tcPr>
            <w:tcW w:w="793" w:type="dxa"/>
            <w:gridSpan w:val="2"/>
            <w:tcBorders>
              <w:tl2br w:val="nil"/>
              <w:tr2bl w:val="nil"/>
            </w:tcBorders>
            <w:tcMar>
              <w:top w:w="150" w:type="dxa"/>
              <w:left w:w="150" w:type="dxa"/>
              <w:bottom w:w="150" w:type="dxa"/>
              <w:right w:w="150" w:type="dxa"/>
            </w:tcMar>
            <w:vAlign w:val="center"/>
          </w:tcPr>
          <w:p w14:paraId="37DD0B63">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99" w:type="dxa"/>
            <w:gridSpan w:val="3"/>
            <w:tcBorders>
              <w:tl2br w:val="nil"/>
              <w:tr2bl w:val="nil"/>
            </w:tcBorders>
            <w:tcMar>
              <w:top w:w="150" w:type="dxa"/>
              <w:left w:w="150" w:type="dxa"/>
              <w:bottom w:w="150" w:type="dxa"/>
              <w:right w:w="150" w:type="dxa"/>
            </w:tcMar>
            <w:vAlign w:val="center"/>
          </w:tcPr>
          <w:p w14:paraId="2D8E7F34">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此栏历史</w:t>
            </w: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久远</w:t>
            </w: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的可不填</w:t>
            </w:r>
          </w:p>
        </w:tc>
      </w:tr>
      <w:tr w14:paraId="3FE17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781" w:type="dxa"/>
            <w:gridSpan w:val="10"/>
            <w:tcBorders>
              <w:tl2br w:val="nil"/>
              <w:tr2bl w:val="nil"/>
            </w:tcBorders>
            <w:tcMar>
              <w:top w:w="150" w:type="dxa"/>
              <w:left w:w="0" w:type="dxa"/>
              <w:bottom w:w="150" w:type="dxa"/>
              <w:right w:w="150" w:type="dxa"/>
            </w:tcMar>
            <w:vAlign w:val="center"/>
          </w:tcPr>
          <w:p w14:paraId="7AA4FA30">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改造前既有建筑消防批复文件编号</w:t>
            </w:r>
          </w:p>
        </w:tc>
        <w:tc>
          <w:tcPr>
            <w:tcW w:w="1307" w:type="dxa"/>
            <w:gridSpan w:val="4"/>
            <w:tcBorders>
              <w:tl2br w:val="nil"/>
              <w:tr2bl w:val="nil"/>
            </w:tcBorders>
            <w:tcMar>
              <w:top w:w="150" w:type="dxa"/>
              <w:left w:w="150" w:type="dxa"/>
              <w:bottom w:w="150" w:type="dxa"/>
              <w:right w:w="150" w:type="dxa"/>
            </w:tcMar>
            <w:vAlign w:val="center"/>
          </w:tcPr>
          <w:p w14:paraId="7B54725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060" w:type="dxa"/>
            <w:gridSpan w:val="4"/>
            <w:tcBorders>
              <w:tl2br w:val="nil"/>
              <w:tr2bl w:val="nil"/>
            </w:tcBorders>
            <w:tcMar>
              <w:top w:w="150" w:type="dxa"/>
              <w:left w:w="150" w:type="dxa"/>
              <w:bottom w:w="150" w:type="dxa"/>
              <w:right w:w="150" w:type="dxa"/>
            </w:tcMar>
            <w:vAlign w:val="center"/>
          </w:tcPr>
          <w:p w14:paraId="1F2D909E">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审核日期</w:t>
            </w:r>
          </w:p>
        </w:tc>
        <w:tc>
          <w:tcPr>
            <w:tcW w:w="793" w:type="dxa"/>
            <w:gridSpan w:val="2"/>
            <w:tcBorders>
              <w:tl2br w:val="nil"/>
              <w:tr2bl w:val="nil"/>
            </w:tcBorders>
            <w:tcMar>
              <w:top w:w="150" w:type="dxa"/>
              <w:left w:w="150" w:type="dxa"/>
              <w:bottom w:w="150" w:type="dxa"/>
              <w:right w:w="150" w:type="dxa"/>
            </w:tcMar>
            <w:vAlign w:val="center"/>
          </w:tcPr>
          <w:p w14:paraId="2E02CCF3">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99" w:type="dxa"/>
            <w:gridSpan w:val="3"/>
            <w:tcBorders>
              <w:tl2br w:val="nil"/>
              <w:tr2bl w:val="nil"/>
            </w:tcBorders>
            <w:tcMar>
              <w:top w:w="150" w:type="dxa"/>
              <w:left w:w="150" w:type="dxa"/>
              <w:bottom w:w="150" w:type="dxa"/>
              <w:right w:w="150" w:type="dxa"/>
            </w:tcMar>
            <w:vAlign w:val="center"/>
          </w:tcPr>
          <w:p w14:paraId="389B330E">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此栏历史</w:t>
            </w: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久远</w:t>
            </w: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的可不填</w:t>
            </w:r>
          </w:p>
        </w:tc>
      </w:tr>
      <w:tr w14:paraId="7296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781" w:type="dxa"/>
            <w:gridSpan w:val="10"/>
            <w:tcBorders>
              <w:tl2br w:val="nil"/>
              <w:tr2bl w:val="nil"/>
            </w:tcBorders>
            <w:tcMar>
              <w:top w:w="150" w:type="dxa"/>
              <w:left w:w="0" w:type="dxa"/>
              <w:bottom w:w="150" w:type="dxa"/>
              <w:right w:w="150" w:type="dxa"/>
            </w:tcMar>
            <w:vAlign w:val="center"/>
          </w:tcPr>
          <w:p w14:paraId="1318D87D">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改造前既有建设工程质量监督机构</w:t>
            </w:r>
          </w:p>
        </w:tc>
        <w:tc>
          <w:tcPr>
            <w:tcW w:w="4659" w:type="dxa"/>
            <w:gridSpan w:val="13"/>
            <w:tcBorders>
              <w:tl2br w:val="nil"/>
              <w:tr2bl w:val="nil"/>
            </w:tcBorders>
            <w:tcMar>
              <w:top w:w="150" w:type="dxa"/>
              <w:left w:w="150" w:type="dxa"/>
              <w:bottom w:w="150" w:type="dxa"/>
              <w:right w:w="150" w:type="dxa"/>
            </w:tcMar>
            <w:vAlign w:val="center"/>
          </w:tcPr>
          <w:p w14:paraId="512912EC">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r>
      <w:tr w14:paraId="61589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8440" w:type="dxa"/>
            <w:gridSpan w:val="23"/>
            <w:tcBorders>
              <w:tl2br w:val="nil"/>
              <w:tr2bl w:val="nil"/>
            </w:tcBorders>
            <w:tcMar>
              <w:top w:w="150" w:type="dxa"/>
              <w:left w:w="0" w:type="dxa"/>
              <w:bottom w:w="150" w:type="dxa"/>
              <w:right w:w="150" w:type="dxa"/>
            </w:tcMar>
            <w:vAlign w:val="center"/>
          </w:tcPr>
          <w:p w14:paraId="296B6AD4">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一、工程概况</w:t>
            </w:r>
          </w:p>
        </w:tc>
      </w:tr>
      <w:tr w14:paraId="2C52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651" w:type="dxa"/>
            <w:vMerge w:val="restart"/>
            <w:tcBorders>
              <w:tl2br w:val="nil"/>
              <w:tr2bl w:val="nil"/>
            </w:tcBorders>
            <w:tcMar>
              <w:top w:w="150" w:type="dxa"/>
              <w:left w:w="0" w:type="dxa"/>
              <w:bottom w:w="150" w:type="dxa"/>
              <w:right w:w="150" w:type="dxa"/>
            </w:tcMar>
            <w:vAlign w:val="center"/>
          </w:tcPr>
          <w:p w14:paraId="1972B276">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时</w:t>
            </w:r>
          </w:p>
          <w:p w14:paraId="49FE33A8">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间</w:t>
            </w:r>
          </w:p>
        </w:tc>
        <w:tc>
          <w:tcPr>
            <w:tcW w:w="536" w:type="dxa"/>
            <w:gridSpan w:val="2"/>
            <w:vMerge w:val="restart"/>
            <w:tcBorders>
              <w:tl2br w:val="nil"/>
              <w:tr2bl w:val="nil"/>
            </w:tcBorders>
            <w:tcMar>
              <w:top w:w="150" w:type="dxa"/>
              <w:left w:w="150" w:type="dxa"/>
              <w:bottom w:w="150" w:type="dxa"/>
              <w:right w:w="150" w:type="dxa"/>
            </w:tcMar>
            <w:vAlign w:val="center"/>
          </w:tcPr>
          <w:p w14:paraId="035B415D">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建筑名称</w:t>
            </w:r>
          </w:p>
        </w:tc>
        <w:tc>
          <w:tcPr>
            <w:tcW w:w="563" w:type="dxa"/>
            <w:gridSpan w:val="2"/>
            <w:vMerge w:val="restart"/>
            <w:tcBorders>
              <w:tl2br w:val="nil"/>
              <w:tr2bl w:val="nil"/>
            </w:tcBorders>
            <w:tcMar>
              <w:top w:w="150" w:type="dxa"/>
              <w:left w:w="150" w:type="dxa"/>
              <w:bottom w:w="150" w:type="dxa"/>
              <w:right w:w="150" w:type="dxa"/>
            </w:tcMar>
            <w:vAlign w:val="center"/>
          </w:tcPr>
          <w:p w14:paraId="5B2F0AA7">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结构类型</w:t>
            </w:r>
          </w:p>
        </w:tc>
        <w:tc>
          <w:tcPr>
            <w:tcW w:w="505" w:type="dxa"/>
            <w:vMerge w:val="restart"/>
            <w:tcBorders>
              <w:tl2br w:val="nil"/>
              <w:tr2bl w:val="nil"/>
            </w:tcBorders>
            <w:tcMar>
              <w:top w:w="150" w:type="dxa"/>
              <w:left w:w="150" w:type="dxa"/>
              <w:bottom w:w="150" w:type="dxa"/>
              <w:right w:w="150" w:type="dxa"/>
            </w:tcMar>
            <w:vAlign w:val="center"/>
          </w:tcPr>
          <w:p w14:paraId="3D6005D6">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功能</w:t>
            </w:r>
          </w:p>
        </w:tc>
        <w:tc>
          <w:tcPr>
            <w:tcW w:w="563" w:type="dxa"/>
            <w:gridSpan w:val="2"/>
            <w:vMerge w:val="restart"/>
            <w:tcBorders>
              <w:tl2br w:val="nil"/>
              <w:tr2bl w:val="nil"/>
            </w:tcBorders>
            <w:tcMar>
              <w:top w:w="150" w:type="dxa"/>
              <w:left w:w="150" w:type="dxa"/>
              <w:bottom w:w="150" w:type="dxa"/>
              <w:right w:w="150" w:type="dxa"/>
            </w:tcMar>
            <w:vAlign w:val="center"/>
          </w:tcPr>
          <w:p w14:paraId="4BCC3B5F">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消防分类</w:t>
            </w:r>
          </w:p>
        </w:tc>
        <w:tc>
          <w:tcPr>
            <w:tcW w:w="505" w:type="dxa"/>
            <w:vMerge w:val="restart"/>
            <w:tcBorders>
              <w:tl2br w:val="nil"/>
              <w:tr2bl w:val="nil"/>
            </w:tcBorders>
            <w:tcMar>
              <w:top w:w="150" w:type="dxa"/>
              <w:left w:w="150" w:type="dxa"/>
              <w:bottom w:w="150" w:type="dxa"/>
              <w:right w:w="150" w:type="dxa"/>
            </w:tcMar>
            <w:vAlign w:val="center"/>
          </w:tcPr>
          <w:p w14:paraId="326C723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耐火等级</w:t>
            </w:r>
          </w:p>
        </w:tc>
        <w:tc>
          <w:tcPr>
            <w:tcW w:w="1193" w:type="dxa"/>
            <w:gridSpan w:val="4"/>
            <w:tcBorders>
              <w:tl2br w:val="nil"/>
              <w:tr2bl w:val="nil"/>
            </w:tcBorders>
            <w:tcMar>
              <w:top w:w="150" w:type="dxa"/>
              <w:left w:w="150" w:type="dxa"/>
              <w:bottom w:w="150" w:type="dxa"/>
              <w:right w:w="150" w:type="dxa"/>
            </w:tcMar>
            <w:vAlign w:val="center"/>
          </w:tcPr>
          <w:p w14:paraId="67565F34">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层数</w:t>
            </w:r>
          </w:p>
        </w:tc>
        <w:tc>
          <w:tcPr>
            <w:tcW w:w="650" w:type="dxa"/>
            <w:gridSpan w:val="2"/>
            <w:vMerge w:val="restart"/>
            <w:tcBorders>
              <w:tl2br w:val="nil"/>
              <w:tr2bl w:val="nil"/>
            </w:tcBorders>
            <w:tcMar>
              <w:top w:w="150" w:type="dxa"/>
              <w:left w:w="150" w:type="dxa"/>
              <w:bottom w:w="150" w:type="dxa"/>
              <w:right w:w="150" w:type="dxa"/>
            </w:tcMar>
            <w:vAlign w:val="center"/>
          </w:tcPr>
          <w:p w14:paraId="042C187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建筑高度</w:t>
            </w: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m</w:t>
            </w: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w:t>
            </w:r>
          </w:p>
        </w:tc>
        <w:tc>
          <w:tcPr>
            <w:tcW w:w="1281" w:type="dxa"/>
            <w:gridSpan w:val="4"/>
            <w:tcBorders>
              <w:tl2br w:val="nil"/>
              <w:tr2bl w:val="nil"/>
            </w:tcBorders>
            <w:tcMar>
              <w:top w:w="150" w:type="dxa"/>
              <w:left w:w="150" w:type="dxa"/>
              <w:bottom w:w="150" w:type="dxa"/>
              <w:right w:w="150" w:type="dxa"/>
            </w:tcMar>
            <w:vAlign w:val="center"/>
          </w:tcPr>
          <w:p w14:paraId="2B511592">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改造建筑</w:t>
            </w:r>
          </w:p>
          <w:p w14:paraId="2C651960">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面积</w:t>
            </w: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m²</w:t>
            </w: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w:t>
            </w:r>
          </w:p>
        </w:tc>
        <w:tc>
          <w:tcPr>
            <w:tcW w:w="1993" w:type="dxa"/>
            <w:gridSpan w:val="4"/>
            <w:tcBorders>
              <w:tl2br w:val="nil"/>
              <w:tr2bl w:val="nil"/>
            </w:tcBorders>
            <w:tcMar>
              <w:top w:w="150" w:type="dxa"/>
              <w:left w:w="150" w:type="dxa"/>
              <w:bottom w:w="150" w:type="dxa"/>
              <w:right w:w="150" w:type="dxa"/>
            </w:tcMar>
            <w:vAlign w:val="center"/>
          </w:tcPr>
          <w:p w14:paraId="3DFA0403">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建造年代</w:t>
            </w:r>
          </w:p>
        </w:tc>
      </w:tr>
      <w:tr w14:paraId="1E1D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651" w:type="dxa"/>
            <w:vMerge w:val="continue"/>
            <w:tcBorders>
              <w:tl2br w:val="nil"/>
              <w:tr2bl w:val="nil"/>
            </w:tcBorders>
            <w:tcMar>
              <w:top w:w="150" w:type="dxa"/>
              <w:left w:w="0" w:type="dxa"/>
              <w:bottom w:w="150" w:type="dxa"/>
              <w:right w:w="150" w:type="dxa"/>
            </w:tcMar>
            <w:vAlign w:val="center"/>
          </w:tcPr>
          <w:p w14:paraId="0E27F269">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536" w:type="dxa"/>
            <w:gridSpan w:val="2"/>
            <w:vMerge w:val="continue"/>
            <w:tcBorders>
              <w:tl2br w:val="nil"/>
              <w:tr2bl w:val="nil"/>
            </w:tcBorders>
            <w:tcMar>
              <w:top w:w="150" w:type="dxa"/>
              <w:left w:w="150" w:type="dxa"/>
              <w:bottom w:w="150" w:type="dxa"/>
              <w:right w:w="150" w:type="dxa"/>
            </w:tcMar>
            <w:vAlign w:val="center"/>
          </w:tcPr>
          <w:p w14:paraId="28F3BD2B">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563" w:type="dxa"/>
            <w:gridSpan w:val="2"/>
            <w:vMerge w:val="continue"/>
            <w:tcBorders>
              <w:tl2br w:val="nil"/>
              <w:tr2bl w:val="nil"/>
            </w:tcBorders>
            <w:tcMar>
              <w:top w:w="150" w:type="dxa"/>
              <w:left w:w="150" w:type="dxa"/>
              <w:bottom w:w="150" w:type="dxa"/>
              <w:right w:w="150" w:type="dxa"/>
            </w:tcMar>
            <w:vAlign w:val="center"/>
          </w:tcPr>
          <w:p w14:paraId="740A3D8B">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505" w:type="dxa"/>
            <w:vMerge w:val="continue"/>
            <w:tcBorders>
              <w:tl2br w:val="nil"/>
              <w:tr2bl w:val="nil"/>
            </w:tcBorders>
            <w:tcMar>
              <w:top w:w="150" w:type="dxa"/>
              <w:left w:w="150" w:type="dxa"/>
              <w:bottom w:w="150" w:type="dxa"/>
              <w:right w:w="150" w:type="dxa"/>
            </w:tcMar>
            <w:vAlign w:val="center"/>
          </w:tcPr>
          <w:p w14:paraId="0ECF18B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563" w:type="dxa"/>
            <w:gridSpan w:val="2"/>
            <w:vMerge w:val="continue"/>
            <w:tcBorders>
              <w:tl2br w:val="nil"/>
              <w:tr2bl w:val="nil"/>
            </w:tcBorders>
            <w:tcMar>
              <w:top w:w="150" w:type="dxa"/>
              <w:left w:w="150" w:type="dxa"/>
              <w:bottom w:w="150" w:type="dxa"/>
              <w:right w:w="150" w:type="dxa"/>
            </w:tcMar>
            <w:vAlign w:val="center"/>
          </w:tcPr>
          <w:p w14:paraId="7C8139F6">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505" w:type="dxa"/>
            <w:vMerge w:val="continue"/>
            <w:tcBorders>
              <w:tl2br w:val="nil"/>
              <w:tr2bl w:val="nil"/>
            </w:tcBorders>
            <w:tcMar>
              <w:top w:w="150" w:type="dxa"/>
              <w:left w:w="150" w:type="dxa"/>
              <w:bottom w:w="150" w:type="dxa"/>
              <w:right w:w="150" w:type="dxa"/>
            </w:tcMar>
            <w:vAlign w:val="center"/>
          </w:tcPr>
          <w:p w14:paraId="49F5535B">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596" w:type="dxa"/>
            <w:gridSpan w:val="2"/>
            <w:tcBorders>
              <w:tl2br w:val="nil"/>
              <w:tr2bl w:val="nil"/>
            </w:tcBorders>
            <w:tcMar>
              <w:top w:w="150" w:type="dxa"/>
              <w:left w:w="150" w:type="dxa"/>
              <w:bottom w:w="150" w:type="dxa"/>
              <w:right w:w="150" w:type="dxa"/>
            </w:tcMar>
            <w:vAlign w:val="center"/>
          </w:tcPr>
          <w:p w14:paraId="441F0173">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地上</w:t>
            </w:r>
          </w:p>
        </w:tc>
        <w:tc>
          <w:tcPr>
            <w:tcW w:w="597" w:type="dxa"/>
            <w:gridSpan w:val="2"/>
            <w:tcBorders>
              <w:tl2br w:val="nil"/>
              <w:tr2bl w:val="nil"/>
            </w:tcBorders>
            <w:tcMar>
              <w:top w:w="150" w:type="dxa"/>
              <w:left w:w="150" w:type="dxa"/>
              <w:bottom w:w="150" w:type="dxa"/>
              <w:right w:w="150" w:type="dxa"/>
            </w:tcMar>
            <w:vAlign w:val="center"/>
          </w:tcPr>
          <w:p w14:paraId="0195B0AD">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地下</w:t>
            </w:r>
          </w:p>
        </w:tc>
        <w:tc>
          <w:tcPr>
            <w:tcW w:w="650" w:type="dxa"/>
            <w:gridSpan w:val="2"/>
            <w:vMerge w:val="continue"/>
            <w:tcBorders>
              <w:tl2br w:val="nil"/>
              <w:tr2bl w:val="nil"/>
            </w:tcBorders>
            <w:tcMar>
              <w:top w:w="150" w:type="dxa"/>
              <w:left w:w="150" w:type="dxa"/>
              <w:bottom w:w="150" w:type="dxa"/>
              <w:right w:w="150" w:type="dxa"/>
            </w:tcMar>
            <w:vAlign w:val="center"/>
          </w:tcPr>
          <w:p w14:paraId="402B13F9">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599" w:type="dxa"/>
            <w:tcBorders>
              <w:tl2br w:val="nil"/>
              <w:tr2bl w:val="nil"/>
            </w:tcBorders>
            <w:tcMar>
              <w:top w:w="150" w:type="dxa"/>
              <w:left w:w="150" w:type="dxa"/>
              <w:bottom w:w="150" w:type="dxa"/>
              <w:right w:w="150" w:type="dxa"/>
            </w:tcMar>
            <w:vAlign w:val="center"/>
          </w:tcPr>
          <w:p w14:paraId="17A0F23F">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地上</w:t>
            </w:r>
          </w:p>
        </w:tc>
        <w:tc>
          <w:tcPr>
            <w:tcW w:w="682" w:type="dxa"/>
            <w:gridSpan w:val="3"/>
            <w:tcBorders>
              <w:tl2br w:val="nil"/>
              <w:tr2bl w:val="nil"/>
            </w:tcBorders>
            <w:tcMar>
              <w:top w:w="150" w:type="dxa"/>
              <w:left w:w="150" w:type="dxa"/>
              <w:bottom w:w="150" w:type="dxa"/>
              <w:right w:w="150" w:type="dxa"/>
            </w:tcMar>
            <w:vAlign w:val="center"/>
          </w:tcPr>
          <w:p w14:paraId="004CBAC7">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地下</w:t>
            </w:r>
          </w:p>
        </w:tc>
        <w:tc>
          <w:tcPr>
            <w:tcW w:w="997" w:type="dxa"/>
            <w:gridSpan w:val="3"/>
            <w:tcBorders>
              <w:tl2br w:val="nil"/>
              <w:tr2bl w:val="nil"/>
            </w:tcBorders>
            <w:tcMar>
              <w:top w:w="150" w:type="dxa"/>
              <w:left w:w="150" w:type="dxa"/>
              <w:bottom w:w="150" w:type="dxa"/>
              <w:right w:w="150" w:type="dxa"/>
            </w:tcMar>
            <w:vAlign w:val="center"/>
          </w:tcPr>
          <w:p w14:paraId="439A3F99">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设计</w:t>
            </w:r>
          </w:p>
          <w:p w14:paraId="10746EDD">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日期</w:t>
            </w:r>
          </w:p>
        </w:tc>
        <w:tc>
          <w:tcPr>
            <w:tcW w:w="996" w:type="dxa"/>
            <w:tcBorders>
              <w:tl2br w:val="nil"/>
              <w:tr2bl w:val="nil"/>
            </w:tcBorders>
            <w:tcMar>
              <w:top w:w="150" w:type="dxa"/>
              <w:left w:w="150" w:type="dxa"/>
              <w:bottom w:w="150" w:type="dxa"/>
              <w:right w:w="150" w:type="dxa"/>
            </w:tcMar>
            <w:vAlign w:val="center"/>
          </w:tcPr>
          <w:p w14:paraId="28C6C03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竣工</w:t>
            </w:r>
          </w:p>
          <w:p w14:paraId="7439E93B">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日期</w:t>
            </w:r>
          </w:p>
        </w:tc>
      </w:tr>
      <w:tr w14:paraId="7FA6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651" w:type="dxa"/>
            <w:tcBorders>
              <w:tl2br w:val="nil"/>
              <w:tr2bl w:val="nil"/>
            </w:tcBorders>
            <w:tcMar>
              <w:top w:w="150" w:type="dxa"/>
              <w:left w:w="0" w:type="dxa"/>
              <w:bottom w:w="150" w:type="dxa"/>
              <w:right w:w="150" w:type="dxa"/>
            </w:tcMar>
            <w:vAlign w:val="center"/>
          </w:tcPr>
          <w:p w14:paraId="32B838EF">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改</w:t>
            </w:r>
          </w:p>
          <w:p w14:paraId="603B9AEC">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造</w:t>
            </w:r>
          </w:p>
          <w:p w14:paraId="5EC3F6A4">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前</w:t>
            </w:r>
          </w:p>
        </w:tc>
        <w:tc>
          <w:tcPr>
            <w:tcW w:w="536" w:type="dxa"/>
            <w:gridSpan w:val="2"/>
            <w:tcBorders>
              <w:tl2br w:val="nil"/>
              <w:tr2bl w:val="nil"/>
            </w:tcBorders>
            <w:tcMar>
              <w:top w:w="150" w:type="dxa"/>
              <w:left w:w="150" w:type="dxa"/>
              <w:bottom w:w="150" w:type="dxa"/>
              <w:right w:w="150" w:type="dxa"/>
            </w:tcMar>
            <w:vAlign w:val="center"/>
          </w:tcPr>
          <w:p w14:paraId="410965D9">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563" w:type="dxa"/>
            <w:gridSpan w:val="2"/>
            <w:tcBorders>
              <w:tl2br w:val="nil"/>
              <w:tr2bl w:val="nil"/>
            </w:tcBorders>
            <w:tcMar>
              <w:top w:w="150" w:type="dxa"/>
              <w:left w:w="150" w:type="dxa"/>
              <w:bottom w:w="150" w:type="dxa"/>
              <w:right w:w="150" w:type="dxa"/>
            </w:tcMar>
            <w:vAlign w:val="center"/>
          </w:tcPr>
          <w:p w14:paraId="63F536B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505" w:type="dxa"/>
            <w:tcBorders>
              <w:tl2br w:val="nil"/>
              <w:tr2bl w:val="nil"/>
            </w:tcBorders>
            <w:tcMar>
              <w:top w:w="150" w:type="dxa"/>
              <w:left w:w="150" w:type="dxa"/>
              <w:bottom w:w="150" w:type="dxa"/>
              <w:right w:w="150" w:type="dxa"/>
            </w:tcMar>
            <w:vAlign w:val="center"/>
          </w:tcPr>
          <w:p w14:paraId="580636E7">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563" w:type="dxa"/>
            <w:gridSpan w:val="2"/>
            <w:tcBorders>
              <w:tl2br w:val="nil"/>
              <w:tr2bl w:val="nil"/>
            </w:tcBorders>
            <w:tcMar>
              <w:top w:w="150" w:type="dxa"/>
              <w:left w:w="150" w:type="dxa"/>
              <w:bottom w:w="150" w:type="dxa"/>
              <w:right w:w="150" w:type="dxa"/>
            </w:tcMar>
            <w:vAlign w:val="center"/>
          </w:tcPr>
          <w:p w14:paraId="017AA56C">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505" w:type="dxa"/>
            <w:tcBorders>
              <w:tl2br w:val="nil"/>
              <w:tr2bl w:val="nil"/>
            </w:tcBorders>
            <w:tcMar>
              <w:top w:w="150" w:type="dxa"/>
              <w:left w:w="150" w:type="dxa"/>
              <w:bottom w:w="150" w:type="dxa"/>
              <w:right w:w="150" w:type="dxa"/>
            </w:tcMar>
            <w:vAlign w:val="center"/>
          </w:tcPr>
          <w:p w14:paraId="6BB6DD0B">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596" w:type="dxa"/>
            <w:gridSpan w:val="2"/>
            <w:tcBorders>
              <w:tl2br w:val="nil"/>
              <w:tr2bl w:val="nil"/>
            </w:tcBorders>
            <w:tcMar>
              <w:top w:w="150" w:type="dxa"/>
              <w:left w:w="150" w:type="dxa"/>
              <w:bottom w:w="150" w:type="dxa"/>
              <w:right w:w="150" w:type="dxa"/>
            </w:tcMar>
            <w:vAlign w:val="center"/>
          </w:tcPr>
          <w:p w14:paraId="7D97C251">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597" w:type="dxa"/>
            <w:gridSpan w:val="2"/>
            <w:tcBorders>
              <w:tl2br w:val="nil"/>
              <w:tr2bl w:val="nil"/>
            </w:tcBorders>
            <w:tcMar>
              <w:top w:w="150" w:type="dxa"/>
              <w:left w:w="150" w:type="dxa"/>
              <w:bottom w:w="150" w:type="dxa"/>
              <w:right w:w="150" w:type="dxa"/>
            </w:tcMar>
            <w:vAlign w:val="center"/>
          </w:tcPr>
          <w:p w14:paraId="579598A8">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650" w:type="dxa"/>
            <w:gridSpan w:val="2"/>
            <w:tcBorders>
              <w:tl2br w:val="nil"/>
              <w:tr2bl w:val="nil"/>
            </w:tcBorders>
            <w:tcMar>
              <w:top w:w="150" w:type="dxa"/>
              <w:left w:w="150" w:type="dxa"/>
              <w:bottom w:w="150" w:type="dxa"/>
              <w:right w:w="150" w:type="dxa"/>
            </w:tcMar>
            <w:vAlign w:val="center"/>
          </w:tcPr>
          <w:p w14:paraId="746EDA39">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599" w:type="dxa"/>
            <w:tcBorders>
              <w:tl2br w:val="nil"/>
              <w:tr2bl w:val="nil"/>
            </w:tcBorders>
            <w:tcMar>
              <w:top w:w="150" w:type="dxa"/>
              <w:left w:w="150" w:type="dxa"/>
              <w:bottom w:w="150" w:type="dxa"/>
              <w:right w:w="150" w:type="dxa"/>
            </w:tcMar>
            <w:vAlign w:val="center"/>
          </w:tcPr>
          <w:p w14:paraId="4D263B2D">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682" w:type="dxa"/>
            <w:gridSpan w:val="3"/>
            <w:tcBorders>
              <w:tl2br w:val="nil"/>
              <w:tr2bl w:val="nil"/>
            </w:tcBorders>
            <w:tcMar>
              <w:top w:w="150" w:type="dxa"/>
              <w:left w:w="150" w:type="dxa"/>
              <w:bottom w:w="150" w:type="dxa"/>
              <w:right w:w="150" w:type="dxa"/>
            </w:tcMar>
            <w:vAlign w:val="center"/>
          </w:tcPr>
          <w:p w14:paraId="07CDD308">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997" w:type="dxa"/>
            <w:gridSpan w:val="3"/>
            <w:tcBorders>
              <w:tl2br w:val="nil"/>
              <w:tr2bl w:val="nil"/>
            </w:tcBorders>
            <w:tcMar>
              <w:top w:w="150" w:type="dxa"/>
              <w:left w:w="150" w:type="dxa"/>
              <w:bottom w:w="150" w:type="dxa"/>
              <w:right w:w="150" w:type="dxa"/>
            </w:tcMar>
            <w:vAlign w:val="center"/>
          </w:tcPr>
          <w:p w14:paraId="789D53DC">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996" w:type="dxa"/>
            <w:tcBorders>
              <w:tl2br w:val="nil"/>
              <w:tr2bl w:val="nil"/>
            </w:tcBorders>
            <w:tcMar>
              <w:top w:w="150" w:type="dxa"/>
              <w:left w:w="150" w:type="dxa"/>
              <w:bottom w:w="150" w:type="dxa"/>
              <w:right w:w="150" w:type="dxa"/>
            </w:tcMar>
            <w:vAlign w:val="center"/>
          </w:tcPr>
          <w:p w14:paraId="6034A6FE">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r>
      <w:tr w14:paraId="75EA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651" w:type="dxa"/>
            <w:tcBorders>
              <w:tl2br w:val="nil"/>
              <w:tr2bl w:val="nil"/>
            </w:tcBorders>
            <w:tcMar>
              <w:top w:w="150" w:type="dxa"/>
              <w:left w:w="0" w:type="dxa"/>
              <w:bottom w:w="150" w:type="dxa"/>
              <w:right w:w="150" w:type="dxa"/>
            </w:tcMar>
            <w:vAlign w:val="center"/>
          </w:tcPr>
          <w:p w14:paraId="0E03F112">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改</w:t>
            </w:r>
          </w:p>
          <w:p w14:paraId="729AAF6D">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造</w:t>
            </w:r>
          </w:p>
          <w:p w14:paraId="7E5ED3B3">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后</w:t>
            </w:r>
          </w:p>
        </w:tc>
        <w:tc>
          <w:tcPr>
            <w:tcW w:w="536" w:type="dxa"/>
            <w:gridSpan w:val="2"/>
            <w:tcBorders>
              <w:tl2br w:val="nil"/>
              <w:tr2bl w:val="nil"/>
            </w:tcBorders>
            <w:tcMar>
              <w:top w:w="150" w:type="dxa"/>
              <w:left w:w="150" w:type="dxa"/>
              <w:bottom w:w="150" w:type="dxa"/>
              <w:right w:w="150" w:type="dxa"/>
            </w:tcMar>
            <w:vAlign w:val="center"/>
          </w:tcPr>
          <w:p w14:paraId="0F0AA2E0">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563" w:type="dxa"/>
            <w:gridSpan w:val="2"/>
            <w:tcBorders>
              <w:tl2br w:val="nil"/>
              <w:tr2bl w:val="nil"/>
            </w:tcBorders>
            <w:tcMar>
              <w:top w:w="150" w:type="dxa"/>
              <w:left w:w="150" w:type="dxa"/>
              <w:bottom w:w="150" w:type="dxa"/>
              <w:right w:w="150" w:type="dxa"/>
            </w:tcMar>
            <w:vAlign w:val="center"/>
          </w:tcPr>
          <w:p w14:paraId="74A73620">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505" w:type="dxa"/>
            <w:tcBorders>
              <w:tl2br w:val="nil"/>
              <w:tr2bl w:val="nil"/>
            </w:tcBorders>
            <w:tcMar>
              <w:top w:w="150" w:type="dxa"/>
              <w:left w:w="150" w:type="dxa"/>
              <w:bottom w:w="150" w:type="dxa"/>
              <w:right w:w="150" w:type="dxa"/>
            </w:tcMar>
            <w:vAlign w:val="center"/>
          </w:tcPr>
          <w:p w14:paraId="711F46BC">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563" w:type="dxa"/>
            <w:gridSpan w:val="2"/>
            <w:tcBorders>
              <w:tl2br w:val="nil"/>
              <w:tr2bl w:val="nil"/>
            </w:tcBorders>
            <w:tcMar>
              <w:top w:w="150" w:type="dxa"/>
              <w:left w:w="150" w:type="dxa"/>
              <w:bottom w:w="150" w:type="dxa"/>
              <w:right w:w="150" w:type="dxa"/>
            </w:tcMar>
            <w:vAlign w:val="center"/>
          </w:tcPr>
          <w:p w14:paraId="7CBC64A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505" w:type="dxa"/>
            <w:tcBorders>
              <w:tl2br w:val="nil"/>
              <w:tr2bl w:val="nil"/>
            </w:tcBorders>
            <w:tcMar>
              <w:top w:w="150" w:type="dxa"/>
              <w:left w:w="150" w:type="dxa"/>
              <w:bottom w:w="150" w:type="dxa"/>
              <w:right w:w="150" w:type="dxa"/>
            </w:tcMar>
            <w:vAlign w:val="center"/>
          </w:tcPr>
          <w:p w14:paraId="2AA2C56F">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596" w:type="dxa"/>
            <w:gridSpan w:val="2"/>
            <w:tcBorders>
              <w:tl2br w:val="nil"/>
              <w:tr2bl w:val="nil"/>
            </w:tcBorders>
            <w:tcMar>
              <w:top w:w="150" w:type="dxa"/>
              <w:left w:w="150" w:type="dxa"/>
              <w:bottom w:w="150" w:type="dxa"/>
              <w:right w:w="150" w:type="dxa"/>
            </w:tcMar>
            <w:vAlign w:val="center"/>
          </w:tcPr>
          <w:p w14:paraId="4825DF3E">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597" w:type="dxa"/>
            <w:gridSpan w:val="2"/>
            <w:tcBorders>
              <w:tl2br w:val="nil"/>
              <w:tr2bl w:val="nil"/>
            </w:tcBorders>
            <w:tcMar>
              <w:top w:w="150" w:type="dxa"/>
              <w:left w:w="150" w:type="dxa"/>
              <w:bottom w:w="150" w:type="dxa"/>
              <w:right w:w="150" w:type="dxa"/>
            </w:tcMar>
            <w:vAlign w:val="center"/>
          </w:tcPr>
          <w:p w14:paraId="272220C3">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650" w:type="dxa"/>
            <w:gridSpan w:val="2"/>
            <w:tcBorders>
              <w:tl2br w:val="nil"/>
              <w:tr2bl w:val="nil"/>
            </w:tcBorders>
            <w:tcMar>
              <w:top w:w="150" w:type="dxa"/>
              <w:left w:w="150" w:type="dxa"/>
              <w:bottom w:w="150" w:type="dxa"/>
              <w:right w:w="150" w:type="dxa"/>
            </w:tcMar>
            <w:vAlign w:val="center"/>
          </w:tcPr>
          <w:p w14:paraId="06C497A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599" w:type="dxa"/>
            <w:tcBorders>
              <w:tl2br w:val="nil"/>
              <w:tr2bl w:val="nil"/>
            </w:tcBorders>
            <w:tcMar>
              <w:top w:w="150" w:type="dxa"/>
              <w:left w:w="150" w:type="dxa"/>
              <w:bottom w:w="150" w:type="dxa"/>
              <w:right w:w="150" w:type="dxa"/>
            </w:tcMar>
            <w:vAlign w:val="center"/>
          </w:tcPr>
          <w:p w14:paraId="12F8071E">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682" w:type="dxa"/>
            <w:gridSpan w:val="3"/>
            <w:tcBorders>
              <w:tl2br w:val="nil"/>
              <w:tr2bl w:val="nil"/>
            </w:tcBorders>
            <w:tcMar>
              <w:top w:w="150" w:type="dxa"/>
              <w:left w:w="150" w:type="dxa"/>
              <w:bottom w:w="150" w:type="dxa"/>
              <w:right w:w="150" w:type="dxa"/>
            </w:tcMar>
            <w:vAlign w:val="center"/>
          </w:tcPr>
          <w:p w14:paraId="5CEC0ED4">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997" w:type="dxa"/>
            <w:gridSpan w:val="3"/>
            <w:tcBorders>
              <w:tl2br w:val="nil"/>
              <w:tr2bl w:val="nil"/>
            </w:tcBorders>
            <w:tcMar>
              <w:top w:w="150" w:type="dxa"/>
              <w:left w:w="150" w:type="dxa"/>
              <w:bottom w:w="150" w:type="dxa"/>
              <w:right w:w="150" w:type="dxa"/>
            </w:tcMar>
            <w:vAlign w:val="center"/>
          </w:tcPr>
          <w:p w14:paraId="3A1D8AA8">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996" w:type="dxa"/>
            <w:tcBorders>
              <w:tl2br w:val="nil"/>
              <w:tr2bl w:val="nil"/>
            </w:tcBorders>
            <w:tcMar>
              <w:top w:w="150" w:type="dxa"/>
              <w:left w:w="150" w:type="dxa"/>
              <w:bottom w:w="150" w:type="dxa"/>
              <w:right w:w="150" w:type="dxa"/>
            </w:tcMar>
            <w:vAlign w:val="center"/>
          </w:tcPr>
          <w:p w14:paraId="257184C7">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r>
      <w:tr w14:paraId="36071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8440" w:type="dxa"/>
            <w:gridSpan w:val="23"/>
            <w:tcBorders>
              <w:tl2br w:val="nil"/>
              <w:tr2bl w:val="nil"/>
            </w:tcBorders>
            <w:tcMar>
              <w:top w:w="150" w:type="dxa"/>
              <w:left w:w="0" w:type="dxa"/>
              <w:bottom w:w="150" w:type="dxa"/>
              <w:right w:w="150" w:type="dxa"/>
            </w:tcMar>
            <w:vAlign w:val="center"/>
          </w:tcPr>
          <w:p w14:paraId="185728C9">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both"/>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注：</w:t>
            </w: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上栏可根据实际情况增减</w:t>
            </w:r>
          </w:p>
        </w:tc>
      </w:tr>
      <w:tr w14:paraId="71A4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8440" w:type="dxa"/>
            <w:gridSpan w:val="23"/>
            <w:tcBorders>
              <w:tl2br w:val="nil"/>
              <w:tr2bl w:val="nil"/>
            </w:tcBorders>
            <w:tcMar>
              <w:top w:w="150" w:type="dxa"/>
              <w:left w:w="0" w:type="dxa"/>
              <w:bottom w:w="150" w:type="dxa"/>
              <w:right w:w="150" w:type="dxa"/>
            </w:tcMar>
            <w:vAlign w:val="center"/>
          </w:tcPr>
          <w:p w14:paraId="0E84B1CD">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二</w:t>
            </w:r>
            <w:r>
              <w:rPr>
                <w:rFonts w:hint="default" w:ascii="Times New Roman" w:hAnsi="Times New Roman" w:eastAsia="宋体" w:cs="Times New Roman"/>
                <w:color w:val="000000" w:themeColor="text1"/>
                <w:sz w:val="18"/>
                <w:szCs w:val="18"/>
                <w:highlight w:val="none"/>
                <w14:textFill>
                  <w14:solidFill>
                    <w14:schemeClr w14:val="tx1"/>
                  </w14:solidFill>
                </w14:textFill>
              </w:rPr>
              <w:t>、</w:t>
            </w: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评估内容</w:t>
            </w:r>
          </w:p>
        </w:tc>
      </w:tr>
      <w:tr w14:paraId="01078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2749" w:type="dxa"/>
            <w:gridSpan w:val="7"/>
            <w:tcBorders>
              <w:tl2br w:val="nil"/>
              <w:tr2bl w:val="nil"/>
            </w:tcBorders>
            <w:tcMar>
              <w:top w:w="150" w:type="dxa"/>
              <w:left w:w="0" w:type="dxa"/>
              <w:bottom w:w="150" w:type="dxa"/>
              <w:right w:w="150" w:type="dxa"/>
            </w:tcMar>
            <w:vAlign w:val="center"/>
          </w:tcPr>
          <w:p w14:paraId="4BA2AFD2">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评估内容</w:t>
            </w:r>
          </w:p>
        </w:tc>
        <w:tc>
          <w:tcPr>
            <w:tcW w:w="1713" w:type="dxa"/>
            <w:gridSpan w:val="5"/>
            <w:tcBorders>
              <w:tl2br w:val="nil"/>
              <w:tr2bl w:val="nil"/>
            </w:tcBorders>
            <w:tcMar>
              <w:top w:w="150" w:type="dxa"/>
              <w:left w:w="150" w:type="dxa"/>
              <w:bottom w:w="150" w:type="dxa"/>
              <w:right w:w="150" w:type="dxa"/>
            </w:tcMar>
            <w:vAlign w:val="center"/>
          </w:tcPr>
          <w:p w14:paraId="4C80A2AC">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改造前情况</w:t>
            </w:r>
          </w:p>
        </w:tc>
        <w:tc>
          <w:tcPr>
            <w:tcW w:w="1466" w:type="dxa"/>
            <w:gridSpan w:val="5"/>
            <w:tcBorders>
              <w:tl2br w:val="nil"/>
              <w:tr2bl w:val="nil"/>
            </w:tcBorders>
            <w:tcMar>
              <w:top w:w="150" w:type="dxa"/>
              <w:left w:w="150" w:type="dxa"/>
              <w:bottom w:w="150" w:type="dxa"/>
              <w:right w:w="150" w:type="dxa"/>
            </w:tcMar>
            <w:vAlign w:val="center"/>
          </w:tcPr>
          <w:p w14:paraId="275BA1AE">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改造后需执行的标准要求</w:t>
            </w:r>
          </w:p>
        </w:tc>
        <w:tc>
          <w:tcPr>
            <w:tcW w:w="1094" w:type="dxa"/>
            <w:gridSpan w:val="4"/>
            <w:tcBorders>
              <w:tl2br w:val="nil"/>
              <w:tr2bl w:val="nil"/>
            </w:tcBorders>
            <w:tcMar>
              <w:top w:w="150" w:type="dxa"/>
              <w:left w:w="150" w:type="dxa"/>
              <w:bottom w:w="150" w:type="dxa"/>
              <w:right w:w="150" w:type="dxa"/>
            </w:tcMar>
            <w:vAlign w:val="center"/>
          </w:tcPr>
          <w:p w14:paraId="4CDCC62F">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执行现行技术标准的</w:t>
            </w: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难点</w:t>
            </w:r>
          </w:p>
        </w:tc>
        <w:tc>
          <w:tcPr>
            <w:tcW w:w="1418" w:type="dxa"/>
            <w:gridSpan w:val="2"/>
            <w:tcBorders>
              <w:tl2br w:val="nil"/>
              <w:tr2bl w:val="nil"/>
            </w:tcBorders>
            <w:tcMar>
              <w:top w:w="150" w:type="dxa"/>
              <w:left w:w="150" w:type="dxa"/>
              <w:bottom w:w="150" w:type="dxa"/>
              <w:right w:w="150" w:type="dxa"/>
            </w:tcMar>
            <w:vAlign w:val="center"/>
          </w:tcPr>
          <w:p w14:paraId="70DF94C7">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改造后</w:t>
            </w: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拟</w:t>
            </w: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采取的消防技术措施及建议</w:t>
            </w:r>
          </w:p>
        </w:tc>
      </w:tr>
      <w:tr w14:paraId="3145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restart"/>
            <w:tcBorders>
              <w:tl2br w:val="nil"/>
              <w:tr2bl w:val="nil"/>
            </w:tcBorders>
            <w:tcMar>
              <w:top w:w="150" w:type="dxa"/>
              <w:left w:w="0" w:type="dxa"/>
              <w:bottom w:w="150" w:type="dxa"/>
              <w:right w:w="150" w:type="dxa"/>
            </w:tcMar>
            <w:vAlign w:val="center"/>
          </w:tcPr>
          <w:p w14:paraId="27D3FD7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（一）</w:t>
            </w:r>
          </w:p>
          <w:p w14:paraId="1B4FE49C">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建筑</w:t>
            </w:r>
          </w:p>
          <w:p w14:paraId="462C612C">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耐火</w:t>
            </w:r>
          </w:p>
          <w:p w14:paraId="0F1E9AF1">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等级</w:t>
            </w:r>
          </w:p>
        </w:tc>
        <w:tc>
          <w:tcPr>
            <w:tcW w:w="1775" w:type="dxa"/>
            <w:gridSpan w:val="5"/>
            <w:tcBorders>
              <w:tl2br w:val="nil"/>
              <w:tr2bl w:val="nil"/>
            </w:tcBorders>
            <w:tcMar>
              <w:top w:w="150" w:type="dxa"/>
              <w:left w:w="150" w:type="dxa"/>
              <w:bottom w:w="150" w:type="dxa"/>
              <w:right w:w="150" w:type="dxa"/>
            </w:tcMar>
            <w:vAlign w:val="center"/>
          </w:tcPr>
          <w:p w14:paraId="4D3A469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1 建筑类别</w:t>
            </w:r>
          </w:p>
        </w:tc>
        <w:tc>
          <w:tcPr>
            <w:tcW w:w="1713" w:type="dxa"/>
            <w:gridSpan w:val="5"/>
            <w:tcBorders>
              <w:tl2br w:val="nil"/>
              <w:tr2bl w:val="nil"/>
            </w:tcBorders>
            <w:tcMar>
              <w:top w:w="150" w:type="dxa"/>
              <w:left w:w="150" w:type="dxa"/>
              <w:bottom w:w="150" w:type="dxa"/>
              <w:right w:w="150" w:type="dxa"/>
            </w:tcMar>
            <w:vAlign w:val="center"/>
          </w:tcPr>
          <w:p w14:paraId="42757C98">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1F5647E2">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17652E80">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52EA2CE0">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r>
      <w:tr w14:paraId="1B07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3FCF07E4">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68799EC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2 耐火级别</w:t>
            </w:r>
          </w:p>
        </w:tc>
        <w:tc>
          <w:tcPr>
            <w:tcW w:w="1713" w:type="dxa"/>
            <w:gridSpan w:val="5"/>
            <w:tcBorders>
              <w:tl2br w:val="nil"/>
              <w:tr2bl w:val="nil"/>
            </w:tcBorders>
            <w:tcMar>
              <w:top w:w="150" w:type="dxa"/>
              <w:left w:w="150" w:type="dxa"/>
              <w:bottom w:w="150" w:type="dxa"/>
              <w:right w:w="150" w:type="dxa"/>
            </w:tcMar>
            <w:vAlign w:val="center"/>
          </w:tcPr>
          <w:p w14:paraId="6817BC01">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3C756968">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681BA8F3">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094B5777">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r>
      <w:tr w14:paraId="189E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restart"/>
            <w:tcBorders>
              <w:tl2br w:val="nil"/>
              <w:tr2bl w:val="nil"/>
            </w:tcBorders>
            <w:tcMar>
              <w:top w:w="150" w:type="dxa"/>
              <w:left w:w="0" w:type="dxa"/>
              <w:bottom w:w="150" w:type="dxa"/>
              <w:right w:w="150" w:type="dxa"/>
            </w:tcMar>
            <w:vAlign w:val="center"/>
          </w:tcPr>
          <w:p w14:paraId="4E9C65A8">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（二）</w:t>
            </w:r>
          </w:p>
          <w:p w14:paraId="52AAD21C">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总平面</w:t>
            </w:r>
          </w:p>
        </w:tc>
        <w:tc>
          <w:tcPr>
            <w:tcW w:w="1775" w:type="dxa"/>
            <w:gridSpan w:val="5"/>
            <w:tcBorders>
              <w:tl2br w:val="nil"/>
              <w:tr2bl w:val="nil"/>
            </w:tcBorders>
            <w:tcMar>
              <w:top w:w="150" w:type="dxa"/>
              <w:left w:w="150" w:type="dxa"/>
              <w:bottom w:w="150" w:type="dxa"/>
              <w:right w:w="150" w:type="dxa"/>
            </w:tcMar>
            <w:vAlign w:val="center"/>
          </w:tcPr>
          <w:p w14:paraId="3F10542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1 防火间距</w:t>
            </w:r>
          </w:p>
        </w:tc>
        <w:tc>
          <w:tcPr>
            <w:tcW w:w="1713" w:type="dxa"/>
            <w:gridSpan w:val="5"/>
            <w:tcBorders>
              <w:tl2br w:val="nil"/>
              <w:tr2bl w:val="nil"/>
            </w:tcBorders>
            <w:tcMar>
              <w:top w:w="150" w:type="dxa"/>
              <w:left w:w="150" w:type="dxa"/>
              <w:bottom w:w="150" w:type="dxa"/>
              <w:right w:w="150" w:type="dxa"/>
            </w:tcMar>
            <w:vAlign w:val="center"/>
          </w:tcPr>
          <w:p w14:paraId="128C948B">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1E03656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164C8CEF">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39900198">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r>
      <w:tr w14:paraId="7EA9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69F7704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58FDC22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2 消防车道</w:t>
            </w:r>
          </w:p>
        </w:tc>
        <w:tc>
          <w:tcPr>
            <w:tcW w:w="1713" w:type="dxa"/>
            <w:gridSpan w:val="5"/>
            <w:tcBorders>
              <w:tl2br w:val="nil"/>
              <w:tr2bl w:val="nil"/>
            </w:tcBorders>
            <w:tcMar>
              <w:top w:w="150" w:type="dxa"/>
              <w:left w:w="150" w:type="dxa"/>
              <w:bottom w:w="150" w:type="dxa"/>
              <w:right w:w="150" w:type="dxa"/>
            </w:tcMar>
            <w:vAlign w:val="center"/>
          </w:tcPr>
          <w:p w14:paraId="7013FCD6">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301C76C7">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2BBCE983">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145CFC7D">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r>
      <w:tr w14:paraId="22EB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4318EDC8">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7A0EE31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3 消防扑救</w:t>
            </w: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面</w:t>
            </w: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和消防登高操作场地</w:t>
            </w:r>
          </w:p>
        </w:tc>
        <w:tc>
          <w:tcPr>
            <w:tcW w:w="1713" w:type="dxa"/>
            <w:gridSpan w:val="5"/>
            <w:tcBorders>
              <w:tl2br w:val="nil"/>
              <w:tr2bl w:val="nil"/>
            </w:tcBorders>
            <w:tcMar>
              <w:top w:w="150" w:type="dxa"/>
              <w:left w:w="150" w:type="dxa"/>
              <w:bottom w:w="150" w:type="dxa"/>
              <w:right w:w="150" w:type="dxa"/>
            </w:tcMar>
            <w:vAlign w:val="center"/>
          </w:tcPr>
          <w:p w14:paraId="408EC27F">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701A37C8">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534AD7F3">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2AB448B2">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r>
      <w:tr w14:paraId="300F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79300E5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70019FB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4 停机坪</w:t>
            </w:r>
          </w:p>
        </w:tc>
        <w:tc>
          <w:tcPr>
            <w:tcW w:w="1713" w:type="dxa"/>
            <w:gridSpan w:val="5"/>
            <w:tcBorders>
              <w:tl2br w:val="nil"/>
              <w:tr2bl w:val="nil"/>
            </w:tcBorders>
            <w:tcMar>
              <w:top w:w="150" w:type="dxa"/>
              <w:left w:w="150" w:type="dxa"/>
              <w:bottom w:w="150" w:type="dxa"/>
              <w:right w:w="150" w:type="dxa"/>
            </w:tcMar>
            <w:vAlign w:val="center"/>
          </w:tcPr>
          <w:p w14:paraId="54017492">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5B32C89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10D60394">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0732A20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r>
      <w:tr w14:paraId="5ECA9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restart"/>
            <w:tcBorders>
              <w:tl2br w:val="nil"/>
              <w:tr2bl w:val="nil"/>
            </w:tcBorders>
            <w:tcMar>
              <w:top w:w="150" w:type="dxa"/>
              <w:left w:w="0" w:type="dxa"/>
              <w:bottom w:w="150" w:type="dxa"/>
              <w:right w:w="150" w:type="dxa"/>
            </w:tcMar>
            <w:vAlign w:val="center"/>
          </w:tcPr>
          <w:p w14:paraId="3E6E747B">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（三）</w:t>
            </w:r>
          </w:p>
          <w:p w14:paraId="2276190E">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防火</w:t>
            </w:r>
          </w:p>
          <w:p w14:paraId="2384F9C8">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分隔</w:t>
            </w:r>
          </w:p>
        </w:tc>
        <w:tc>
          <w:tcPr>
            <w:tcW w:w="1775" w:type="dxa"/>
            <w:gridSpan w:val="5"/>
            <w:tcBorders>
              <w:tl2br w:val="nil"/>
              <w:tr2bl w:val="nil"/>
            </w:tcBorders>
            <w:tcMar>
              <w:top w:w="150" w:type="dxa"/>
              <w:left w:w="150" w:type="dxa"/>
              <w:bottom w:w="150" w:type="dxa"/>
              <w:right w:w="150" w:type="dxa"/>
            </w:tcMar>
            <w:vAlign w:val="center"/>
          </w:tcPr>
          <w:p w14:paraId="57AD8FC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1 防火分区的面积</w:t>
            </w:r>
          </w:p>
        </w:tc>
        <w:tc>
          <w:tcPr>
            <w:tcW w:w="1713" w:type="dxa"/>
            <w:gridSpan w:val="5"/>
            <w:tcBorders>
              <w:tl2br w:val="nil"/>
              <w:tr2bl w:val="nil"/>
            </w:tcBorders>
            <w:tcMar>
              <w:top w:w="150" w:type="dxa"/>
              <w:left w:w="150" w:type="dxa"/>
              <w:bottom w:w="150" w:type="dxa"/>
              <w:right w:w="150" w:type="dxa"/>
            </w:tcMar>
            <w:vAlign w:val="center"/>
          </w:tcPr>
          <w:p w14:paraId="22F900A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2DECC692">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0E679639">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3AFA0F5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r>
      <w:tr w14:paraId="7AAB3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7BFF7304">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02D8843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2 防火隔墙的耐火极限和封堵</w:t>
            </w:r>
          </w:p>
        </w:tc>
        <w:tc>
          <w:tcPr>
            <w:tcW w:w="1713" w:type="dxa"/>
            <w:gridSpan w:val="5"/>
            <w:tcBorders>
              <w:tl2br w:val="nil"/>
              <w:tr2bl w:val="nil"/>
            </w:tcBorders>
            <w:tcMar>
              <w:top w:w="150" w:type="dxa"/>
              <w:left w:w="150" w:type="dxa"/>
              <w:bottom w:w="150" w:type="dxa"/>
              <w:right w:w="150" w:type="dxa"/>
            </w:tcMar>
            <w:vAlign w:val="center"/>
          </w:tcPr>
          <w:p w14:paraId="334607F1">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73D55C8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1BA3FB17">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23F1E511">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r>
      <w:tr w14:paraId="49431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730B00F3">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6F5E573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3 防火卷帘</w:t>
            </w:r>
          </w:p>
        </w:tc>
        <w:tc>
          <w:tcPr>
            <w:tcW w:w="1713" w:type="dxa"/>
            <w:gridSpan w:val="5"/>
            <w:tcBorders>
              <w:tl2br w:val="nil"/>
              <w:tr2bl w:val="nil"/>
            </w:tcBorders>
            <w:tcMar>
              <w:top w:w="150" w:type="dxa"/>
              <w:left w:w="150" w:type="dxa"/>
              <w:bottom w:w="150" w:type="dxa"/>
              <w:right w:w="150" w:type="dxa"/>
            </w:tcMar>
            <w:vAlign w:val="center"/>
          </w:tcPr>
          <w:p w14:paraId="638E339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516CA046">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25098D2D">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11F706AC">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r>
      <w:tr w14:paraId="5EED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041CB2DB">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07DED1E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4 防火门</w:t>
            </w:r>
          </w:p>
        </w:tc>
        <w:tc>
          <w:tcPr>
            <w:tcW w:w="1713" w:type="dxa"/>
            <w:gridSpan w:val="5"/>
            <w:tcBorders>
              <w:tl2br w:val="nil"/>
              <w:tr2bl w:val="nil"/>
            </w:tcBorders>
            <w:tcMar>
              <w:top w:w="150" w:type="dxa"/>
              <w:left w:w="150" w:type="dxa"/>
              <w:bottom w:w="150" w:type="dxa"/>
              <w:right w:w="150" w:type="dxa"/>
            </w:tcMar>
            <w:vAlign w:val="center"/>
          </w:tcPr>
          <w:p w14:paraId="68A03501">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0A095A3F">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49290F9D">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41090D0C">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r>
      <w:tr w14:paraId="3B763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0FAA5F0B">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5DFA93C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5 防火窗</w:t>
            </w:r>
          </w:p>
        </w:tc>
        <w:tc>
          <w:tcPr>
            <w:tcW w:w="1713" w:type="dxa"/>
            <w:gridSpan w:val="5"/>
            <w:tcBorders>
              <w:tl2br w:val="nil"/>
              <w:tr2bl w:val="nil"/>
            </w:tcBorders>
            <w:tcMar>
              <w:top w:w="150" w:type="dxa"/>
              <w:left w:w="150" w:type="dxa"/>
              <w:bottom w:w="150" w:type="dxa"/>
              <w:right w:w="150" w:type="dxa"/>
            </w:tcMar>
            <w:vAlign w:val="center"/>
          </w:tcPr>
          <w:p w14:paraId="3DA87A01">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76F62F8E">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685186D1">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3F88DC88">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r>
      <w:tr w14:paraId="2D2E3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6CA9DA38">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158B17A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6 防火玻璃隔断</w:t>
            </w:r>
          </w:p>
        </w:tc>
        <w:tc>
          <w:tcPr>
            <w:tcW w:w="1713" w:type="dxa"/>
            <w:gridSpan w:val="5"/>
            <w:tcBorders>
              <w:tl2br w:val="nil"/>
              <w:tr2bl w:val="nil"/>
            </w:tcBorders>
            <w:tcMar>
              <w:top w:w="150" w:type="dxa"/>
              <w:left w:w="150" w:type="dxa"/>
              <w:bottom w:w="150" w:type="dxa"/>
              <w:right w:w="150" w:type="dxa"/>
            </w:tcMar>
            <w:vAlign w:val="center"/>
          </w:tcPr>
          <w:p w14:paraId="453270BE">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5938DD2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07F674AD">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72F287C8">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r>
      <w:tr w14:paraId="187F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0573035E">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3EE58B1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7 防烟分区的划分、面积</w:t>
            </w:r>
          </w:p>
        </w:tc>
        <w:tc>
          <w:tcPr>
            <w:tcW w:w="1713" w:type="dxa"/>
            <w:gridSpan w:val="5"/>
            <w:tcBorders>
              <w:tl2br w:val="nil"/>
              <w:tr2bl w:val="nil"/>
            </w:tcBorders>
            <w:tcMar>
              <w:top w:w="150" w:type="dxa"/>
              <w:left w:w="150" w:type="dxa"/>
              <w:bottom w:w="150" w:type="dxa"/>
              <w:right w:w="150" w:type="dxa"/>
            </w:tcMar>
            <w:vAlign w:val="center"/>
          </w:tcPr>
          <w:p w14:paraId="17E2779E">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5A497284">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5B38AA4D">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14E678CF">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r>
      <w:tr w14:paraId="7EA36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6DDB79BE">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374C838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8 挡烟垂壁</w:t>
            </w:r>
          </w:p>
        </w:tc>
        <w:tc>
          <w:tcPr>
            <w:tcW w:w="1713" w:type="dxa"/>
            <w:gridSpan w:val="5"/>
            <w:tcBorders>
              <w:tl2br w:val="nil"/>
              <w:tr2bl w:val="nil"/>
            </w:tcBorders>
            <w:tcMar>
              <w:top w:w="150" w:type="dxa"/>
              <w:left w:w="150" w:type="dxa"/>
              <w:bottom w:w="150" w:type="dxa"/>
              <w:right w:w="150" w:type="dxa"/>
            </w:tcMar>
            <w:vAlign w:val="center"/>
          </w:tcPr>
          <w:p w14:paraId="294F11E7">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2980DC86">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74CEC184">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08A3AA94">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r>
      <w:tr w14:paraId="5806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restart"/>
            <w:tcBorders>
              <w:tl2br w:val="nil"/>
              <w:tr2bl w:val="nil"/>
            </w:tcBorders>
            <w:tcMar>
              <w:top w:w="150" w:type="dxa"/>
              <w:left w:w="0" w:type="dxa"/>
              <w:bottom w:w="150" w:type="dxa"/>
              <w:right w:w="150" w:type="dxa"/>
            </w:tcMar>
            <w:vAlign w:val="center"/>
          </w:tcPr>
          <w:p w14:paraId="49B39CAC">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（四）</w:t>
            </w:r>
          </w:p>
          <w:p w14:paraId="6E118B9D">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平面</w:t>
            </w:r>
          </w:p>
          <w:p w14:paraId="4BDF5B60">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布置</w:t>
            </w:r>
          </w:p>
        </w:tc>
        <w:tc>
          <w:tcPr>
            <w:tcW w:w="1775" w:type="dxa"/>
            <w:gridSpan w:val="5"/>
            <w:tcBorders>
              <w:tl2br w:val="nil"/>
              <w:tr2bl w:val="nil"/>
            </w:tcBorders>
            <w:tcMar>
              <w:top w:w="150" w:type="dxa"/>
              <w:left w:w="150" w:type="dxa"/>
              <w:bottom w:w="150" w:type="dxa"/>
              <w:right w:w="150" w:type="dxa"/>
            </w:tcMar>
            <w:vAlign w:val="center"/>
          </w:tcPr>
          <w:p w14:paraId="5D78848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 xml:space="preserve">1 </w:t>
            </w: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老</w:t>
            </w: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、幼、医、教、电影院、歌舞娱乐放映游艺场所</w:t>
            </w:r>
          </w:p>
        </w:tc>
        <w:tc>
          <w:tcPr>
            <w:tcW w:w="1713" w:type="dxa"/>
            <w:gridSpan w:val="5"/>
            <w:tcBorders>
              <w:tl2br w:val="nil"/>
              <w:tr2bl w:val="nil"/>
            </w:tcBorders>
            <w:tcMar>
              <w:top w:w="150" w:type="dxa"/>
              <w:left w:w="150" w:type="dxa"/>
              <w:bottom w:w="150" w:type="dxa"/>
              <w:right w:w="150" w:type="dxa"/>
            </w:tcMar>
            <w:vAlign w:val="center"/>
          </w:tcPr>
          <w:p w14:paraId="72449556">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1B823ADE">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415D9969">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51D722E8">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r>
      <w:tr w14:paraId="3388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07ECCE83">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1ACB4EC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2 有顶棚的步行商业街、餐饮设施</w:t>
            </w:r>
          </w:p>
        </w:tc>
        <w:tc>
          <w:tcPr>
            <w:tcW w:w="1713" w:type="dxa"/>
            <w:gridSpan w:val="5"/>
            <w:tcBorders>
              <w:tl2br w:val="nil"/>
              <w:tr2bl w:val="nil"/>
            </w:tcBorders>
            <w:tcMar>
              <w:top w:w="150" w:type="dxa"/>
              <w:left w:w="150" w:type="dxa"/>
              <w:bottom w:w="150" w:type="dxa"/>
              <w:right w:w="150" w:type="dxa"/>
            </w:tcMar>
            <w:vAlign w:val="center"/>
          </w:tcPr>
          <w:p w14:paraId="4661F9FF">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5CCE060B">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008712C6">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2CA2764F">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r>
      <w:tr w14:paraId="4B89C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463B05C7">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6CFACFD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3 消防控制室</w:t>
            </w:r>
          </w:p>
        </w:tc>
        <w:tc>
          <w:tcPr>
            <w:tcW w:w="1713" w:type="dxa"/>
            <w:gridSpan w:val="5"/>
            <w:tcBorders>
              <w:tl2br w:val="nil"/>
              <w:tr2bl w:val="nil"/>
            </w:tcBorders>
            <w:tcMar>
              <w:top w:w="150" w:type="dxa"/>
              <w:left w:w="150" w:type="dxa"/>
              <w:bottom w:w="150" w:type="dxa"/>
              <w:right w:w="150" w:type="dxa"/>
            </w:tcMar>
            <w:vAlign w:val="center"/>
          </w:tcPr>
          <w:p w14:paraId="0334D6C2">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068B52F0">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2887379F">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72228198">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r>
      <w:tr w14:paraId="552AC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209931F9">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133E128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4 消防水池</w:t>
            </w:r>
          </w:p>
          <w:p w14:paraId="61CDDB2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及水泵房</w:t>
            </w:r>
          </w:p>
        </w:tc>
        <w:tc>
          <w:tcPr>
            <w:tcW w:w="1713" w:type="dxa"/>
            <w:gridSpan w:val="5"/>
            <w:tcBorders>
              <w:tl2br w:val="nil"/>
              <w:tr2bl w:val="nil"/>
            </w:tcBorders>
            <w:tcMar>
              <w:top w:w="150" w:type="dxa"/>
              <w:left w:w="150" w:type="dxa"/>
              <w:bottom w:w="150" w:type="dxa"/>
              <w:right w:w="150" w:type="dxa"/>
            </w:tcMar>
            <w:vAlign w:val="center"/>
          </w:tcPr>
          <w:p w14:paraId="6E7E44BD">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5BADB8E7">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5E2FC43E">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67DBF82B">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r>
      <w:tr w14:paraId="5331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1C90E04C">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3F948A1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5 锅炉房</w:t>
            </w:r>
          </w:p>
        </w:tc>
        <w:tc>
          <w:tcPr>
            <w:tcW w:w="1713" w:type="dxa"/>
            <w:gridSpan w:val="5"/>
            <w:tcBorders>
              <w:tl2br w:val="nil"/>
              <w:tr2bl w:val="nil"/>
            </w:tcBorders>
            <w:tcMar>
              <w:top w:w="150" w:type="dxa"/>
              <w:left w:w="150" w:type="dxa"/>
              <w:bottom w:w="150" w:type="dxa"/>
              <w:right w:w="150" w:type="dxa"/>
            </w:tcMar>
            <w:vAlign w:val="center"/>
          </w:tcPr>
          <w:p w14:paraId="67417C0D">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5776981E">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4AA27362">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3F6F6581">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r>
      <w:tr w14:paraId="1CC4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47E6E149">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7FA5E3B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6 柴油发电机房</w:t>
            </w:r>
          </w:p>
        </w:tc>
        <w:tc>
          <w:tcPr>
            <w:tcW w:w="1713" w:type="dxa"/>
            <w:gridSpan w:val="5"/>
            <w:tcBorders>
              <w:tl2br w:val="nil"/>
              <w:tr2bl w:val="nil"/>
            </w:tcBorders>
            <w:tcMar>
              <w:top w:w="150" w:type="dxa"/>
              <w:left w:w="150" w:type="dxa"/>
              <w:bottom w:w="150" w:type="dxa"/>
              <w:right w:w="150" w:type="dxa"/>
            </w:tcMar>
            <w:vAlign w:val="center"/>
          </w:tcPr>
          <w:p w14:paraId="368FB2A4">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3543B4B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1F1892F8">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712BF849">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r>
      <w:tr w14:paraId="5CDC4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6F0F4691">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561A283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7 变配电室</w:t>
            </w:r>
          </w:p>
        </w:tc>
        <w:tc>
          <w:tcPr>
            <w:tcW w:w="1713" w:type="dxa"/>
            <w:gridSpan w:val="5"/>
            <w:tcBorders>
              <w:tl2br w:val="nil"/>
              <w:tr2bl w:val="nil"/>
            </w:tcBorders>
            <w:tcMar>
              <w:top w:w="150" w:type="dxa"/>
              <w:left w:w="150" w:type="dxa"/>
              <w:bottom w:w="150" w:type="dxa"/>
              <w:right w:w="150" w:type="dxa"/>
            </w:tcMar>
            <w:vAlign w:val="center"/>
          </w:tcPr>
          <w:p w14:paraId="58F8EE19">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52F23E47">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71CE1816">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0268D96E">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r>
      <w:tr w14:paraId="4314B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1DAD54B9">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403A6FF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8 其他特殊消防场所</w:t>
            </w:r>
          </w:p>
        </w:tc>
        <w:tc>
          <w:tcPr>
            <w:tcW w:w="1713" w:type="dxa"/>
            <w:gridSpan w:val="5"/>
            <w:tcBorders>
              <w:tl2br w:val="nil"/>
              <w:tr2bl w:val="nil"/>
            </w:tcBorders>
            <w:tcMar>
              <w:top w:w="150" w:type="dxa"/>
              <w:left w:w="150" w:type="dxa"/>
              <w:bottom w:w="150" w:type="dxa"/>
              <w:right w:w="150" w:type="dxa"/>
            </w:tcMar>
            <w:vAlign w:val="center"/>
          </w:tcPr>
          <w:p w14:paraId="68A6401D">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456DA6AC">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7EB1519E">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5FE9530B">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r>
      <w:tr w14:paraId="0424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restart"/>
            <w:tcBorders>
              <w:tl2br w:val="nil"/>
              <w:tr2bl w:val="nil"/>
            </w:tcBorders>
            <w:tcMar>
              <w:top w:w="150" w:type="dxa"/>
              <w:left w:w="0" w:type="dxa"/>
              <w:bottom w:w="150" w:type="dxa"/>
              <w:right w:w="150" w:type="dxa"/>
            </w:tcMar>
            <w:vAlign w:val="center"/>
          </w:tcPr>
          <w:p w14:paraId="502D3251">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（五）</w:t>
            </w:r>
          </w:p>
          <w:p w14:paraId="4874711F">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安全</w:t>
            </w:r>
          </w:p>
          <w:p w14:paraId="52711AB8">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疏散</w:t>
            </w:r>
          </w:p>
          <w:p w14:paraId="2CCC8462">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和避难</w:t>
            </w:r>
          </w:p>
        </w:tc>
        <w:tc>
          <w:tcPr>
            <w:tcW w:w="1775" w:type="dxa"/>
            <w:gridSpan w:val="5"/>
            <w:tcBorders>
              <w:tl2br w:val="nil"/>
              <w:tr2bl w:val="nil"/>
            </w:tcBorders>
            <w:tcMar>
              <w:top w:w="150" w:type="dxa"/>
              <w:left w:w="150" w:type="dxa"/>
              <w:bottom w:w="150" w:type="dxa"/>
              <w:right w:w="150" w:type="dxa"/>
            </w:tcMar>
            <w:vAlign w:val="center"/>
          </w:tcPr>
          <w:p w14:paraId="254C76F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1 安全出口</w:t>
            </w:r>
          </w:p>
        </w:tc>
        <w:tc>
          <w:tcPr>
            <w:tcW w:w="1713" w:type="dxa"/>
            <w:gridSpan w:val="5"/>
            <w:tcBorders>
              <w:tl2br w:val="nil"/>
              <w:tr2bl w:val="nil"/>
            </w:tcBorders>
            <w:tcMar>
              <w:top w:w="150" w:type="dxa"/>
              <w:left w:w="150" w:type="dxa"/>
              <w:bottom w:w="150" w:type="dxa"/>
              <w:right w:w="150" w:type="dxa"/>
            </w:tcMar>
            <w:vAlign w:val="center"/>
          </w:tcPr>
          <w:p w14:paraId="656E3AB2">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7BB7540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11F575E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23A2ABDF">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r>
      <w:tr w14:paraId="507AA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12742F8F">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5287C9A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2 疏散门</w:t>
            </w:r>
          </w:p>
        </w:tc>
        <w:tc>
          <w:tcPr>
            <w:tcW w:w="1713" w:type="dxa"/>
            <w:gridSpan w:val="5"/>
            <w:tcBorders>
              <w:tl2br w:val="nil"/>
              <w:tr2bl w:val="nil"/>
            </w:tcBorders>
            <w:tcMar>
              <w:top w:w="150" w:type="dxa"/>
              <w:left w:w="150" w:type="dxa"/>
              <w:bottom w:w="150" w:type="dxa"/>
              <w:right w:w="150" w:type="dxa"/>
            </w:tcMar>
            <w:vAlign w:val="center"/>
          </w:tcPr>
          <w:p w14:paraId="664D56D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4F07158C">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790C9A66">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1202C6D3">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14DDB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6B5CDCE6">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1428A88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3 疏散距离</w:t>
            </w:r>
          </w:p>
        </w:tc>
        <w:tc>
          <w:tcPr>
            <w:tcW w:w="1713" w:type="dxa"/>
            <w:gridSpan w:val="5"/>
            <w:tcBorders>
              <w:tl2br w:val="nil"/>
              <w:tr2bl w:val="nil"/>
            </w:tcBorders>
            <w:tcMar>
              <w:top w:w="150" w:type="dxa"/>
              <w:left w:w="150" w:type="dxa"/>
              <w:bottom w:w="150" w:type="dxa"/>
              <w:right w:w="150" w:type="dxa"/>
            </w:tcMar>
            <w:vAlign w:val="center"/>
          </w:tcPr>
          <w:p w14:paraId="1FA5598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14685220">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343F406C">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690A581C">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0D94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0433CE68">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7904891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4 疏散楼梯</w:t>
            </w:r>
          </w:p>
        </w:tc>
        <w:tc>
          <w:tcPr>
            <w:tcW w:w="1713" w:type="dxa"/>
            <w:gridSpan w:val="5"/>
            <w:tcBorders>
              <w:tl2br w:val="nil"/>
              <w:tr2bl w:val="nil"/>
            </w:tcBorders>
            <w:tcMar>
              <w:top w:w="150" w:type="dxa"/>
              <w:left w:w="150" w:type="dxa"/>
              <w:bottom w:w="150" w:type="dxa"/>
              <w:right w:w="150" w:type="dxa"/>
            </w:tcMar>
            <w:vAlign w:val="center"/>
          </w:tcPr>
          <w:p w14:paraId="752B75E6">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7D6BB7C0">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77F71D52">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5A1DE306">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7EC3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12182103">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49C4E94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5 疏散走道</w:t>
            </w:r>
          </w:p>
        </w:tc>
        <w:tc>
          <w:tcPr>
            <w:tcW w:w="1713" w:type="dxa"/>
            <w:gridSpan w:val="5"/>
            <w:tcBorders>
              <w:tl2br w:val="nil"/>
              <w:tr2bl w:val="nil"/>
            </w:tcBorders>
            <w:tcMar>
              <w:top w:w="150" w:type="dxa"/>
              <w:left w:w="150" w:type="dxa"/>
              <w:bottom w:w="150" w:type="dxa"/>
              <w:right w:w="150" w:type="dxa"/>
            </w:tcMar>
            <w:vAlign w:val="center"/>
          </w:tcPr>
          <w:p w14:paraId="67E99E6C">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149E812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134B905E">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7CB0DF00">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5D0F6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66553A74">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24AB185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6 避难层</w:t>
            </w:r>
          </w:p>
        </w:tc>
        <w:tc>
          <w:tcPr>
            <w:tcW w:w="1713" w:type="dxa"/>
            <w:gridSpan w:val="5"/>
            <w:tcBorders>
              <w:tl2br w:val="nil"/>
              <w:tr2bl w:val="nil"/>
            </w:tcBorders>
            <w:tcMar>
              <w:top w:w="150" w:type="dxa"/>
              <w:left w:w="150" w:type="dxa"/>
              <w:bottom w:w="150" w:type="dxa"/>
              <w:right w:w="150" w:type="dxa"/>
            </w:tcMar>
            <w:vAlign w:val="center"/>
          </w:tcPr>
          <w:p w14:paraId="6091F63B">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52528BA7">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3679ECF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11FF4672">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79A9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7C5D0B89">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0E5DFE6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7 用于防火分隔</w:t>
            </w:r>
          </w:p>
          <w:p w14:paraId="0108A4C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的下沉庭院</w:t>
            </w:r>
          </w:p>
        </w:tc>
        <w:tc>
          <w:tcPr>
            <w:tcW w:w="1713" w:type="dxa"/>
            <w:gridSpan w:val="5"/>
            <w:tcBorders>
              <w:tl2br w:val="nil"/>
              <w:tr2bl w:val="nil"/>
            </w:tcBorders>
            <w:tcMar>
              <w:top w:w="150" w:type="dxa"/>
              <w:left w:w="150" w:type="dxa"/>
              <w:bottom w:w="150" w:type="dxa"/>
              <w:right w:w="150" w:type="dxa"/>
            </w:tcMar>
            <w:vAlign w:val="center"/>
          </w:tcPr>
          <w:p w14:paraId="0133A949">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70B00A42">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2479146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3D982C43">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1184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15191EF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7755858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8 消防电梯</w:t>
            </w:r>
          </w:p>
        </w:tc>
        <w:tc>
          <w:tcPr>
            <w:tcW w:w="1713" w:type="dxa"/>
            <w:gridSpan w:val="5"/>
            <w:tcBorders>
              <w:tl2br w:val="nil"/>
              <w:tr2bl w:val="nil"/>
            </w:tcBorders>
            <w:tcMar>
              <w:top w:w="150" w:type="dxa"/>
              <w:left w:w="150" w:type="dxa"/>
              <w:bottom w:w="150" w:type="dxa"/>
              <w:right w:w="150" w:type="dxa"/>
            </w:tcMar>
            <w:vAlign w:val="center"/>
          </w:tcPr>
          <w:p w14:paraId="5DCD9F22">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78306589">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5E89FC42">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3CB23DB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6E3C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1207427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11DA94C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9 消防救援</w:t>
            </w: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口</w:t>
            </w:r>
          </w:p>
        </w:tc>
        <w:tc>
          <w:tcPr>
            <w:tcW w:w="1713" w:type="dxa"/>
            <w:gridSpan w:val="5"/>
            <w:tcBorders>
              <w:tl2br w:val="nil"/>
              <w:tr2bl w:val="nil"/>
            </w:tcBorders>
            <w:tcMar>
              <w:top w:w="150" w:type="dxa"/>
              <w:left w:w="150" w:type="dxa"/>
              <w:bottom w:w="150" w:type="dxa"/>
              <w:right w:w="150" w:type="dxa"/>
            </w:tcMar>
            <w:vAlign w:val="center"/>
          </w:tcPr>
          <w:p w14:paraId="5EF8C274">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3E5010CF">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1343F64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0DE905B9">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4059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09A301D9">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2DE52C7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10 防烟楼梯间顶部固定窗</w:t>
            </w:r>
          </w:p>
        </w:tc>
        <w:tc>
          <w:tcPr>
            <w:tcW w:w="1713" w:type="dxa"/>
            <w:gridSpan w:val="5"/>
            <w:tcBorders>
              <w:tl2br w:val="nil"/>
              <w:tr2bl w:val="nil"/>
            </w:tcBorders>
            <w:tcMar>
              <w:top w:w="150" w:type="dxa"/>
              <w:left w:w="150" w:type="dxa"/>
              <w:bottom w:w="150" w:type="dxa"/>
              <w:right w:w="150" w:type="dxa"/>
            </w:tcMar>
            <w:vAlign w:val="center"/>
          </w:tcPr>
          <w:p w14:paraId="06BA6FE8">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5970CAD8">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12E73A1F">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11DE476C">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4AAA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restart"/>
            <w:tcBorders>
              <w:tl2br w:val="nil"/>
              <w:tr2bl w:val="nil"/>
            </w:tcBorders>
            <w:tcMar>
              <w:top w:w="150" w:type="dxa"/>
              <w:left w:w="0" w:type="dxa"/>
              <w:bottom w:w="150" w:type="dxa"/>
              <w:right w:w="150" w:type="dxa"/>
            </w:tcMar>
            <w:vAlign w:val="center"/>
          </w:tcPr>
          <w:p w14:paraId="52032F9E">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（六）</w:t>
            </w:r>
          </w:p>
          <w:p w14:paraId="70E26567">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内部</w:t>
            </w:r>
          </w:p>
          <w:p w14:paraId="7B1B879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装修</w:t>
            </w:r>
          </w:p>
        </w:tc>
        <w:tc>
          <w:tcPr>
            <w:tcW w:w="1775" w:type="dxa"/>
            <w:gridSpan w:val="5"/>
            <w:tcBorders>
              <w:tl2br w:val="nil"/>
              <w:tr2bl w:val="nil"/>
            </w:tcBorders>
            <w:tcMar>
              <w:top w:w="150" w:type="dxa"/>
              <w:left w:w="150" w:type="dxa"/>
              <w:bottom w:w="150" w:type="dxa"/>
              <w:right w:w="150" w:type="dxa"/>
            </w:tcMar>
            <w:vAlign w:val="center"/>
          </w:tcPr>
          <w:p w14:paraId="6E9B1DB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1 装修材料（顶棚、墙面、地面等）</w:t>
            </w:r>
          </w:p>
        </w:tc>
        <w:tc>
          <w:tcPr>
            <w:tcW w:w="1713" w:type="dxa"/>
            <w:gridSpan w:val="5"/>
            <w:tcBorders>
              <w:tl2br w:val="nil"/>
              <w:tr2bl w:val="nil"/>
            </w:tcBorders>
            <w:tcMar>
              <w:top w:w="150" w:type="dxa"/>
              <w:left w:w="150" w:type="dxa"/>
              <w:bottom w:w="150" w:type="dxa"/>
              <w:right w:w="150" w:type="dxa"/>
            </w:tcMar>
            <w:vAlign w:val="center"/>
          </w:tcPr>
          <w:p w14:paraId="4F6FE0A2">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34E5E47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3714A77C">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518CC76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r>
      <w:tr w14:paraId="34696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2F46309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65AD533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2 装修对消火栓等设施的影响</w:t>
            </w:r>
          </w:p>
        </w:tc>
        <w:tc>
          <w:tcPr>
            <w:tcW w:w="1713" w:type="dxa"/>
            <w:gridSpan w:val="5"/>
            <w:tcBorders>
              <w:tl2br w:val="nil"/>
              <w:tr2bl w:val="nil"/>
            </w:tcBorders>
            <w:tcMar>
              <w:top w:w="150" w:type="dxa"/>
              <w:left w:w="150" w:type="dxa"/>
              <w:bottom w:w="150" w:type="dxa"/>
              <w:right w:w="150" w:type="dxa"/>
            </w:tcMar>
            <w:vAlign w:val="center"/>
          </w:tcPr>
          <w:p w14:paraId="5C6EB06E">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58D86521">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31FCB23E">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66932F08">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5052E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1C2DEAAD">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70F5B0D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3 灭火器</w:t>
            </w:r>
          </w:p>
        </w:tc>
        <w:tc>
          <w:tcPr>
            <w:tcW w:w="1713" w:type="dxa"/>
            <w:gridSpan w:val="5"/>
            <w:tcBorders>
              <w:tl2br w:val="nil"/>
              <w:tr2bl w:val="nil"/>
            </w:tcBorders>
            <w:tcMar>
              <w:top w:w="150" w:type="dxa"/>
              <w:left w:w="150" w:type="dxa"/>
              <w:bottom w:w="150" w:type="dxa"/>
              <w:right w:w="150" w:type="dxa"/>
            </w:tcMar>
            <w:vAlign w:val="center"/>
          </w:tcPr>
          <w:p w14:paraId="6260CE7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319274E4">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6FDF4BC3">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0DEF5581">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0F251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restart"/>
            <w:tcBorders>
              <w:tl2br w:val="nil"/>
              <w:tr2bl w:val="nil"/>
            </w:tcBorders>
            <w:tcMar>
              <w:top w:w="150" w:type="dxa"/>
              <w:left w:w="0" w:type="dxa"/>
              <w:bottom w:w="150" w:type="dxa"/>
              <w:right w:w="150" w:type="dxa"/>
            </w:tcMar>
            <w:vAlign w:val="center"/>
          </w:tcPr>
          <w:p w14:paraId="7B4E4F5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（七）</w:t>
            </w:r>
          </w:p>
          <w:p w14:paraId="1C874F43">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防火</w:t>
            </w:r>
          </w:p>
          <w:p w14:paraId="661AD548">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构造</w:t>
            </w:r>
          </w:p>
        </w:tc>
        <w:tc>
          <w:tcPr>
            <w:tcW w:w="1775" w:type="dxa"/>
            <w:gridSpan w:val="5"/>
            <w:tcBorders>
              <w:tl2br w:val="nil"/>
              <w:tr2bl w:val="nil"/>
            </w:tcBorders>
            <w:tcMar>
              <w:top w:w="150" w:type="dxa"/>
              <w:left w:w="150" w:type="dxa"/>
              <w:bottom w:w="150" w:type="dxa"/>
              <w:right w:w="150" w:type="dxa"/>
            </w:tcMar>
            <w:vAlign w:val="center"/>
          </w:tcPr>
          <w:p w14:paraId="1A179EB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1 防火墙、房间隔墙、疏散走廊隔墙</w:t>
            </w:r>
          </w:p>
        </w:tc>
        <w:tc>
          <w:tcPr>
            <w:tcW w:w="1713" w:type="dxa"/>
            <w:gridSpan w:val="5"/>
            <w:tcBorders>
              <w:tl2br w:val="nil"/>
              <w:tr2bl w:val="nil"/>
            </w:tcBorders>
            <w:tcMar>
              <w:top w:w="150" w:type="dxa"/>
              <w:left w:w="150" w:type="dxa"/>
              <w:bottom w:w="150" w:type="dxa"/>
              <w:right w:w="150" w:type="dxa"/>
            </w:tcMar>
            <w:vAlign w:val="center"/>
          </w:tcPr>
          <w:p w14:paraId="7D5C7987">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6C0B52B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75661D41">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5D5EED8E">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r>
      <w:tr w14:paraId="0783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71EA4EFD">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75625BE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2 管道穿防火墙</w:t>
            </w:r>
          </w:p>
        </w:tc>
        <w:tc>
          <w:tcPr>
            <w:tcW w:w="1713" w:type="dxa"/>
            <w:gridSpan w:val="5"/>
            <w:tcBorders>
              <w:tl2br w:val="nil"/>
              <w:tr2bl w:val="nil"/>
            </w:tcBorders>
            <w:tcMar>
              <w:top w:w="150" w:type="dxa"/>
              <w:left w:w="150" w:type="dxa"/>
              <w:bottom w:w="150" w:type="dxa"/>
              <w:right w:w="150" w:type="dxa"/>
            </w:tcMar>
            <w:vAlign w:val="center"/>
          </w:tcPr>
          <w:p w14:paraId="113E8F1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36A965C8">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14676F86">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520C263F">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0D883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59A3826B">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781A0BC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3 竖向管道井</w:t>
            </w:r>
          </w:p>
        </w:tc>
        <w:tc>
          <w:tcPr>
            <w:tcW w:w="1713" w:type="dxa"/>
            <w:gridSpan w:val="5"/>
            <w:tcBorders>
              <w:tl2br w:val="nil"/>
              <w:tr2bl w:val="nil"/>
            </w:tcBorders>
            <w:tcMar>
              <w:top w:w="150" w:type="dxa"/>
              <w:left w:w="150" w:type="dxa"/>
              <w:bottom w:w="150" w:type="dxa"/>
              <w:right w:w="150" w:type="dxa"/>
            </w:tcMar>
            <w:vAlign w:val="center"/>
          </w:tcPr>
          <w:p w14:paraId="5C415480">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59501E96">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1C8F9441">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2F474111">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02B60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1D3E2B07">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77C6910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4 防火门窗、防火卷帘</w:t>
            </w:r>
          </w:p>
        </w:tc>
        <w:tc>
          <w:tcPr>
            <w:tcW w:w="1713" w:type="dxa"/>
            <w:gridSpan w:val="5"/>
            <w:tcBorders>
              <w:tl2br w:val="nil"/>
              <w:tr2bl w:val="nil"/>
            </w:tcBorders>
            <w:tcMar>
              <w:top w:w="150" w:type="dxa"/>
              <w:left w:w="150" w:type="dxa"/>
              <w:bottom w:w="150" w:type="dxa"/>
              <w:right w:w="150" w:type="dxa"/>
            </w:tcMar>
            <w:vAlign w:val="center"/>
          </w:tcPr>
          <w:p w14:paraId="3ABAE908">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3D63709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41290721">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132C3093">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6EEFE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12FB43C7">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69D8370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5 外墙外保温材料</w:t>
            </w:r>
          </w:p>
        </w:tc>
        <w:tc>
          <w:tcPr>
            <w:tcW w:w="1713" w:type="dxa"/>
            <w:gridSpan w:val="5"/>
            <w:tcBorders>
              <w:tl2br w:val="nil"/>
              <w:tr2bl w:val="nil"/>
            </w:tcBorders>
            <w:tcMar>
              <w:top w:w="150" w:type="dxa"/>
              <w:left w:w="150" w:type="dxa"/>
              <w:bottom w:w="150" w:type="dxa"/>
              <w:right w:w="150" w:type="dxa"/>
            </w:tcMar>
            <w:vAlign w:val="center"/>
          </w:tcPr>
          <w:p w14:paraId="3568628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4DDEB73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114D4FC0">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229B49CD">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267A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71743E9B">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0323B42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6 建筑幕墙防火分隔</w:t>
            </w:r>
          </w:p>
        </w:tc>
        <w:tc>
          <w:tcPr>
            <w:tcW w:w="1713" w:type="dxa"/>
            <w:gridSpan w:val="5"/>
            <w:tcBorders>
              <w:tl2br w:val="nil"/>
              <w:tr2bl w:val="nil"/>
            </w:tcBorders>
            <w:tcMar>
              <w:top w:w="150" w:type="dxa"/>
              <w:left w:w="150" w:type="dxa"/>
              <w:bottom w:w="150" w:type="dxa"/>
              <w:right w:w="150" w:type="dxa"/>
            </w:tcMar>
            <w:vAlign w:val="center"/>
          </w:tcPr>
          <w:p w14:paraId="0AAB7E2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05D8E7A3">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0BCA55D8">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203E5F84">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1E11F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28C33D6E">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0A6EF7F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7 窗槛墙、窗间墙</w:t>
            </w:r>
          </w:p>
        </w:tc>
        <w:tc>
          <w:tcPr>
            <w:tcW w:w="1713" w:type="dxa"/>
            <w:gridSpan w:val="5"/>
            <w:tcBorders>
              <w:tl2br w:val="nil"/>
              <w:tr2bl w:val="nil"/>
            </w:tcBorders>
            <w:tcMar>
              <w:top w:w="150" w:type="dxa"/>
              <w:left w:w="150" w:type="dxa"/>
              <w:bottom w:w="150" w:type="dxa"/>
              <w:right w:w="150" w:type="dxa"/>
            </w:tcMar>
            <w:vAlign w:val="center"/>
          </w:tcPr>
          <w:p w14:paraId="08461C81">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5225AECF">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6913DB46">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0EB84183">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25878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0962A011">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45ACFF3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8 爆炸危险场所及泄压设施</w:t>
            </w:r>
          </w:p>
        </w:tc>
        <w:tc>
          <w:tcPr>
            <w:tcW w:w="1713" w:type="dxa"/>
            <w:gridSpan w:val="5"/>
            <w:tcBorders>
              <w:tl2br w:val="nil"/>
              <w:tr2bl w:val="nil"/>
            </w:tcBorders>
            <w:tcMar>
              <w:top w:w="150" w:type="dxa"/>
              <w:left w:w="150" w:type="dxa"/>
              <w:bottom w:w="150" w:type="dxa"/>
              <w:right w:w="150" w:type="dxa"/>
            </w:tcMar>
            <w:vAlign w:val="center"/>
          </w:tcPr>
          <w:p w14:paraId="305EF47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73B65711">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78D024AF">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772511D9">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1DA3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5D2D94F6">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40C06DF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9 防静电、防积聚、防流散措施</w:t>
            </w:r>
          </w:p>
        </w:tc>
        <w:tc>
          <w:tcPr>
            <w:tcW w:w="1713" w:type="dxa"/>
            <w:gridSpan w:val="5"/>
            <w:tcBorders>
              <w:tl2br w:val="nil"/>
              <w:tr2bl w:val="nil"/>
            </w:tcBorders>
            <w:tcMar>
              <w:top w:w="150" w:type="dxa"/>
              <w:left w:w="150" w:type="dxa"/>
              <w:bottom w:w="150" w:type="dxa"/>
              <w:right w:w="150" w:type="dxa"/>
            </w:tcMar>
            <w:vAlign w:val="center"/>
          </w:tcPr>
          <w:p w14:paraId="24428E77">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7180CDA0">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48BEBE77">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7F863622">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3041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restart"/>
            <w:tcBorders>
              <w:tl2br w:val="nil"/>
              <w:tr2bl w:val="nil"/>
            </w:tcBorders>
            <w:tcMar>
              <w:top w:w="150" w:type="dxa"/>
              <w:left w:w="0" w:type="dxa"/>
              <w:bottom w:w="150" w:type="dxa"/>
              <w:right w:w="150" w:type="dxa"/>
            </w:tcMar>
            <w:vAlign w:val="center"/>
          </w:tcPr>
          <w:p w14:paraId="3D1DDBC0">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（八）</w:t>
            </w:r>
          </w:p>
          <w:p w14:paraId="55F59D4C">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消防</w:t>
            </w:r>
          </w:p>
          <w:p w14:paraId="72422184">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给水</w:t>
            </w:r>
          </w:p>
        </w:tc>
        <w:tc>
          <w:tcPr>
            <w:tcW w:w="1775" w:type="dxa"/>
            <w:gridSpan w:val="5"/>
            <w:tcBorders>
              <w:tl2br w:val="nil"/>
              <w:tr2bl w:val="nil"/>
            </w:tcBorders>
            <w:tcMar>
              <w:top w:w="150" w:type="dxa"/>
              <w:left w:w="150" w:type="dxa"/>
              <w:bottom w:w="150" w:type="dxa"/>
              <w:right w:w="150" w:type="dxa"/>
            </w:tcMar>
            <w:vAlign w:val="center"/>
          </w:tcPr>
          <w:p w14:paraId="1C34B7D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1 消防水源及消防用水量</w:t>
            </w:r>
          </w:p>
        </w:tc>
        <w:tc>
          <w:tcPr>
            <w:tcW w:w="1713" w:type="dxa"/>
            <w:gridSpan w:val="5"/>
            <w:tcBorders>
              <w:tl2br w:val="nil"/>
              <w:tr2bl w:val="nil"/>
            </w:tcBorders>
            <w:tcMar>
              <w:top w:w="150" w:type="dxa"/>
              <w:left w:w="150" w:type="dxa"/>
              <w:bottom w:w="150" w:type="dxa"/>
              <w:right w:w="150" w:type="dxa"/>
            </w:tcMar>
            <w:vAlign w:val="center"/>
          </w:tcPr>
          <w:p w14:paraId="5C34CC8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6994CA28">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1C733F82">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284FBF6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r>
      <w:tr w14:paraId="059E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39EE527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75C3442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2 消防水池</w:t>
            </w:r>
          </w:p>
        </w:tc>
        <w:tc>
          <w:tcPr>
            <w:tcW w:w="1713" w:type="dxa"/>
            <w:gridSpan w:val="5"/>
            <w:tcBorders>
              <w:tl2br w:val="nil"/>
              <w:tr2bl w:val="nil"/>
            </w:tcBorders>
            <w:tcMar>
              <w:top w:w="150" w:type="dxa"/>
              <w:left w:w="150" w:type="dxa"/>
              <w:bottom w:w="150" w:type="dxa"/>
              <w:right w:w="150" w:type="dxa"/>
            </w:tcMar>
            <w:vAlign w:val="center"/>
          </w:tcPr>
          <w:p w14:paraId="1B9DD888">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6CE2656F">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420E698F">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42E86592">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4180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30947381">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4810A38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3 消防水泵</w:t>
            </w:r>
          </w:p>
        </w:tc>
        <w:tc>
          <w:tcPr>
            <w:tcW w:w="1713" w:type="dxa"/>
            <w:gridSpan w:val="5"/>
            <w:tcBorders>
              <w:tl2br w:val="nil"/>
              <w:tr2bl w:val="nil"/>
            </w:tcBorders>
            <w:tcMar>
              <w:top w:w="150" w:type="dxa"/>
              <w:left w:w="150" w:type="dxa"/>
              <w:bottom w:w="150" w:type="dxa"/>
              <w:right w:w="150" w:type="dxa"/>
            </w:tcMar>
            <w:vAlign w:val="center"/>
          </w:tcPr>
          <w:p w14:paraId="1D2C81E7">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04A309E3">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3C9C36E8">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388D7994">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389D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0D925B2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79FD7A6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4 高位消防水箱</w:t>
            </w:r>
          </w:p>
        </w:tc>
        <w:tc>
          <w:tcPr>
            <w:tcW w:w="1713" w:type="dxa"/>
            <w:gridSpan w:val="5"/>
            <w:tcBorders>
              <w:tl2br w:val="nil"/>
              <w:tr2bl w:val="nil"/>
            </w:tcBorders>
            <w:tcMar>
              <w:top w:w="150" w:type="dxa"/>
              <w:left w:w="150" w:type="dxa"/>
              <w:bottom w:w="150" w:type="dxa"/>
              <w:right w:w="150" w:type="dxa"/>
            </w:tcMar>
            <w:vAlign w:val="center"/>
          </w:tcPr>
          <w:p w14:paraId="7BEBBDC4">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1CF3714E">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7CCF5519">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0C9850B0">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3EE8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1DAEC9D9">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7EA35D6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5 稳压设施</w:t>
            </w:r>
          </w:p>
        </w:tc>
        <w:tc>
          <w:tcPr>
            <w:tcW w:w="1713" w:type="dxa"/>
            <w:gridSpan w:val="5"/>
            <w:tcBorders>
              <w:tl2br w:val="nil"/>
              <w:tr2bl w:val="nil"/>
            </w:tcBorders>
            <w:tcMar>
              <w:top w:w="150" w:type="dxa"/>
              <w:left w:w="150" w:type="dxa"/>
              <w:bottom w:w="150" w:type="dxa"/>
              <w:right w:w="150" w:type="dxa"/>
            </w:tcMar>
            <w:vAlign w:val="center"/>
          </w:tcPr>
          <w:p w14:paraId="2EA3AC0E">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3D8A2832">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2743CB88">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76C21353">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7C4A8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5329AD10">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536176E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6 水泵接合器</w:t>
            </w:r>
          </w:p>
        </w:tc>
        <w:tc>
          <w:tcPr>
            <w:tcW w:w="1713" w:type="dxa"/>
            <w:gridSpan w:val="5"/>
            <w:tcBorders>
              <w:tl2br w:val="nil"/>
              <w:tr2bl w:val="nil"/>
            </w:tcBorders>
            <w:tcMar>
              <w:top w:w="150" w:type="dxa"/>
              <w:left w:w="150" w:type="dxa"/>
              <w:bottom w:w="150" w:type="dxa"/>
              <w:right w:w="150" w:type="dxa"/>
            </w:tcMar>
            <w:vAlign w:val="center"/>
          </w:tcPr>
          <w:p w14:paraId="18B2C99C">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211BC96F">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6D723D2E">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0ED72F91">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24FBF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restart"/>
            <w:tcBorders>
              <w:tl2br w:val="nil"/>
              <w:tr2bl w:val="nil"/>
            </w:tcBorders>
            <w:tcMar>
              <w:top w:w="150" w:type="dxa"/>
              <w:left w:w="0" w:type="dxa"/>
              <w:bottom w:w="150" w:type="dxa"/>
              <w:right w:w="150" w:type="dxa"/>
            </w:tcMar>
            <w:vAlign w:val="center"/>
          </w:tcPr>
          <w:p w14:paraId="5EBCA75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（九）</w:t>
            </w:r>
          </w:p>
          <w:p w14:paraId="1916E63D">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消火栓</w:t>
            </w:r>
          </w:p>
          <w:p w14:paraId="6973EC6F">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系统</w:t>
            </w:r>
          </w:p>
        </w:tc>
        <w:tc>
          <w:tcPr>
            <w:tcW w:w="1775" w:type="dxa"/>
            <w:gridSpan w:val="5"/>
            <w:tcBorders>
              <w:tl2br w:val="nil"/>
              <w:tr2bl w:val="nil"/>
            </w:tcBorders>
            <w:tcMar>
              <w:top w:w="150" w:type="dxa"/>
              <w:left w:w="150" w:type="dxa"/>
              <w:bottom w:w="150" w:type="dxa"/>
              <w:right w:w="150" w:type="dxa"/>
            </w:tcMar>
            <w:vAlign w:val="center"/>
          </w:tcPr>
          <w:p w14:paraId="3945577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1 消防管网</w:t>
            </w:r>
          </w:p>
        </w:tc>
        <w:tc>
          <w:tcPr>
            <w:tcW w:w="1713" w:type="dxa"/>
            <w:gridSpan w:val="5"/>
            <w:tcBorders>
              <w:tl2br w:val="nil"/>
              <w:tr2bl w:val="nil"/>
            </w:tcBorders>
            <w:tcMar>
              <w:top w:w="150" w:type="dxa"/>
              <w:left w:w="150" w:type="dxa"/>
              <w:bottom w:w="150" w:type="dxa"/>
              <w:right w:w="150" w:type="dxa"/>
            </w:tcMar>
            <w:vAlign w:val="center"/>
          </w:tcPr>
          <w:p w14:paraId="07E1D49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25152CF1">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74D25973">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22F06A06">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7E4B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581B16C3">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2CC3D7D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2 室外消火栓</w:t>
            </w:r>
          </w:p>
        </w:tc>
        <w:tc>
          <w:tcPr>
            <w:tcW w:w="1713" w:type="dxa"/>
            <w:gridSpan w:val="5"/>
            <w:tcBorders>
              <w:tl2br w:val="nil"/>
              <w:tr2bl w:val="nil"/>
            </w:tcBorders>
            <w:tcMar>
              <w:top w:w="150" w:type="dxa"/>
              <w:left w:w="150" w:type="dxa"/>
              <w:bottom w:w="150" w:type="dxa"/>
              <w:right w:w="150" w:type="dxa"/>
            </w:tcMar>
            <w:vAlign w:val="center"/>
          </w:tcPr>
          <w:p w14:paraId="550A7D6C">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75EF54D9">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133EEA6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575C2146">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0567B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4BF531B9">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330F20D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3 室内消火栓</w:t>
            </w:r>
          </w:p>
        </w:tc>
        <w:tc>
          <w:tcPr>
            <w:tcW w:w="1713" w:type="dxa"/>
            <w:gridSpan w:val="5"/>
            <w:tcBorders>
              <w:tl2br w:val="nil"/>
              <w:tr2bl w:val="nil"/>
            </w:tcBorders>
            <w:tcMar>
              <w:top w:w="150" w:type="dxa"/>
              <w:left w:w="150" w:type="dxa"/>
              <w:bottom w:w="150" w:type="dxa"/>
              <w:right w:w="150" w:type="dxa"/>
            </w:tcMar>
            <w:vAlign w:val="center"/>
          </w:tcPr>
          <w:p w14:paraId="2508129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183C4BCC">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1DC8007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15FAE380">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14C44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40609E02">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502F924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4 系统控制</w:t>
            </w:r>
          </w:p>
        </w:tc>
        <w:tc>
          <w:tcPr>
            <w:tcW w:w="1713" w:type="dxa"/>
            <w:gridSpan w:val="5"/>
            <w:tcBorders>
              <w:tl2br w:val="nil"/>
              <w:tr2bl w:val="nil"/>
            </w:tcBorders>
            <w:tcMar>
              <w:top w:w="150" w:type="dxa"/>
              <w:left w:w="150" w:type="dxa"/>
              <w:bottom w:w="150" w:type="dxa"/>
              <w:right w:w="150" w:type="dxa"/>
            </w:tcMar>
            <w:vAlign w:val="center"/>
          </w:tcPr>
          <w:p w14:paraId="7B6514FE">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61AFC73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43D07C9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1BEFD267">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514DF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restart"/>
            <w:tcBorders>
              <w:tl2br w:val="nil"/>
              <w:tr2bl w:val="nil"/>
            </w:tcBorders>
            <w:tcMar>
              <w:top w:w="150" w:type="dxa"/>
              <w:left w:w="0" w:type="dxa"/>
              <w:bottom w:w="150" w:type="dxa"/>
              <w:right w:w="150" w:type="dxa"/>
            </w:tcMar>
            <w:vAlign w:val="center"/>
          </w:tcPr>
          <w:p w14:paraId="43E65F33">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（十）</w:t>
            </w:r>
          </w:p>
          <w:p w14:paraId="323FB61F">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自动</w:t>
            </w:r>
          </w:p>
          <w:p w14:paraId="45C6FBE7">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喷水</w:t>
            </w:r>
          </w:p>
          <w:p w14:paraId="67E3C492">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灭火</w:t>
            </w:r>
          </w:p>
          <w:p w14:paraId="3E434C68">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系统</w:t>
            </w:r>
          </w:p>
        </w:tc>
        <w:tc>
          <w:tcPr>
            <w:tcW w:w="1775" w:type="dxa"/>
            <w:gridSpan w:val="5"/>
            <w:tcBorders>
              <w:tl2br w:val="nil"/>
              <w:tr2bl w:val="nil"/>
            </w:tcBorders>
            <w:tcMar>
              <w:top w:w="150" w:type="dxa"/>
              <w:left w:w="150" w:type="dxa"/>
              <w:bottom w:w="150" w:type="dxa"/>
              <w:right w:w="150" w:type="dxa"/>
            </w:tcMar>
            <w:vAlign w:val="center"/>
          </w:tcPr>
          <w:p w14:paraId="53B709A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1 管网</w:t>
            </w:r>
          </w:p>
        </w:tc>
        <w:tc>
          <w:tcPr>
            <w:tcW w:w="1713" w:type="dxa"/>
            <w:gridSpan w:val="5"/>
            <w:tcBorders>
              <w:tl2br w:val="nil"/>
              <w:tr2bl w:val="nil"/>
            </w:tcBorders>
            <w:tcMar>
              <w:top w:w="150" w:type="dxa"/>
              <w:left w:w="150" w:type="dxa"/>
              <w:bottom w:w="150" w:type="dxa"/>
              <w:right w:w="150" w:type="dxa"/>
            </w:tcMar>
            <w:vAlign w:val="center"/>
          </w:tcPr>
          <w:p w14:paraId="116F6452">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47473ECC">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0577E2F6">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17D97E37">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5C17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320F9B5E">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29862F0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2 报警阀</w:t>
            </w: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组</w:t>
            </w:r>
          </w:p>
        </w:tc>
        <w:tc>
          <w:tcPr>
            <w:tcW w:w="1713" w:type="dxa"/>
            <w:gridSpan w:val="5"/>
            <w:tcBorders>
              <w:tl2br w:val="nil"/>
              <w:tr2bl w:val="nil"/>
            </w:tcBorders>
            <w:tcMar>
              <w:top w:w="150" w:type="dxa"/>
              <w:left w:w="150" w:type="dxa"/>
              <w:bottom w:w="150" w:type="dxa"/>
              <w:right w:w="150" w:type="dxa"/>
            </w:tcMar>
            <w:vAlign w:val="center"/>
          </w:tcPr>
          <w:p w14:paraId="5F078470">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7D51B424">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3038177D">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2630FF5D">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65B8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6D290AA7">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2A3E9D9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3 水流指示器</w:t>
            </w:r>
          </w:p>
        </w:tc>
        <w:tc>
          <w:tcPr>
            <w:tcW w:w="1713" w:type="dxa"/>
            <w:gridSpan w:val="5"/>
            <w:tcBorders>
              <w:tl2br w:val="nil"/>
              <w:tr2bl w:val="nil"/>
            </w:tcBorders>
            <w:tcMar>
              <w:top w:w="150" w:type="dxa"/>
              <w:left w:w="150" w:type="dxa"/>
              <w:bottom w:w="150" w:type="dxa"/>
              <w:right w:w="150" w:type="dxa"/>
            </w:tcMar>
            <w:vAlign w:val="center"/>
          </w:tcPr>
          <w:p w14:paraId="10D250F1">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32B3697B">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6E2FF3BD">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04572EC3">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573F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4A5325EB">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5F8E71F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4 喷头</w:t>
            </w:r>
          </w:p>
        </w:tc>
        <w:tc>
          <w:tcPr>
            <w:tcW w:w="1713" w:type="dxa"/>
            <w:gridSpan w:val="5"/>
            <w:tcBorders>
              <w:tl2br w:val="nil"/>
              <w:tr2bl w:val="nil"/>
            </w:tcBorders>
            <w:tcMar>
              <w:top w:w="150" w:type="dxa"/>
              <w:left w:w="150" w:type="dxa"/>
              <w:bottom w:w="150" w:type="dxa"/>
              <w:right w:w="150" w:type="dxa"/>
            </w:tcMar>
            <w:vAlign w:val="center"/>
          </w:tcPr>
          <w:p w14:paraId="5CC32D37">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2C2BD157">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7D32146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2BF6A54D">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0E6F1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6B684977">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42D9DE4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5 末端试水装置</w:t>
            </w:r>
          </w:p>
        </w:tc>
        <w:tc>
          <w:tcPr>
            <w:tcW w:w="1713" w:type="dxa"/>
            <w:gridSpan w:val="5"/>
            <w:tcBorders>
              <w:tl2br w:val="nil"/>
              <w:tr2bl w:val="nil"/>
            </w:tcBorders>
            <w:tcMar>
              <w:top w:w="150" w:type="dxa"/>
              <w:left w:w="150" w:type="dxa"/>
              <w:bottom w:w="150" w:type="dxa"/>
              <w:right w:w="150" w:type="dxa"/>
            </w:tcMar>
            <w:vAlign w:val="center"/>
          </w:tcPr>
          <w:p w14:paraId="5C8EA580">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7DDB3E84">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6B4A0159">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579767B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1859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0053FA03">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2C179A8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6 系统控制</w:t>
            </w:r>
          </w:p>
        </w:tc>
        <w:tc>
          <w:tcPr>
            <w:tcW w:w="1713" w:type="dxa"/>
            <w:gridSpan w:val="5"/>
            <w:tcBorders>
              <w:tl2br w:val="nil"/>
              <w:tr2bl w:val="nil"/>
            </w:tcBorders>
            <w:tcMar>
              <w:top w:w="150" w:type="dxa"/>
              <w:left w:w="150" w:type="dxa"/>
              <w:bottom w:w="150" w:type="dxa"/>
              <w:right w:w="150" w:type="dxa"/>
            </w:tcMar>
            <w:vAlign w:val="center"/>
          </w:tcPr>
          <w:p w14:paraId="61F8014B">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48204352">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306C48BE">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073D98AD">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2B837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restart"/>
            <w:tcBorders>
              <w:tl2br w:val="nil"/>
              <w:tr2bl w:val="nil"/>
            </w:tcBorders>
            <w:tcMar>
              <w:top w:w="150" w:type="dxa"/>
              <w:left w:w="0" w:type="dxa"/>
              <w:bottom w:w="150" w:type="dxa"/>
              <w:right w:w="150" w:type="dxa"/>
            </w:tcMar>
            <w:vAlign w:val="center"/>
          </w:tcPr>
          <w:p w14:paraId="057E683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（十一）</w:t>
            </w:r>
          </w:p>
          <w:p w14:paraId="6DF75C26">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气体</w:t>
            </w:r>
          </w:p>
          <w:p w14:paraId="3C9FABEF">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灭火</w:t>
            </w:r>
          </w:p>
          <w:p w14:paraId="22A913C6">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系统</w:t>
            </w:r>
          </w:p>
        </w:tc>
        <w:tc>
          <w:tcPr>
            <w:tcW w:w="1775" w:type="dxa"/>
            <w:gridSpan w:val="5"/>
            <w:tcBorders>
              <w:tl2br w:val="nil"/>
              <w:tr2bl w:val="nil"/>
            </w:tcBorders>
            <w:tcMar>
              <w:top w:w="150" w:type="dxa"/>
              <w:left w:w="150" w:type="dxa"/>
              <w:bottom w:w="150" w:type="dxa"/>
              <w:right w:w="150" w:type="dxa"/>
            </w:tcMar>
            <w:vAlign w:val="center"/>
          </w:tcPr>
          <w:p w14:paraId="7AB2893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1 系统类型</w:t>
            </w:r>
          </w:p>
        </w:tc>
        <w:tc>
          <w:tcPr>
            <w:tcW w:w="1713" w:type="dxa"/>
            <w:gridSpan w:val="5"/>
            <w:tcBorders>
              <w:tl2br w:val="nil"/>
              <w:tr2bl w:val="nil"/>
            </w:tcBorders>
            <w:tcMar>
              <w:top w:w="150" w:type="dxa"/>
              <w:left w:w="150" w:type="dxa"/>
              <w:bottom w:w="150" w:type="dxa"/>
              <w:right w:w="150" w:type="dxa"/>
            </w:tcMar>
            <w:vAlign w:val="center"/>
          </w:tcPr>
          <w:p w14:paraId="468256EE">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294C8D33">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136FDD91">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4D3C7ABF">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7EA5E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296B7C7B">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703B5E2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2 防护区</w:t>
            </w:r>
          </w:p>
        </w:tc>
        <w:tc>
          <w:tcPr>
            <w:tcW w:w="1713" w:type="dxa"/>
            <w:gridSpan w:val="5"/>
            <w:tcBorders>
              <w:tl2br w:val="nil"/>
              <w:tr2bl w:val="nil"/>
            </w:tcBorders>
            <w:tcMar>
              <w:top w:w="150" w:type="dxa"/>
              <w:left w:w="150" w:type="dxa"/>
              <w:bottom w:w="150" w:type="dxa"/>
              <w:right w:w="150" w:type="dxa"/>
            </w:tcMar>
            <w:vAlign w:val="center"/>
          </w:tcPr>
          <w:p w14:paraId="24E89FA1">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06555A6D">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446EF0A3">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04530899">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1DFD0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0F6306AD">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15BA55B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3 钢瓶间</w:t>
            </w:r>
          </w:p>
        </w:tc>
        <w:tc>
          <w:tcPr>
            <w:tcW w:w="1713" w:type="dxa"/>
            <w:gridSpan w:val="5"/>
            <w:tcBorders>
              <w:tl2br w:val="nil"/>
              <w:tr2bl w:val="nil"/>
            </w:tcBorders>
            <w:tcMar>
              <w:top w:w="150" w:type="dxa"/>
              <w:left w:w="150" w:type="dxa"/>
              <w:bottom w:w="150" w:type="dxa"/>
              <w:right w:w="150" w:type="dxa"/>
            </w:tcMar>
            <w:vAlign w:val="center"/>
          </w:tcPr>
          <w:p w14:paraId="5AADCA2E">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1300DCD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5628CAAC">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125720C2">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6A0B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16E23FD4">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5404013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4 系统控制</w:t>
            </w:r>
          </w:p>
        </w:tc>
        <w:tc>
          <w:tcPr>
            <w:tcW w:w="1713" w:type="dxa"/>
            <w:gridSpan w:val="5"/>
            <w:tcBorders>
              <w:tl2br w:val="nil"/>
              <w:tr2bl w:val="nil"/>
            </w:tcBorders>
            <w:tcMar>
              <w:top w:w="150" w:type="dxa"/>
              <w:left w:w="150" w:type="dxa"/>
              <w:bottom w:w="150" w:type="dxa"/>
              <w:right w:w="150" w:type="dxa"/>
            </w:tcMar>
            <w:vAlign w:val="center"/>
          </w:tcPr>
          <w:p w14:paraId="3B62810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6D632B1F">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15D5CEF7">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67A115FB">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1582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restart"/>
            <w:tcBorders>
              <w:tl2br w:val="nil"/>
              <w:tr2bl w:val="nil"/>
            </w:tcBorders>
            <w:tcMar>
              <w:top w:w="150" w:type="dxa"/>
              <w:left w:w="0" w:type="dxa"/>
              <w:bottom w:w="150" w:type="dxa"/>
              <w:right w:w="150" w:type="dxa"/>
            </w:tcMar>
            <w:vAlign w:val="center"/>
          </w:tcPr>
          <w:p w14:paraId="4DD9363F">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（十二）</w:t>
            </w:r>
          </w:p>
          <w:p w14:paraId="6173C5D7">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防烟</w:t>
            </w:r>
          </w:p>
          <w:p w14:paraId="33E0DB5E">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和</w:t>
            </w:r>
          </w:p>
          <w:p w14:paraId="5073E8C1">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排烟</w:t>
            </w:r>
          </w:p>
          <w:p w14:paraId="7C7B71BD">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设施</w:t>
            </w:r>
          </w:p>
        </w:tc>
        <w:tc>
          <w:tcPr>
            <w:tcW w:w="1775" w:type="dxa"/>
            <w:gridSpan w:val="5"/>
            <w:tcBorders>
              <w:tl2br w:val="nil"/>
              <w:tr2bl w:val="nil"/>
            </w:tcBorders>
            <w:tcMar>
              <w:top w:w="150" w:type="dxa"/>
              <w:left w:w="150" w:type="dxa"/>
              <w:bottom w:w="150" w:type="dxa"/>
              <w:right w:w="150" w:type="dxa"/>
            </w:tcMar>
            <w:vAlign w:val="center"/>
          </w:tcPr>
          <w:p w14:paraId="5E8F9C5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1 排烟风机</w:t>
            </w:r>
          </w:p>
        </w:tc>
        <w:tc>
          <w:tcPr>
            <w:tcW w:w="1713" w:type="dxa"/>
            <w:gridSpan w:val="5"/>
            <w:tcBorders>
              <w:tl2br w:val="nil"/>
              <w:tr2bl w:val="nil"/>
            </w:tcBorders>
            <w:tcMar>
              <w:top w:w="150" w:type="dxa"/>
              <w:left w:w="150" w:type="dxa"/>
              <w:bottom w:w="150" w:type="dxa"/>
              <w:right w:w="150" w:type="dxa"/>
            </w:tcMar>
            <w:vAlign w:val="center"/>
          </w:tcPr>
          <w:p w14:paraId="4E1B8CCF">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4495159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26FA27A4">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6E8DF19B">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04FDA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0E3A93B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34D8BE9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2 排烟管道</w:t>
            </w:r>
          </w:p>
        </w:tc>
        <w:tc>
          <w:tcPr>
            <w:tcW w:w="1713" w:type="dxa"/>
            <w:gridSpan w:val="5"/>
            <w:tcBorders>
              <w:tl2br w:val="nil"/>
              <w:tr2bl w:val="nil"/>
            </w:tcBorders>
            <w:tcMar>
              <w:top w:w="150" w:type="dxa"/>
              <w:left w:w="150" w:type="dxa"/>
              <w:bottom w:w="150" w:type="dxa"/>
              <w:right w:w="150" w:type="dxa"/>
            </w:tcMar>
            <w:vAlign w:val="center"/>
          </w:tcPr>
          <w:p w14:paraId="50582DE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313D796F">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33146A58">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14060E24">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5F30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629823AC">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62208EA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3 自然排烟口、机械排烟口、排烟阀</w:t>
            </w:r>
          </w:p>
        </w:tc>
        <w:tc>
          <w:tcPr>
            <w:tcW w:w="1713" w:type="dxa"/>
            <w:gridSpan w:val="5"/>
            <w:tcBorders>
              <w:tl2br w:val="nil"/>
              <w:tr2bl w:val="nil"/>
            </w:tcBorders>
            <w:tcMar>
              <w:top w:w="150" w:type="dxa"/>
              <w:left w:w="150" w:type="dxa"/>
              <w:bottom w:w="150" w:type="dxa"/>
              <w:right w:w="150" w:type="dxa"/>
            </w:tcMar>
            <w:vAlign w:val="center"/>
          </w:tcPr>
          <w:p w14:paraId="16F28952">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7757DD10">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168AAD81">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017236D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1A754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23ABBA9B">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32D0C0B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4 加压送风机</w:t>
            </w:r>
          </w:p>
        </w:tc>
        <w:tc>
          <w:tcPr>
            <w:tcW w:w="1713" w:type="dxa"/>
            <w:gridSpan w:val="5"/>
            <w:tcBorders>
              <w:tl2br w:val="nil"/>
              <w:tr2bl w:val="nil"/>
            </w:tcBorders>
            <w:tcMar>
              <w:top w:w="150" w:type="dxa"/>
              <w:left w:w="150" w:type="dxa"/>
              <w:bottom w:w="150" w:type="dxa"/>
              <w:right w:w="150" w:type="dxa"/>
            </w:tcMar>
            <w:vAlign w:val="center"/>
          </w:tcPr>
          <w:p w14:paraId="222F389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53566B00">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18D78F14">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675C13D9">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0453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209C6311">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46C7F2E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5 加压送风管道</w:t>
            </w:r>
          </w:p>
        </w:tc>
        <w:tc>
          <w:tcPr>
            <w:tcW w:w="1713" w:type="dxa"/>
            <w:gridSpan w:val="5"/>
            <w:tcBorders>
              <w:tl2br w:val="nil"/>
              <w:tr2bl w:val="nil"/>
            </w:tcBorders>
            <w:tcMar>
              <w:top w:w="150" w:type="dxa"/>
              <w:left w:w="150" w:type="dxa"/>
              <w:bottom w:w="150" w:type="dxa"/>
              <w:right w:w="150" w:type="dxa"/>
            </w:tcMar>
            <w:vAlign w:val="center"/>
          </w:tcPr>
          <w:p w14:paraId="075AD97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3B3B3F13">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382EC647">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63B11A71">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1D8E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784D0B18">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4DF3DCE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6 加压送风口</w:t>
            </w:r>
          </w:p>
        </w:tc>
        <w:tc>
          <w:tcPr>
            <w:tcW w:w="1713" w:type="dxa"/>
            <w:gridSpan w:val="5"/>
            <w:tcBorders>
              <w:tl2br w:val="nil"/>
              <w:tr2bl w:val="nil"/>
            </w:tcBorders>
            <w:tcMar>
              <w:top w:w="150" w:type="dxa"/>
              <w:left w:w="150" w:type="dxa"/>
              <w:bottom w:w="150" w:type="dxa"/>
              <w:right w:w="150" w:type="dxa"/>
            </w:tcMar>
            <w:vAlign w:val="center"/>
          </w:tcPr>
          <w:p w14:paraId="0684E45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2A14B6F6">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1CB231C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260EE769">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496D7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170AFCC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2CA695E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7 系统控制</w:t>
            </w:r>
          </w:p>
        </w:tc>
        <w:tc>
          <w:tcPr>
            <w:tcW w:w="1713" w:type="dxa"/>
            <w:gridSpan w:val="5"/>
            <w:tcBorders>
              <w:tl2br w:val="nil"/>
              <w:tr2bl w:val="nil"/>
            </w:tcBorders>
            <w:tcMar>
              <w:top w:w="150" w:type="dxa"/>
              <w:left w:w="150" w:type="dxa"/>
              <w:bottom w:w="150" w:type="dxa"/>
              <w:right w:w="150" w:type="dxa"/>
            </w:tcMar>
            <w:vAlign w:val="center"/>
          </w:tcPr>
          <w:p w14:paraId="01C8E8CC">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6FC2533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604D2853">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054BC07E">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29689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restart"/>
            <w:tcBorders>
              <w:tl2br w:val="nil"/>
              <w:tr2bl w:val="nil"/>
            </w:tcBorders>
            <w:tcMar>
              <w:top w:w="150" w:type="dxa"/>
              <w:left w:w="0" w:type="dxa"/>
              <w:bottom w:w="150" w:type="dxa"/>
              <w:right w:w="150" w:type="dxa"/>
            </w:tcMar>
            <w:vAlign w:val="center"/>
          </w:tcPr>
          <w:p w14:paraId="1CB1672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（十三）</w:t>
            </w:r>
          </w:p>
          <w:p w14:paraId="38BE3B26">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消防</w:t>
            </w:r>
          </w:p>
          <w:p w14:paraId="5A67455D">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电源</w:t>
            </w:r>
          </w:p>
          <w:p w14:paraId="3D34411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及其</w:t>
            </w:r>
          </w:p>
          <w:p w14:paraId="2B49D31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配电</w:t>
            </w:r>
          </w:p>
        </w:tc>
        <w:tc>
          <w:tcPr>
            <w:tcW w:w="1775" w:type="dxa"/>
            <w:gridSpan w:val="5"/>
            <w:tcBorders>
              <w:tl2br w:val="nil"/>
              <w:tr2bl w:val="nil"/>
            </w:tcBorders>
            <w:tcMar>
              <w:top w:w="150" w:type="dxa"/>
              <w:left w:w="150" w:type="dxa"/>
              <w:bottom w:w="150" w:type="dxa"/>
              <w:right w:w="150" w:type="dxa"/>
            </w:tcMar>
            <w:vAlign w:val="center"/>
          </w:tcPr>
          <w:p w14:paraId="00864BE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1 供配电负荷等级</w:t>
            </w:r>
          </w:p>
        </w:tc>
        <w:tc>
          <w:tcPr>
            <w:tcW w:w="1713" w:type="dxa"/>
            <w:gridSpan w:val="5"/>
            <w:tcBorders>
              <w:tl2br w:val="nil"/>
              <w:tr2bl w:val="nil"/>
            </w:tcBorders>
            <w:tcMar>
              <w:top w:w="150" w:type="dxa"/>
              <w:left w:w="150" w:type="dxa"/>
              <w:bottom w:w="150" w:type="dxa"/>
              <w:right w:w="150" w:type="dxa"/>
            </w:tcMar>
            <w:vAlign w:val="center"/>
          </w:tcPr>
          <w:p w14:paraId="7D0E3DFD">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303EA170">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6D5186E3">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0A58A750">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6007D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197E430F">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5F05D21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2 消防配电</w:t>
            </w:r>
          </w:p>
        </w:tc>
        <w:tc>
          <w:tcPr>
            <w:tcW w:w="1713" w:type="dxa"/>
            <w:gridSpan w:val="5"/>
            <w:tcBorders>
              <w:tl2br w:val="nil"/>
              <w:tr2bl w:val="nil"/>
            </w:tcBorders>
            <w:tcMar>
              <w:top w:w="150" w:type="dxa"/>
              <w:left w:w="150" w:type="dxa"/>
              <w:bottom w:w="150" w:type="dxa"/>
              <w:right w:w="150" w:type="dxa"/>
            </w:tcMar>
            <w:vAlign w:val="center"/>
          </w:tcPr>
          <w:p w14:paraId="67B98F0F">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47824B6E">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0C270ABE">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4AC4197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066B0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02BDBC39">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71D87F2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3 自备发电机组</w:t>
            </w:r>
          </w:p>
        </w:tc>
        <w:tc>
          <w:tcPr>
            <w:tcW w:w="1713" w:type="dxa"/>
            <w:gridSpan w:val="5"/>
            <w:tcBorders>
              <w:tl2br w:val="nil"/>
              <w:tr2bl w:val="nil"/>
            </w:tcBorders>
            <w:tcMar>
              <w:top w:w="150" w:type="dxa"/>
              <w:left w:w="150" w:type="dxa"/>
              <w:bottom w:w="150" w:type="dxa"/>
              <w:right w:w="150" w:type="dxa"/>
            </w:tcMar>
            <w:vAlign w:val="center"/>
          </w:tcPr>
          <w:p w14:paraId="199F027B">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1706598B">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3D3A812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5A09EAEF">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22D6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restart"/>
            <w:tcBorders>
              <w:tl2br w:val="nil"/>
              <w:tr2bl w:val="nil"/>
            </w:tcBorders>
            <w:tcMar>
              <w:top w:w="150" w:type="dxa"/>
              <w:left w:w="0" w:type="dxa"/>
              <w:bottom w:w="150" w:type="dxa"/>
              <w:right w:w="150" w:type="dxa"/>
            </w:tcMar>
            <w:vAlign w:val="center"/>
          </w:tcPr>
          <w:p w14:paraId="7D1F1DC8">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（十四）</w:t>
            </w:r>
          </w:p>
          <w:p w14:paraId="3F44185F">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火灾</w:t>
            </w:r>
          </w:p>
          <w:p w14:paraId="501E42E7">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自动</w:t>
            </w:r>
          </w:p>
          <w:p w14:paraId="1AC06EA8">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报警</w:t>
            </w:r>
          </w:p>
          <w:p w14:paraId="47C9FA90">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系统</w:t>
            </w:r>
          </w:p>
        </w:tc>
        <w:tc>
          <w:tcPr>
            <w:tcW w:w="1775" w:type="dxa"/>
            <w:gridSpan w:val="5"/>
            <w:tcBorders>
              <w:tl2br w:val="nil"/>
              <w:tr2bl w:val="nil"/>
            </w:tcBorders>
            <w:tcMar>
              <w:top w:w="150" w:type="dxa"/>
              <w:left w:w="150" w:type="dxa"/>
              <w:bottom w:w="150" w:type="dxa"/>
              <w:right w:w="150" w:type="dxa"/>
            </w:tcMar>
            <w:vAlign w:val="center"/>
          </w:tcPr>
          <w:p w14:paraId="10AD071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1 消防控制室</w:t>
            </w:r>
          </w:p>
        </w:tc>
        <w:tc>
          <w:tcPr>
            <w:tcW w:w="1713" w:type="dxa"/>
            <w:gridSpan w:val="5"/>
            <w:tcBorders>
              <w:tl2br w:val="nil"/>
              <w:tr2bl w:val="nil"/>
            </w:tcBorders>
            <w:tcMar>
              <w:top w:w="150" w:type="dxa"/>
              <w:left w:w="150" w:type="dxa"/>
              <w:bottom w:w="150" w:type="dxa"/>
              <w:right w:w="150" w:type="dxa"/>
            </w:tcMar>
            <w:vAlign w:val="center"/>
          </w:tcPr>
          <w:p w14:paraId="2AF53BB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36D44C3C">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0B0F1660">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1F0DA2F0">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0A1D0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46DC3A77">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10B419C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2 火灾报警控制器</w:t>
            </w:r>
          </w:p>
        </w:tc>
        <w:tc>
          <w:tcPr>
            <w:tcW w:w="1713" w:type="dxa"/>
            <w:gridSpan w:val="5"/>
            <w:tcBorders>
              <w:tl2br w:val="nil"/>
              <w:tr2bl w:val="nil"/>
            </w:tcBorders>
            <w:tcMar>
              <w:top w:w="150" w:type="dxa"/>
              <w:left w:w="150" w:type="dxa"/>
              <w:bottom w:w="150" w:type="dxa"/>
              <w:right w:w="150" w:type="dxa"/>
            </w:tcMar>
            <w:vAlign w:val="center"/>
          </w:tcPr>
          <w:p w14:paraId="417014D0">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18EACBD3">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2729FE7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4CB5A304">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4EA70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64F8A597">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329B336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3 火灾探测器</w:t>
            </w:r>
          </w:p>
        </w:tc>
        <w:tc>
          <w:tcPr>
            <w:tcW w:w="1713" w:type="dxa"/>
            <w:gridSpan w:val="5"/>
            <w:tcBorders>
              <w:tl2br w:val="nil"/>
              <w:tr2bl w:val="nil"/>
            </w:tcBorders>
            <w:tcMar>
              <w:top w:w="150" w:type="dxa"/>
              <w:left w:w="150" w:type="dxa"/>
              <w:bottom w:w="150" w:type="dxa"/>
              <w:right w:w="150" w:type="dxa"/>
            </w:tcMar>
            <w:vAlign w:val="center"/>
          </w:tcPr>
          <w:p w14:paraId="22EC3464">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23A28CE7">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6363955C">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3F18092D">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6D4BA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3452E9B2">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125D782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4 手动报警按钮</w:t>
            </w:r>
          </w:p>
        </w:tc>
        <w:tc>
          <w:tcPr>
            <w:tcW w:w="1713" w:type="dxa"/>
            <w:gridSpan w:val="5"/>
            <w:tcBorders>
              <w:tl2br w:val="nil"/>
              <w:tr2bl w:val="nil"/>
            </w:tcBorders>
            <w:tcMar>
              <w:top w:w="150" w:type="dxa"/>
              <w:left w:w="150" w:type="dxa"/>
              <w:bottom w:w="150" w:type="dxa"/>
              <w:right w:w="150" w:type="dxa"/>
            </w:tcMar>
            <w:vAlign w:val="center"/>
          </w:tcPr>
          <w:p w14:paraId="29C72168">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4A0D1DE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2BE4E59C">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580E2070">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62BD3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5D106F70">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1AFE328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5 火灾警报装置</w:t>
            </w:r>
          </w:p>
        </w:tc>
        <w:tc>
          <w:tcPr>
            <w:tcW w:w="1713" w:type="dxa"/>
            <w:gridSpan w:val="5"/>
            <w:tcBorders>
              <w:tl2br w:val="nil"/>
              <w:tr2bl w:val="nil"/>
            </w:tcBorders>
            <w:tcMar>
              <w:top w:w="150" w:type="dxa"/>
              <w:left w:w="150" w:type="dxa"/>
              <w:bottom w:w="150" w:type="dxa"/>
              <w:right w:w="150" w:type="dxa"/>
            </w:tcMar>
            <w:vAlign w:val="center"/>
          </w:tcPr>
          <w:p w14:paraId="0CDBC09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331E1753">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49065B5E">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15516638">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78765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restart"/>
            <w:tcBorders>
              <w:tl2br w:val="nil"/>
              <w:tr2bl w:val="nil"/>
            </w:tcBorders>
            <w:tcMar>
              <w:top w:w="150" w:type="dxa"/>
              <w:left w:w="0" w:type="dxa"/>
              <w:bottom w:w="150" w:type="dxa"/>
              <w:right w:w="150" w:type="dxa"/>
            </w:tcMar>
            <w:vAlign w:val="center"/>
          </w:tcPr>
          <w:p w14:paraId="301CF7E0">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（十五）</w:t>
            </w:r>
          </w:p>
          <w:p w14:paraId="7DB3023C">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消防</w:t>
            </w:r>
          </w:p>
          <w:p w14:paraId="087FC3D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应急</w:t>
            </w:r>
          </w:p>
          <w:p w14:paraId="12C59F42">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照明</w:t>
            </w:r>
          </w:p>
          <w:p w14:paraId="1638EFE0">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和</w:t>
            </w:r>
          </w:p>
          <w:p w14:paraId="6D835266">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疏散</w:t>
            </w:r>
          </w:p>
          <w:p w14:paraId="147E5020">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指示</w:t>
            </w:r>
          </w:p>
          <w:p w14:paraId="37D9EEEB">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系统</w:t>
            </w:r>
          </w:p>
        </w:tc>
        <w:tc>
          <w:tcPr>
            <w:tcW w:w="1775" w:type="dxa"/>
            <w:gridSpan w:val="5"/>
            <w:tcBorders>
              <w:tl2br w:val="nil"/>
              <w:tr2bl w:val="nil"/>
            </w:tcBorders>
            <w:tcMar>
              <w:top w:w="150" w:type="dxa"/>
              <w:left w:w="150" w:type="dxa"/>
              <w:bottom w:w="150" w:type="dxa"/>
              <w:right w:w="150" w:type="dxa"/>
            </w:tcMar>
            <w:vAlign w:val="center"/>
          </w:tcPr>
          <w:p w14:paraId="6D683FF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1 消防应急</w:t>
            </w:r>
          </w:p>
          <w:p w14:paraId="4E15A7A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照明</w:t>
            </w:r>
          </w:p>
        </w:tc>
        <w:tc>
          <w:tcPr>
            <w:tcW w:w="1713" w:type="dxa"/>
            <w:gridSpan w:val="5"/>
            <w:tcBorders>
              <w:tl2br w:val="nil"/>
              <w:tr2bl w:val="nil"/>
            </w:tcBorders>
            <w:tcMar>
              <w:top w:w="150" w:type="dxa"/>
              <w:left w:w="150" w:type="dxa"/>
              <w:bottom w:w="150" w:type="dxa"/>
              <w:right w:w="150" w:type="dxa"/>
            </w:tcMar>
            <w:vAlign w:val="center"/>
          </w:tcPr>
          <w:p w14:paraId="7D12E7E3">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7DF29F27">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08ECC1DC">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1C3AC239">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3E84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7290DD7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4934010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2 疏散指示</w:t>
            </w:r>
          </w:p>
          <w:p w14:paraId="3416E12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标志</w:t>
            </w:r>
          </w:p>
        </w:tc>
        <w:tc>
          <w:tcPr>
            <w:tcW w:w="1713" w:type="dxa"/>
            <w:gridSpan w:val="5"/>
            <w:tcBorders>
              <w:tl2br w:val="nil"/>
              <w:tr2bl w:val="nil"/>
            </w:tcBorders>
            <w:tcMar>
              <w:top w:w="150" w:type="dxa"/>
              <w:left w:w="150" w:type="dxa"/>
              <w:bottom w:w="150" w:type="dxa"/>
              <w:right w:w="150" w:type="dxa"/>
            </w:tcMar>
            <w:vAlign w:val="center"/>
          </w:tcPr>
          <w:p w14:paraId="5AD96DF9">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45F3EC4D">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03A86EBC">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028CCBD9">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0D1F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5BD5AEE1">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7CE7F45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3 消防应急</w:t>
            </w:r>
          </w:p>
          <w:p w14:paraId="49A1FE2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广播系统</w:t>
            </w:r>
          </w:p>
        </w:tc>
        <w:tc>
          <w:tcPr>
            <w:tcW w:w="1713" w:type="dxa"/>
            <w:gridSpan w:val="5"/>
            <w:tcBorders>
              <w:tl2br w:val="nil"/>
              <w:tr2bl w:val="nil"/>
            </w:tcBorders>
            <w:tcMar>
              <w:top w:w="150" w:type="dxa"/>
              <w:left w:w="150" w:type="dxa"/>
              <w:bottom w:w="150" w:type="dxa"/>
              <w:right w:w="150" w:type="dxa"/>
            </w:tcMar>
            <w:vAlign w:val="center"/>
          </w:tcPr>
          <w:p w14:paraId="4235D21C">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76807AD8">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2C6C4812">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42099A98">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04C4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vMerge w:val="continue"/>
            <w:tcBorders>
              <w:tl2br w:val="nil"/>
              <w:tr2bl w:val="nil"/>
            </w:tcBorders>
            <w:tcMar>
              <w:top w:w="150" w:type="dxa"/>
              <w:left w:w="0" w:type="dxa"/>
              <w:bottom w:w="150" w:type="dxa"/>
              <w:right w:w="150" w:type="dxa"/>
            </w:tcMar>
            <w:vAlign w:val="center"/>
          </w:tcPr>
          <w:p w14:paraId="53EB69A1">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775" w:type="dxa"/>
            <w:gridSpan w:val="5"/>
            <w:tcBorders>
              <w:tl2br w:val="nil"/>
              <w:tr2bl w:val="nil"/>
            </w:tcBorders>
            <w:tcMar>
              <w:top w:w="150" w:type="dxa"/>
              <w:left w:w="150" w:type="dxa"/>
              <w:bottom w:w="150" w:type="dxa"/>
              <w:right w:w="150" w:type="dxa"/>
            </w:tcMar>
            <w:vAlign w:val="center"/>
          </w:tcPr>
          <w:p w14:paraId="7C20E4B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4 消防专用</w:t>
            </w:r>
          </w:p>
          <w:p w14:paraId="27071FA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left"/>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电话</w:t>
            </w:r>
          </w:p>
        </w:tc>
        <w:tc>
          <w:tcPr>
            <w:tcW w:w="1713" w:type="dxa"/>
            <w:gridSpan w:val="5"/>
            <w:tcBorders>
              <w:tl2br w:val="nil"/>
              <w:tr2bl w:val="nil"/>
            </w:tcBorders>
            <w:tcMar>
              <w:top w:w="150" w:type="dxa"/>
              <w:left w:w="150" w:type="dxa"/>
              <w:bottom w:w="150" w:type="dxa"/>
              <w:right w:w="150" w:type="dxa"/>
            </w:tcMar>
            <w:vAlign w:val="center"/>
          </w:tcPr>
          <w:p w14:paraId="58689569">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66" w:type="dxa"/>
            <w:gridSpan w:val="5"/>
            <w:tcBorders>
              <w:tl2br w:val="nil"/>
              <w:tr2bl w:val="nil"/>
            </w:tcBorders>
            <w:tcMar>
              <w:top w:w="150" w:type="dxa"/>
              <w:left w:w="150" w:type="dxa"/>
              <w:bottom w:w="150" w:type="dxa"/>
              <w:right w:w="150" w:type="dxa"/>
            </w:tcMar>
            <w:vAlign w:val="center"/>
          </w:tcPr>
          <w:p w14:paraId="4B887F6D">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094" w:type="dxa"/>
            <w:gridSpan w:val="4"/>
            <w:tcBorders>
              <w:tl2br w:val="nil"/>
              <w:tr2bl w:val="nil"/>
            </w:tcBorders>
            <w:tcMar>
              <w:top w:w="150" w:type="dxa"/>
              <w:left w:w="150" w:type="dxa"/>
              <w:bottom w:w="150" w:type="dxa"/>
              <w:right w:w="150" w:type="dxa"/>
            </w:tcMar>
            <w:vAlign w:val="center"/>
          </w:tcPr>
          <w:p w14:paraId="7D6D4034">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c>
          <w:tcPr>
            <w:tcW w:w="1418" w:type="dxa"/>
            <w:gridSpan w:val="2"/>
            <w:tcBorders>
              <w:tl2br w:val="nil"/>
              <w:tr2bl w:val="nil"/>
            </w:tcBorders>
            <w:tcMar>
              <w:top w:w="150" w:type="dxa"/>
              <w:left w:w="150" w:type="dxa"/>
              <w:bottom w:w="150" w:type="dxa"/>
              <w:right w:w="150" w:type="dxa"/>
            </w:tcMar>
            <w:vAlign w:val="center"/>
          </w:tcPr>
          <w:p w14:paraId="51767DE1">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tc>
      </w:tr>
      <w:tr w14:paraId="18C32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974" w:type="dxa"/>
            <w:gridSpan w:val="2"/>
            <w:tcBorders>
              <w:tl2br w:val="nil"/>
              <w:tr2bl w:val="nil"/>
            </w:tcBorders>
            <w:tcMar>
              <w:top w:w="150" w:type="dxa"/>
              <w:left w:w="0" w:type="dxa"/>
              <w:bottom w:w="150" w:type="dxa"/>
              <w:right w:w="150" w:type="dxa"/>
            </w:tcMar>
            <w:vAlign w:val="center"/>
          </w:tcPr>
          <w:p w14:paraId="1ACE69A1">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（十六）</w:t>
            </w:r>
          </w:p>
          <w:p w14:paraId="14B78BC6">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结构</w:t>
            </w:r>
          </w:p>
          <w:p w14:paraId="4B830FE3">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鉴定</w:t>
            </w:r>
          </w:p>
        </w:tc>
        <w:tc>
          <w:tcPr>
            <w:tcW w:w="1775" w:type="dxa"/>
            <w:gridSpan w:val="5"/>
            <w:tcBorders>
              <w:tl2br w:val="nil"/>
              <w:tr2bl w:val="nil"/>
            </w:tcBorders>
            <w:tcMar>
              <w:top w:w="150" w:type="dxa"/>
              <w:left w:w="150" w:type="dxa"/>
              <w:bottom w:w="150" w:type="dxa"/>
              <w:right w:w="150" w:type="dxa"/>
            </w:tcMar>
            <w:vAlign w:val="center"/>
          </w:tcPr>
          <w:p w14:paraId="0E313F0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是否需要进行</w:t>
            </w:r>
          </w:p>
          <w:p w14:paraId="695C4F6E">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与消防相关</w:t>
            </w:r>
          </w:p>
          <w:p w14:paraId="241383E4">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的结构鉴定</w:t>
            </w:r>
          </w:p>
        </w:tc>
        <w:tc>
          <w:tcPr>
            <w:tcW w:w="5691" w:type="dxa"/>
            <w:gridSpan w:val="16"/>
            <w:tcBorders>
              <w:tl2br w:val="nil"/>
              <w:tr2bl w:val="nil"/>
            </w:tcBorders>
            <w:tcMar>
              <w:top w:w="150" w:type="dxa"/>
              <w:left w:w="150" w:type="dxa"/>
              <w:bottom w:w="150" w:type="dxa"/>
              <w:right w:w="150" w:type="dxa"/>
            </w:tcMar>
            <w:vAlign w:val="center"/>
          </w:tcPr>
          <w:p w14:paraId="16CDC992">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w:t>
            </w: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是</w:t>
            </w: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 xml:space="preserve">           □</w:t>
            </w:r>
            <w: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t>否</w:t>
            </w:r>
          </w:p>
        </w:tc>
      </w:tr>
      <w:tr w14:paraId="68CEF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8440" w:type="dxa"/>
            <w:gridSpan w:val="23"/>
            <w:tcBorders>
              <w:tl2br w:val="nil"/>
              <w:tr2bl w:val="nil"/>
            </w:tcBorders>
            <w:tcMar>
              <w:top w:w="150" w:type="dxa"/>
              <w:left w:w="0" w:type="dxa"/>
              <w:bottom w:w="150" w:type="dxa"/>
              <w:right w:w="150" w:type="dxa"/>
            </w:tcMar>
            <w:vAlign w:val="center"/>
          </w:tcPr>
          <w:p w14:paraId="7C3306E2">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三、评估结论</w:t>
            </w:r>
          </w:p>
        </w:tc>
      </w:tr>
      <w:tr w14:paraId="4396A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8440" w:type="dxa"/>
            <w:gridSpan w:val="23"/>
            <w:tcBorders>
              <w:tl2br w:val="nil"/>
              <w:tr2bl w:val="nil"/>
            </w:tcBorders>
            <w:tcMar>
              <w:top w:w="150" w:type="dxa"/>
              <w:left w:w="0" w:type="dxa"/>
              <w:bottom w:w="150" w:type="dxa"/>
              <w:right w:w="150" w:type="dxa"/>
            </w:tcMar>
            <w:vAlign w:val="center"/>
          </w:tcPr>
          <w:p w14:paraId="478164B5">
            <w:pPr>
              <w:keepNext w:val="0"/>
              <w:keepLines w:val="0"/>
              <w:pageBreakBefore w:val="0"/>
              <w:widowControl w:val="0"/>
              <w:kinsoku/>
              <w:wordWrap/>
              <w:overflowPunct/>
              <w:topLinePunct w:val="0"/>
              <w:autoSpaceDE/>
              <w:autoSpaceDN/>
              <w:bidi w:val="0"/>
              <w:adjustRightInd/>
              <w:snapToGrid w:val="0"/>
              <w:spacing w:line="240" w:lineRule="auto"/>
              <w:ind w:leftChars="0" w:firstLine="360" w:firstLineChars="200"/>
              <w:jc w:val="both"/>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eastAsia" w:cs="Times New Roman"/>
                <w:color w:val="000000" w:themeColor="text1"/>
                <w:sz w:val="18"/>
                <w:szCs w:val="18"/>
                <w:highlight w:val="none"/>
                <w:u w:val="single"/>
                <w:lang w:eastAsia="zh-CN"/>
                <w14:textFill>
                  <w14:solidFill>
                    <w14:schemeClr w14:val="tx1"/>
                  </w14:solidFill>
                </w14:textFill>
              </w:rPr>
              <w:t>　　　　　　　　　　</w:t>
            </w: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单位位于云南省</w:t>
            </w:r>
            <w:r>
              <w:rPr>
                <w:rFonts w:hint="eastAsia" w:cs="Times New Roman"/>
                <w:color w:val="000000" w:themeColor="text1"/>
                <w:sz w:val="18"/>
                <w:szCs w:val="18"/>
                <w:highlight w:val="none"/>
                <w:u w:val="single"/>
                <w:lang w:eastAsia="zh-CN"/>
                <w14:textFill>
                  <w14:solidFill>
                    <w14:schemeClr w14:val="tx1"/>
                  </w14:solidFill>
                </w14:textFill>
              </w:rPr>
              <w:t>　　　　　　　　　　</w:t>
            </w: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（州/市）</w:t>
            </w:r>
            <w:r>
              <w:rPr>
                <w:rFonts w:hint="eastAsia" w:cs="Times New Roman"/>
                <w:color w:val="000000" w:themeColor="text1"/>
                <w:sz w:val="18"/>
                <w:szCs w:val="18"/>
                <w:highlight w:val="none"/>
                <w:u w:val="single"/>
                <w:lang w:eastAsia="zh-CN"/>
                <w14:textFill>
                  <w14:solidFill>
                    <w14:schemeClr w14:val="tx1"/>
                  </w14:solidFill>
                </w14:textFill>
              </w:rPr>
              <w:t>　　　　　　　　　　</w:t>
            </w: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（县/区）</w:t>
            </w:r>
            <w:r>
              <w:rPr>
                <w:rFonts w:hint="eastAsia" w:cs="Times New Roman"/>
                <w:color w:val="000000" w:themeColor="text1"/>
                <w:sz w:val="18"/>
                <w:szCs w:val="18"/>
                <w:highlight w:val="none"/>
                <w:u w:val="single"/>
                <w:lang w:eastAsia="zh-CN"/>
                <w14:textFill>
                  <w14:solidFill>
                    <w14:schemeClr w14:val="tx1"/>
                  </w14:solidFill>
                </w14:textFill>
              </w:rPr>
              <w:t>　　　　</w:t>
            </w: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路</w:t>
            </w:r>
            <w:r>
              <w:rPr>
                <w:rFonts w:hint="eastAsia" w:cs="Times New Roman"/>
                <w:color w:val="000000" w:themeColor="text1"/>
                <w:sz w:val="18"/>
                <w:szCs w:val="18"/>
                <w:highlight w:val="none"/>
                <w:u w:val="single"/>
                <w:lang w:eastAsia="zh-CN"/>
                <w14:textFill>
                  <w14:solidFill>
                    <w14:schemeClr w14:val="tx1"/>
                  </w14:solidFill>
                </w14:textFill>
              </w:rPr>
              <w:t>　　　</w:t>
            </w: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号，属于</w:t>
            </w:r>
            <w:r>
              <w:rPr>
                <w:rFonts w:hint="eastAsia" w:cs="Times New Roman"/>
                <w:color w:val="000000" w:themeColor="text1"/>
                <w:sz w:val="18"/>
                <w:szCs w:val="18"/>
                <w:highlight w:val="none"/>
                <w:u w:val="single"/>
                <w:lang w:eastAsia="zh-CN"/>
                <w14:textFill>
                  <w14:solidFill>
                    <w14:schemeClr w14:val="tx1"/>
                  </w14:solidFill>
                </w14:textFill>
              </w:rPr>
              <w:t>　　　　　　　　　　</w:t>
            </w: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类型（人员密集场所和地下公共建筑、一类高层公共建筑）。该单位（</w:t>
            </w:r>
            <w:r>
              <w:rPr>
                <w:rFonts w:hint="eastAsia" w:cs="Times New Roman"/>
                <w:color w:val="000000" w:themeColor="text1"/>
                <w:sz w:val="18"/>
                <w:szCs w:val="18"/>
                <w:highlight w:val="none"/>
                <w:u w:val="single"/>
                <w:lang w:eastAsia="zh-CN"/>
                <w14:textFill>
                  <w14:solidFill>
                    <w14:schemeClr w14:val="tx1"/>
                  </w14:solidFill>
                </w14:textFill>
              </w:rPr>
              <w:t>　　　　　　　　　　　　　</w:t>
            </w: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建筑或场所</w:t>
            </w:r>
            <w:r>
              <w:rPr>
                <w:rFonts w:hint="eastAsia" w:cs="Times New Roman"/>
                <w:color w:val="000000" w:themeColor="text1"/>
                <w:sz w:val="18"/>
                <w:szCs w:val="18"/>
                <w:highlight w:val="none"/>
                <w:u w:val="single"/>
                <w:lang w:eastAsia="zh-CN"/>
                <w14:textFill>
                  <w14:solidFill>
                    <w14:schemeClr w14:val="tx1"/>
                  </w14:solidFill>
                </w14:textFill>
              </w:rPr>
              <w:t>　　　</w:t>
            </w: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层）于</w:t>
            </w:r>
            <w:r>
              <w:rPr>
                <w:rFonts w:hint="eastAsia" w:cs="Times New Roman"/>
                <w:color w:val="000000" w:themeColor="text1"/>
                <w:sz w:val="18"/>
                <w:szCs w:val="18"/>
                <w:highlight w:val="none"/>
                <w:u w:val="single"/>
                <w:lang w:eastAsia="zh-CN"/>
                <w14:textFill>
                  <w14:solidFill>
                    <w14:schemeClr w14:val="tx1"/>
                  </w14:solidFill>
                </w14:textFill>
              </w:rPr>
              <w:t>　　　</w:t>
            </w: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年</w:t>
            </w:r>
            <w:r>
              <w:rPr>
                <w:rFonts w:hint="eastAsia" w:cs="Times New Roman"/>
                <w:color w:val="000000" w:themeColor="text1"/>
                <w:sz w:val="18"/>
                <w:szCs w:val="18"/>
                <w:highlight w:val="none"/>
                <w:u w:val="single"/>
                <w:lang w:eastAsia="zh-CN"/>
                <w14:textFill>
                  <w14:solidFill>
                    <w14:schemeClr w14:val="tx1"/>
                  </w14:solidFill>
                </w14:textFill>
              </w:rPr>
              <w:t>　　　</w:t>
            </w: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月消防设计审核合格，</w:t>
            </w:r>
            <w:r>
              <w:rPr>
                <w:rFonts w:hint="eastAsia" w:cs="Times New Roman"/>
                <w:color w:val="000000" w:themeColor="text1"/>
                <w:sz w:val="18"/>
                <w:szCs w:val="18"/>
                <w:highlight w:val="none"/>
                <w:u w:val="single"/>
                <w:lang w:eastAsia="zh-CN"/>
                <w14:textFill>
                  <w14:solidFill>
                    <w14:schemeClr w14:val="tx1"/>
                  </w14:solidFill>
                </w14:textFill>
              </w:rPr>
              <w:t>　　　</w:t>
            </w: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年</w:t>
            </w:r>
            <w:r>
              <w:rPr>
                <w:rFonts w:hint="eastAsia" w:cs="Times New Roman"/>
                <w:color w:val="000000" w:themeColor="text1"/>
                <w:sz w:val="18"/>
                <w:szCs w:val="18"/>
                <w:highlight w:val="none"/>
                <w:u w:val="single"/>
                <w:lang w:eastAsia="zh-CN"/>
                <w14:textFill>
                  <w14:solidFill>
                    <w14:schemeClr w14:val="tx1"/>
                  </w14:solidFill>
                </w14:textFill>
              </w:rPr>
              <w:t>　　　</w:t>
            </w: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月通过消防验收。建筑主要功能为</w:t>
            </w:r>
            <w:r>
              <w:rPr>
                <w:rFonts w:hint="eastAsia" w:cs="Times New Roman"/>
                <w:color w:val="000000" w:themeColor="text1"/>
                <w:sz w:val="18"/>
                <w:szCs w:val="18"/>
                <w:highlight w:val="none"/>
                <w:u w:val="single"/>
                <w:lang w:eastAsia="zh-CN"/>
                <w14:textFill>
                  <w14:solidFill>
                    <w14:schemeClr w14:val="tx1"/>
                  </w14:solidFill>
                </w14:textFill>
              </w:rPr>
              <w:t>　　　</w:t>
            </w: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，建筑类别为</w:t>
            </w:r>
            <w:r>
              <w:rPr>
                <w:rFonts w:hint="eastAsia" w:cs="Times New Roman"/>
                <w:color w:val="000000" w:themeColor="text1"/>
                <w:sz w:val="18"/>
                <w:szCs w:val="18"/>
                <w:highlight w:val="none"/>
                <w:u w:val="single"/>
                <w:lang w:eastAsia="zh-CN"/>
                <w14:textFill>
                  <w14:solidFill>
                    <w14:schemeClr w14:val="tx1"/>
                  </w14:solidFill>
                </w14:textFill>
              </w:rPr>
              <w:t>　　　</w:t>
            </w: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，耐火等级为</w:t>
            </w:r>
            <w:r>
              <w:rPr>
                <w:rFonts w:hint="eastAsia" w:cs="Times New Roman"/>
                <w:color w:val="000000" w:themeColor="text1"/>
                <w:sz w:val="18"/>
                <w:szCs w:val="18"/>
                <w:highlight w:val="none"/>
                <w:u w:val="single"/>
                <w:lang w:eastAsia="zh-CN"/>
                <w14:textFill>
                  <w14:solidFill>
                    <w14:schemeClr w14:val="tx1"/>
                  </w14:solidFill>
                </w14:textFill>
              </w:rPr>
              <w:t>　　　</w:t>
            </w: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，火灾危险性分类为</w:t>
            </w:r>
            <w:r>
              <w:rPr>
                <w:rFonts w:hint="eastAsia" w:cs="Times New Roman"/>
                <w:color w:val="000000" w:themeColor="text1"/>
                <w:sz w:val="18"/>
                <w:szCs w:val="18"/>
                <w:highlight w:val="none"/>
                <w:u w:val="single"/>
                <w:lang w:eastAsia="zh-CN"/>
                <w14:textFill>
                  <w14:solidFill>
                    <w14:schemeClr w14:val="tx1"/>
                  </w14:solidFill>
                </w14:textFill>
              </w:rPr>
              <w:t>　　　</w:t>
            </w: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，总建筑面积</w:t>
            </w:r>
            <w:r>
              <w:rPr>
                <w:rFonts w:hint="eastAsia" w:cs="Times New Roman"/>
                <w:color w:val="000000" w:themeColor="text1"/>
                <w:sz w:val="18"/>
                <w:szCs w:val="18"/>
                <w:highlight w:val="none"/>
                <w:u w:val="single"/>
                <w:lang w:eastAsia="zh-CN"/>
                <w14:textFill>
                  <w14:solidFill>
                    <w14:schemeClr w14:val="tx1"/>
                  </w14:solidFill>
                </w14:textFill>
              </w:rPr>
              <w:t>　　　</w:t>
            </w: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平方米，地上</w:t>
            </w:r>
            <w:r>
              <w:rPr>
                <w:rFonts w:hint="eastAsia" w:cs="Times New Roman"/>
                <w:color w:val="000000" w:themeColor="text1"/>
                <w:sz w:val="18"/>
                <w:szCs w:val="18"/>
                <w:highlight w:val="none"/>
                <w:u w:val="single"/>
                <w:lang w:eastAsia="zh-CN"/>
                <w14:textFill>
                  <w14:solidFill>
                    <w14:schemeClr w14:val="tx1"/>
                  </w14:solidFill>
                </w14:textFill>
              </w:rPr>
              <w:t>　　　</w:t>
            </w: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层，地下</w:t>
            </w:r>
            <w:r>
              <w:rPr>
                <w:rFonts w:hint="eastAsia" w:cs="Times New Roman"/>
                <w:color w:val="000000" w:themeColor="text1"/>
                <w:sz w:val="18"/>
                <w:szCs w:val="18"/>
                <w:highlight w:val="none"/>
                <w:u w:val="single"/>
                <w:lang w:eastAsia="zh-CN"/>
                <w14:textFill>
                  <w14:solidFill>
                    <w14:schemeClr w14:val="tx1"/>
                  </w14:solidFill>
                </w14:textFill>
              </w:rPr>
              <w:t>　　　</w:t>
            </w: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层，建筑高度</w:t>
            </w:r>
            <w:r>
              <w:rPr>
                <w:rFonts w:hint="eastAsia" w:cs="Times New Roman"/>
                <w:color w:val="000000" w:themeColor="text1"/>
                <w:sz w:val="18"/>
                <w:szCs w:val="18"/>
                <w:highlight w:val="none"/>
                <w:u w:val="single"/>
                <w:lang w:eastAsia="zh-CN"/>
                <w14:textFill>
                  <w14:solidFill>
                    <w14:schemeClr w14:val="tx1"/>
                  </w14:solidFill>
                </w14:textFill>
              </w:rPr>
              <w:t>　　　</w:t>
            </w: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米；建筑X层，建筑面积</w:t>
            </w:r>
            <w:r>
              <w:rPr>
                <w:rFonts w:hint="eastAsia" w:cs="Times New Roman"/>
                <w:color w:val="000000" w:themeColor="text1"/>
                <w:sz w:val="18"/>
                <w:szCs w:val="18"/>
                <w:highlight w:val="none"/>
                <w:u w:val="single"/>
                <w:lang w:eastAsia="zh-CN"/>
                <w14:textFill>
                  <w14:solidFill>
                    <w14:schemeClr w14:val="tx1"/>
                  </w14:solidFill>
                </w14:textFill>
              </w:rPr>
              <w:t>　　　</w:t>
            </w: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平方米，建筑功能为</w:t>
            </w:r>
            <w:r>
              <w:rPr>
                <w:rFonts w:hint="eastAsia" w:cs="Times New Roman"/>
                <w:color w:val="000000" w:themeColor="text1"/>
                <w:sz w:val="18"/>
                <w:szCs w:val="18"/>
                <w:highlight w:val="none"/>
                <w:u w:val="single"/>
                <w:lang w:eastAsia="zh-CN"/>
                <w14:textFill>
                  <w14:solidFill>
                    <w14:schemeClr w14:val="tx1"/>
                  </w14:solidFill>
                </w14:textFill>
              </w:rPr>
              <w:t>　　　</w:t>
            </w: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。建筑竣工日期为</w:t>
            </w:r>
            <w:r>
              <w:rPr>
                <w:rFonts w:hint="eastAsia" w:cs="Times New Roman"/>
                <w:color w:val="000000" w:themeColor="text1"/>
                <w:sz w:val="18"/>
                <w:szCs w:val="18"/>
                <w:highlight w:val="none"/>
                <w:u w:val="single"/>
                <w:lang w:eastAsia="zh-CN"/>
                <w14:textFill>
                  <w14:solidFill>
                    <w14:schemeClr w14:val="tx1"/>
                  </w14:solidFill>
                </w14:textFill>
              </w:rPr>
              <w:t>　　　</w:t>
            </w: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，竣工图纸提供情况</w:t>
            </w:r>
            <w:r>
              <w:rPr>
                <w:rFonts w:hint="eastAsia" w:cs="Times New Roman"/>
                <w:color w:val="000000" w:themeColor="text1"/>
                <w:sz w:val="18"/>
                <w:szCs w:val="18"/>
                <w:highlight w:val="none"/>
                <w:u w:val="single"/>
                <w:lang w:eastAsia="zh-CN"/>
                <w14:textFill>
                  <w14:solidFill>
                    <w14:schemeClr w14:val="tx1"/>
                  </w14:solidFill>
                </w14:textFill>
              </w:rPr>
              <w:t>　　　</w:t>
            </w: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，依法取得消防行政审批手续情况</w:t>
            </w:r>
            <w:r>
              <w:rPr>
                <w:rFonts w:hint="eastAsia" w:cs="Times New Roman"/>
                <w:color w:val="000000" w:themeColor="text1"/>
                <w:sz w:val="18"/>
                <w:szCs w:val="18"/>
                <w:highlight w:val="none"/>
                <w:u w:val="single"/>
                <w:lang w:eastAsia="zh-CN"/>
                <w14:textFill>
                  <w14:solidFill>
                    <w14:schemeClr w14:val="tx1"/>
                  </w14:solidFill>
                </w14:textFill>
              </w:rPr>
              <w:t>　　　　　　　　　　　　　</w:t>
            </w: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，原设计单位为</w:t>
            </w:r>
            <w:r>
              <w:rPr>
                <w:rFonts w:hint="eastAsia" w:cs="Times New Roman"/>
                <w:color w:val="000000" w:themeColor="text1"/>
                <w:sz w:val="18"/>
                <w:szCs w:val="18"/>
                <w:highlight w:val="none"/>
                <w:u w:val="single"/>
                <w:lang w:eastAsia="zh-CN"/>
                <w14:textFill>
                  <w14:solidFill>
                    <w14:schemeClr w14:val="tx1"/>
                  </w14:solidFill>
                </w14:textFill>
              </w:rPr>
              <w:t>　　　　　　　　　</w:t>
            </w: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，原施工单位为</w:t>
            </w:r>
            <w:r>
              <w:rPr>
                <w:rFonts w:hint="eastAsia" w:cs="Times New Roman"/>
                <w:color w:val="000000" w:themeColor="text1"/>
                <w:sz w:val="18"/>
                <w:szCs w:val="18"/>
                <w:highlight w:val="none"/>
                <w:u w:val="single"/>
                <w:lang w:eastAsia="zh-CN"/>
                <w14:textFill>
                  <w14:solidFill>
                    <w14:schemeClr w14:val="tx1"/>
                  </w14:solidFill>
                </w14:textFill>
              </w:rPr>
              <w:t>　　　　　　　　</w:t>
            </w: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主要消防设施有消防安全疏散设施、火灾应急照明系统、火灾自动报警系统、消火栓系统、自动喷水灭火系统、气体灭火系统、干粉灭火系统、机械加压送风系统、机械排烟系统、防火分隔系统、灭火器等。（根据实际情况描述）</w:t>
            </w:r>
          </w:p>
          <w:p w14:paraId="1F2AE34B">
            <w:pPr>
              <w:keepNext w:val="0"/>
              <w:keepLines w:val="0"/>
              <w:pageBreakBefore w:val="0"/>
              <w:widowControl w:val="0"/>
              <w:kinsoku/>
              <w:wordWrap/>
              <w:overflowPunct/>
              <w:topLinePunct w:val="0"/>
              <w:autoSpaceDE/>
              <w:autoSpaceDN/>
              <w:bidi w:val="0"/>
              <w:adjustRightInd/>
              <w:snapToGrid w:val="0"/>
              <w:spacing w:line="240" w:lineRule="auto"/>
              <w:ind w:leftChars="0" w:firstLine="360" w:firstLineChars="200"/>
              <w:jc w:val="both"/>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t>根据消防安全评估的要求和程序，结合消防标准和《云南省既有建筑改造消防技术标准》，对消防评估内容进行分析，通过改造前情况（是否符合标准）和改造后需执行的标准进行对照，针对改造的难度提出改造后拟采取的消防技术措施，该建筑改造评估报告提出的解决对策、措施和建议可以满足消防安全的技术要求。</w:t>
            </w:r>
          </w:p>
          <w:p w14:paraId="04100EC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both"/>
              <w:textAlignment w:val="auto"/>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p>
          <w:p w14:paraId="68DC284C">
            <w:pPr>
              <w:keepNext w:val="0"/>
              <w:keepLines w:val="0"/>
              <w:pageBreakBefore w:val="0"/>
              <w:widowControl w:val="0"/>
              <w:kinsoku/>
              <w:wordWrap/>
              <w:overflowPunct/>
              <w:topLinePunct w:val="0"/>
              <w:autoSpaceDE/>
              <w:autoSpaceDN/>
              <w:bidi w:val="0"/>
              <w:adjustRightInd/>
              <w:snapToGrid w:val="0"/>
              <w:spacing w:line="240" w:lineRule="auto"/>
              <w:ind w:leftChars="2200" w:firstLine="0" w:firstLineChars="0"/>
              <w:jc w:val="both"/>
              <w:textAlignment w:val="auto"/>
              <w:rPr>
                <w:rFonts w:hint="eastAsia" w:ascii="Times New Roman" w:hAnsi="Times New Roman" w:eastAsia="宋体" w:cs="Times New Roman"/>
                <w:color w:val="000000" w:themeColor="text1"/>
                <w:sz w:val="18"/>
                <w:szCs w:val="18"/>
                <w:highlight w:val="none"/>
                <w14:textFill>
                  <w14:solidFill>
                    <w14:schemeClr w14:val="tx1"/>
                  </w14:solidFill>
                </w14:textFill>
              </w:rPr>
            </w:pPr>
            <w:r>
              <w:rPr>
                <w:rFonts w:hint="eastAsia" w:ascii="Times New Roman" w:hAnsi="Times New Roman" w:eastAsia="宋体" w:cs="Times New Roman"/>
                <w:color w:val="000000" w:themeColor="text1"/>
                <w:sz w:val="18"/>
                <w:szCs w:val="18"/>
                <w:highlight w:val="none"/>
                <w14:textFill>
                  <w14:solidFill>
                    <w14:schemeClr w14:val="tx1"/>
                  </w14:solidFill>
                </w14:textFill>
              </w:rPr>
              <w:t>评估负责人：</w:t>
            </w:r>
            <w:r>
              <w:rPr>
                <w:rFonts w:hint="eastAsia" w:ascii="Times New Roman" w:hAnsi="Times New Roman" w:eastAsia="宋体" w:cs="Times New Roman"/>
                <w:color w:val="000000" w:themeColor="text1"/>
                <w:sz w:val="18"/>
                <w:szCs w:val="18"/>
                <w:highlight w:val="none"/>
                <w:u w:val="single"/>
                <w:lang w:val="en-US" w:eastAsia="zh-CN"/>
                <w14:textFill>
                  <w14:solidFill>
                    <w14:schemeClr w14:val="tx1"/>
                  </w14:solidFill>
                </w14:textFill>
              </w:rPr>
              <w:t xml:space="preserve">                    </w:t>
            </w:r>
          </w:p>
          <w:p w14:paraId="1BDBD84B">
            <w:pPr>
              <w:keepNext w:val="0"/>
              <w:keepLines w:val="0"/>
              <w:pageBreakBefore w:val="0"/>
              <w:widowControl w:val="0"/>
              <w:kinsoku/>
              <w:wordWrap/>
              <w:overflowPunct/>
              <w:topLinePunct w:val="0"/>
              <w:autoSpaceDE/>
              <w:autoSpaceDN/>
              <w:bidi w:val="0"/>
              <w:adjustRightInd/>
              <w:snapToGrid w:val="0"/>
              <w:spacing w:line="240" w:lineRule="auto"/>
              <w:ind w:leftChars="2200" w:firstLine="0" w:firstLineChars="0"/>
              <w:jc w:val="both"/>
              <w:textAlignment w:val="auto"/>
              <w:rPr>
                <w:rFonts w:hint="default" w:ascii="Times New Roman" w:hAnsi="Times New Roman" w:eastAsia="宋体" w:cs="Times New Roman"/>
                <w:color w:val="000000" w:themeColor="text1"/>
                <w:sz w:val="18"/>
                <w:szCs w:val="18"/>
                <w:highlight w:val="none"/>
                <w:u w:val="no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highlight w:val="none"/>
                <w14:textFill>
                  <w14:solidFill>
                    <w14:schemeClr w14:val="tx1"/>
                  </w14:solidFill>
                </w14:textFill>
              </w:rPr>
              <w:t>评估单位：</w:t>
            </w:r>
            <w:r>
              <w:rPr>
                <w:rFonts w:hint="eastAsia" w:ascii="Times New Roman" w:hAnsi="Times New Roman" w:eastAsia="宋体" w:cs="Times New Roman"/>
                <w:color w:val="000000" w:themeColor="text1"/>
                <w:sz w:val="18"/>
                <w:szCs w:val="18"/>
                <w:highlight w:val="none"/>
                <w:u w:val="single"/>
                <w:lang w:val="en-US" w:eastAsia="zh-CN"/>
                <w14:textFill>
                  <w14:solidFill>
                    <w14:schemeClr w14:val="tx1"/>
                  </w14:solidFill>
                </w14:textFill>
              </w:rPr>
              <w:t xml:space="preserve">                      </w:t>
            </w:r>
          </w:p>
          <w:p w14:paraId="3FDEDB76">
            <w:pPr>
              <w:keepNext w:val="0"/>
              <w:keepLines w:val="0"/>
              <w:pageBreakBefore w:val="0"/>
              <w:widowControl w:val="0"/>
              <w:kinsoku/>
              <w:wordWrap/>
              <w:overflowPunct/>
              <w:topLinePunct w:val="0"/>
              <w:autoSpaceDE/>
              <w:autoSpaceDN/>
              <w:bidi w:val="0"/>
              <w:adjustRightInd/>
              <w:snapToGrid w:val="0"/>
              <w:spacing w:line="240" w:lineRule="auto"/>
              <w:ind w:leftChars="2600" w:firstLine="0" w:firstLineChars="0"/>
              <w:jc w:val="both"/>
              <w:textAlignment w:val="auto"/>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eastAsia" w:ascii="Times New Roman" w:hAnsi="Times New Roman" w:eastAsia="宋体" w:cs="Times New Roman"/>
                <w:color w:val="000000" w:themeColor="text1"/>
                <w:sz w:val="18"/>
                <w:szCs w:val="18"/>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18"/>
                <w:szCs w:val="18"/>
                <w:highlight w:val="none"/>
                <w14:textFill>
                  <w14:solidFill>
                    <w14:schemeClr w14:val="tx1"/>
                  </w14:solidFill>
                </w14:textFill>
              </w:rPr>
              <w:t>年</w:t>
            </w:r>
            <w:r>
              <w:rPr>
                <w:rFonts w:hint="eastAsia" w:ascii="Times New Roman" w:hAnsi="Times New Roman" w:eastAsia="宋体" w:cs="Times New Roman"/>
                <w:color w:val="000000" w:themeColor="text1"/>
                <w:sz w:val="18"/>
                <w:szCs w:val="18"/>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18"/>
                <w:szCs w:val="18"/>
                <w:highlight w:val="none"/>
                <w14:textFill>
                  <w14:solidFill>
                    <w14:schemeClr w14:val="tx1"/>
                  </w14:solidFill>
                </w14:textFill>
              </w:rPr>
              <w:t>月</w:t>
            </w:r>
            <w:r>
              <w:rPr>
                <w:rFonts w:hint="eastAsia" w:ascii="Times New Roman" w:hAnsi="Times New Roman" w:eastAsia="宋体" w:cs="Times New Roman"/>
                <w:color w:val="000000" w:themeColor="text1"/>
                <w:sz w:val="18"/>
                <w:szCs w:val="18"/>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18"/>
                <w:szCs w:val="18"/>
                <w:highlight w:val="none"/>
                <w14:textFill>
                  <w14:solidFill>
                    <w14:schemeClr w14:val="tx1"/>
                  </w14:solidFill>
                </w14:textFill>
              </w:rPr>
              <w:t>日</w:t>
            </w:r>
          </w:p>
        </w:tc>
      </w:tr>
    </w:tbl>
    <w:p w14:paraId="6A8E5613">
      <w:pPr>
        <w:bidi w:val="0"/>
        <w:rPr>
          <w:rFonts w:hint="eastAsia"/>
          <w:lang w:eastAsia="zh-CN"/>
        </w:rPr>
      </w:pPr>
      <w:r>
        <w:rPr>
          <w:rFonts w:hint="eastAsia"/>
          <w:lang w:eastAsia="zh-CN"/>
        </w:rPr>
        <w:t>填表说明：</w:t>
      </w:r>
    </w:p>
    <w:p w14:paraId="3769E1C4">
      <w:pPr>
        <w:bidi w:val="0"/>
        <w:rPr>
          <w:rFonts w:hint="eastAsia"/>
          <w:lang w:eastAsia="zh-CN"/>
        </w:rPr>
      </w:pPr>
      <w:r>
        <w:rPr>
          <w:rFonts w:hint="eastAsia"/>
          <w:lang w:val="en-US" w:eastAsia="zh-CN"/>
        </w:rPr>
        <w:t>1</w:t>
      </w:r>
      <w:r>
        <w:rPr>
          <w:rFonts w:hint="eastAsia"/>
          <w:lang w:eastAsia="zh-CN"/>
        </w:rPr>
        <w:t xml:space="preserve">. </w:t>
      </w:r>
      <w:r>
        <w:rPr>
          <w:lang w:eastAsia="zh-CN"/>
        </w:rPr>
        <w:t>此评估内容的表格形式及其中的评估内容和标准要求仅供参考，评估单位应根据评估对象的具体情况，自行增加评估内容，确保评估的内容全面，没有遗漏。</w:t>
      </w:r>
    </w:p>
    <w:p w14:paraId="7C176664">
      <w:pPr>
        <w:bidi w:val="0"/>
        <w:rPr>
          <w:rFonts w:hint="eastAsia"/>
          <w:lang w:eastAsia="zh-CN"/>
        </w:rPr>
      </w:pPr>
      <w:r>
        <w:rPr>
          <w:rFonts w:hint="eastAsia"/>
          <w:lang w:eastAsia="zh-CN"/>
        </w:rPr>
        <w:t xml:space="preserve">2. </w:t>
      </w:r>
      <w:r>
        <w:rPr>
          <w:lang w:eastAsia="zh-CN"/>
        </w:rPr>
        <w:t>评估人应当如实填写，内容准确、完整、涂改无效，表格材料均使用A4型纸打印或复印。</w:t>
      </w:r>
    </w:p>
    <w:p w14:paraId="719B196D">
      <w:pPr>
        <w:bidi w:val="0"/>
        <w:rPr>
          <w:rFonts w:hint="eastAsia"/>
          <w:lang w:eastAsia="zh-CN"/>
        </w:rPr>
      </w:pPr>
      <w:r>
        <w:rPr>
          <w:rFonts w:hint="eastAsia"/>
          <w:lang w:eastAsia="zh-CN"/>
        </w:rPr>
        <w:t xml:space="preserve">3. </w:t>
      </w:r>
      <w:r>
        <w:rPr>
          <w:lang w:eastAsia="zh-CN"/>
        </w:rPr>
        <w:t>评估表应由评估单位加盖印章，没有单位印章的，必须由改造实施单位的法定代表人或主要负责人签名。</w:t>
      </w:r>
    </w:p>
    <w:p w14:paraId="2FA19039">
      <w:pPr>
        <w:bidi w:val="0"/>
        <w:rPr>
          <w:rFonts w:hint="eastAsia"/>
          <w:lang w:eastAsia="zh-CN"/>
        </w:rPr>
      </w:pPr>
      <w:r>
        <w:rPr>
          <w:rFonts w:hint="eastAsia"/>
          <w:lang w:val="en-US" w:eastAsia="zh-CN"/>
        </w:rPr>
        <w:t xml:space="preserve">4. </w:t>
      </w:r>
      <w:r>
        <w:rPr>
          <w:lang w:eastAsia="zh-CN"/>
        </w:rPr>
        <w:t>文书中的</w:t>
      </w:r>
      <w:r>
        <w:rPr>
          <w:rFonts w:hint="eastAsia"/>
          <w:lang w:eastAsia="zh-CN"/>
        </w:rPr>
        <w:t>“</w:t>
      </w:r>
      <w:r>
        <w:rPr>
          <w:lang w:eastAsia="zh-CN"/>
        </w:rPr>
        <w:t>□</w:t>
      </w:r>
      <w:r>
        <w:rPr>
          <w:rFonts w:hint="eastAsia"/>
          <w:lang w:eastAsia="zh-CN"/>
        </w:rPr>
        <w:t>”</w:t>
      </w:r>
      <w:r>
        <w:rPr>
          <w:lang w:eastAsia="zh-CN"/>
        </w:rPr>
        <w:t>，表示有多个内容可供选择，在选中内容前的</w:t>
      </w:r>
      <w:r>
        <w:rPr>
          <w:rFonts w:hint="eastAsia"/>
          <w:lang w:eastAsia="zh-CN"/>
        </w:rPr>
        <w:t>“</w:t>
      </w:r>
      <w:r>
        <w:rPr>
          <w:lang w:eastAsia="zh-CN"/>
        </w:rPr>
        <w:t>□</w:t>
      </w:r>
      <w:r>
        <w:rPr>
          <w:rFonts w:hint="eastAsia"/>
          <w:lang w:eastAsia="zh-CN"/>
        </w:rPr>
        <w:t>”</w:t>
      </w:r>
      <w:r>
        <w:rPr>
          <w:lang w:eastAsia="zh-CN"/>
        </w:rPr>
        <w:t>内画√。</w:t>
      </w:r>
    </w:p>
    <w:p w14:paraId="1D4046BE">
      <w:pPr>
        <w:bidi w:val="0"/>
        <w:rPr>
          <w:rFonts w:hint="eastAsia"/>
          <w:lang w:eastAsia="zh-CN"/>
        </w:rPr>
      </w:pPr>
      <w:r>
        <w:rPr>
          <w:rFonts w:hint="eastAsia"/>
          <w:lang w:val="en-US" w:eastAsia="zh-CN"/>
        </w:rPr>
        <w:t xml:space="preserve">5. </w:t>
      </w:r>
      <w:r>
        <w:rPr>
          <w:rFonts w:hint="eastAsia"/>
          <w:lang w:eastAsia="zh-CN"/>
        </w:rPr>
        <w:t>“</w:t>
      </w:r>
      <w:r>
        <w:rPr>
          <w:lang w:eastAsia="zh-CN"/>
        </w:rPr>
        <w:t>工程概况</w:t>
      </w:r>
      <w:r>
        <w:rPr>
          <w:rFonts w:hint="eastAsia"/>
          <w:lang w:eastAsia="zh-CN"/>
        </w:rPr>
        <w:t>”</w:t>
      </w:r>
      <w:r>
        <w:rPr>
          <w:lang w:eastAsia="zh-CN"/>
        </w:rPr>
        <w:t>填写多栋建筑的，需要分开逐一填写。</w:t>
      </w:r>
    </w:p>
    <w:p w14:paraId="5D9B23A9">
      <w:pPr>
        <w:bidi w:val="0"/>
      </w:pPr>
      <w:r>
        <w:rPr>
          <w:rFonts w:hint="eastAsia"/>
          <w:lang w:val="en-US" w:eastAsia="zh-CN"/>
        </w:rPr>
        <w:t xml:space="preserve">6. </w:t>
      </w:r>
      <w:r>
        <w:rPr>
          <w:lang w:eastAsia="zh-CN"/>
        </w:rPr>
        <w:t>表格设定的栏目，应逐项填写，无法提供的或无法填写的，应在栏内说明情况。</w:t>
      </w:r>
      <w:bookmarkEnd w:id="121"/>
    </w:p>
    <w:p w14:paraId="3CB69E8C">
      <w:pPr>
        <w:rPr>
          <w:rFonts w:cs="Times New Roman"/>
          <w:color w:val="000000" w:themeColor="text1"/>
          <w:highlight w:val="none"/>
          <w14:textFill>
            <w14:solidFill>
              <w14:schemeClr w14:val="tx1"/>
            </w14:solidFill>
          </w14:textFill>
        </w:rPr>
      </w:pPr>
      <w:bookmarkStart w:id="127" w:name="_Toc109117985"/>
      <w:r>
        <w:rPr>
          <w:rFonts w:cs="Times New Roman"/>
          <w:color w:val="000000" w:themeColor="text1"/>
          <w:highlight w:val="none"/>
          <w14:textFill>
            <w14:solidFill>
              <w14:schemeClr w14:val="tx1"/>
            </w14:solidFill>
          </w14:textFill>
        </w:rPr>
        <w:br w:type="page"/>
      </w:r>
    </w:p>
    <w:p w14:paraId="770D74B5">
      <w:pPr>
        <w:pStyle w:val="2"/>
        <w:numPr>
          <w:ilvl w:val="0"/>
          <w:numId w:val="0"/>
        </w:numPr>
        <w:spacing w:before="156" w:after="156"/>
        <w:rPr>
          <w:rFonts w:cs="Times New Roman"/>
          <w:color w:val="000000" w:themeColor="text1"/>
          <w:highlight w:val="none"/>
          <w14:textFill>
            <w14:solidFill>
              <w14:schemeClr w14:val="tx1"/>
            </w14:solidFill>
          </w14:textFill>
        </w:rPr>
      </w:pPr>
      <w:bookmarkStart w:id="128" w:name="_Toc15790"/>
      <w:r>
        <w:rPr>
          <w:rFonts w:cs="Times New Roman"/>
          <w:color w:val="000000" w:themeColor="text1"/>
          <w:highlight w:val="none"/>
          <w14:textFill>
            <w14:solidFill>
              <w14:schemeClr w14:val="tx1"/>
            </w14:solidFill>
          </w14:textFill>
        </w:rPr>
        <w:t>本标准用词说明</w:t>
      </w:r>
      <w:bookmarkEnd w:id="127"/>
      <w:bookmarkEnd w:id="128"/>
      <w:r>
        <w:rPr>
          <w:rFonts w:cs="Times New Roman"/>
          <w:color w:val="000000" w:themeColor="text1"/>
          <w:highlight w:val="none"/>
          <w14:textFill>
            <w14:solidFill>
              <w14:schemeClr w14:val="tx1"/>
            </w14:solidFill>
          </w14:textFill>
        </w:rPr>
        <w:t xml:space="preserve"> </w:t>
      </w:r>
    </w:p>
    <w:p w14:paraId="4C77CC2A">
      <w:pPr>
        <w:bidi w:val="0"/>
        <w:rPr>
          <w:color w:val="17375E" w:themeColor="text2" w:themeShade="BF"/>
        </w:rPr>
      </w:pPr>
      <w:r>
        <w:rPr>
          <w:color w:val="17375E" w:themeColor="text2" w:themeShade="BF"/>
        </w:rPr>
        <w:t>1 为便于在执行本规程条文时区别对待，对要求严格程度不同的用词说明如下：</w:t>
      </w:r>
    </w:p>
    <w:p w14:paraId="092315CE">
      <w:pPr>
        <w:bidi w:val="0"/>
        <w:rPr>
          <w:color w:val="17375E" w:themeColor="text2" w:themeShade="BF"/>
        </w:rPr>
      </w:pPr>
      <w:r>
        <w:rPr>
          <w:color w:val="17375E" w:themeColor="text2" w:themeShade="BF"/>
        </w:rPr>
        <w:t>1）表示很严格，非这样做不可的：</w:t>
      </w:r>
    </w:p>
    <w:p w14:paraId="6542BE00">
      <w:pPr>
        <w:bidi w:val="0"/>
        <w:rPr>
          <w:color w:val="17375E" w:themeColor="text2" w:themeShade="BF"/>
        </w:rPr>
      </w:pPr>
      <w:r>
        <w:rPr>
          <w:color w:val="17375E" w:themeColor="text2" w:themeShade="BF"/>
        </w:rPr>
        <w:t>正面词采用</w:t>
      </w:r>
      <w:r>
        <w:rPr>
          <w:rFonts w:hint="eastAsia"/>
          <w:color w:val="17375E" w:themeColor="text2" w:themeShade="BF"/>
          <w:lang w:eastAsia="zh-CN"/>
        </w:rPr>
        <w:t>“</w:t>
      </w:r>
      <w:r>
        <w:rPr>
          <w:color w:val="17375E" w:themeColor="text2" w:themeShade="BF"/>
        </w:rPr>
        <w:t>必须</w:t>
      </w:r>
      <w:r>
        <w:rPr>
          <w:rFonts w:hint="eastAsia"/>
          <w:color w:val="17375E" w:themeColor="text2" w:themeShade="BF"/>
          <w:lang w:eastAsia="zh-CN"/>
        </w:rPr>
        <w:t>”</w:t>
      </w:r>
      <w:r>
        <w:rPr>
          <w:color w:val="17375E" w:themeColor="text2" w:themeShade="BF"/>
        </w:rPr>
        <w:t>，反面词采用</w:t>
      </w:r>
      <w:r>
        <w:rPr>
          <w:rFonts w:hint="eastAsia"/>
          <w:color w:val="17375E" w:themeColor="text2" w:themeShade="BF"/>
          <w:lang w:eastAsia="zh-CN"/>
        </w:rPr>
        <w:t>“</w:t>
      </w:r>
      <w:r>
        <w:rPr>
          <w:color w:val="17375E" w:themeColor="text2" w:themeShade="BF"/>
        </w:rPr>
        <w:t>严禁</w:t>
      </w:r>
      <w:r>
        <w:rPr>
          <w:rFonts w:hint="eastAsia"/>
          <w:color w:val="17375E" w:themeColor="text2" w:themeShade="BF"/>
          <w:lang w:eastAsia="zh-CN"/>
        </w:rPr>
        <w:t>”</w:t>
      </w:r>
      <w:r>
        <w:rPr>
          <w:color w:val="17375E" w:themeColor="text2" w:themeShade="BF"/>
        </w:rPr>
        <w:t>。</w:t>
      </w:r>
    </w:p>
    <w:p w14:paraId="475A56BC">
      <w:pPr>
        <w:bidi w:val="0"/>
        <w:rPr>
          <w:color w:val="17375E" w:themeColor="text2" w:themeShade="BF"/>
        </w:rPr>
      </w:pPr>
      <w:r>
        <w:rPr>
          <w:color w:val="17375E" w:themeColor="text2" w:themeShade="BF"/>
        </w:rPr>
        <w:t>2）表示严格，在正常情况下均应这样做的：</w:t>
      </w:r>
    </w:p>
    <w:p w14:paraId="3CC0F6DF">
      <w:pPr>
        <w:bidi w:val="0"/>
        <w:rPr>
          <w:color w:val="17375E" w:themeColor="text2" w:themeShade="BF"/>
        </w:rPr>
      </w:pPr>
      <w:r>
        <w:rPr>
          <w:color w:val="17375E" w:themeColor="text2" w:themeShade="BF"/>
        </w:rPr>
        <w:t>正面词采用</w:t>
      </w:r>
      <w:r>
        <w:rPr>
          <w:rFonts w:hint="eastAsia"/>
          <w:color w:val="17375E" w:themeColor="text2" w:themeShade="BF"/>
          <w:lang w:eastAsia="zh-CN"/>
        </w:rPr>
        <w:t>“</w:t>
      </w:r>
      <w:r>
        <w:rPr>
          <w:color w:val="17375E" w:themeColor="text2" w:themeShade="BF"/>
        </w:rPr>
        <w:t>应</w:t>
      </w:r>
      <w:r>
        <w:rPr>
          <w:rFonts w:hint="eastAsia"/>
          <w:color w:val="17375E" w:themeColor="text2" w:themeShade="BF"/>
          <w:lang w:eastAsia="zh-CN"/>
        </w:rPr>
        <w:t>”</w:t>
      </w:r>
      <w:r>
        <w:rPr>
          <w:color w:val="17375E" w:themeColor="text2" w:themeShade="BF"/>
        </w:rPr>
        <w:t>，反面词采用</w:t>
      </w:r>
      <w:r>
        <w:rPr>
          <w:rFonts w:hint="eastAsia"/>
          <w:color w:val="17375E" w:themeColor="text2" w:themeShade="BF"/>
          <w:lang w:eastAsia="zh-CN"/>
        </w:rPr>
        <w:t>“</w:t>
      </w:r>
      <w:r>
        <w:rPr>
          <w:color w:val="17375E" w:themeColor="text2" w:themeShade="BF"/>
        </w:rPr>
        <w:t>不应</w:t>
      </w:r>
      <w:r>
        <w:rPr>
          <w:rFonts w:hint="eastAsia"/>
          <w:color w:val="17375E" w:themeColor="text2" w:themeShade="BF"/>
          <w:lang w:eastAsia="zh-CN"/>
        </w:rPr>
        <w:t>”</w:t>
      </w:r>
      <w:r>
        <w:rPr>
          <w:color w:val="17375E" w:themeColor="text2" w:themeShade="BF"/>
        </w:rPr>
        <w:t>或</w:t>
      </w:r>
      <w:r>
        <w:rPr>
          <w:rFonts w:hint="eastAsia"/>
          <w:color w:val="17375E" w:themeColor="text2" w:themeShade="BF"/>
          <w:lang w:eastAsia="zh-CN"/>
        </w:rPr>
        <w:t>“</w:t>
      </w:r>
      <w:r>
        <w:rPr>
          <w:color w:val="17375E" w:themeColor="text2" w:themeShade="BF"/>
        </w:rPr>
        <w:t>不得</w:t>
      </w:r>
      <w:r>
        <w:rPr>
          <w:rFonts w:hint="eastAsia"/>
          <w:color w:val="17375E" w:themeColor="text2" w:themeShade="BF"/>
          <w:lang w:eastAsia="zh-CN"/>
        </w:rPr>
        <w:t>”</w:t>
      </w:r>
      <w:r>
        <w:rPr>
          <w:color w:val="17375E" w:themeColor="text2" w:themeShade="BF"/>
        </w:rPr>
        <w:t>。</w:t>
      </w:r>
    </w:p>
    <w:p w14:paraId="1B975B59">
      <w:pPr>
        <w:bidi w:val="0"/>
        <w:rPr>
          <w:color w:val="17375E" w:themeColor="text2" w:themeShade="BF"/>
        </w:rPr>
      </w:pPr>
      <w:r>
        <w:rPr>
          <w:color w:val="17375E" w:themeColor="text2" w:themeShade="BF"/>
        </w:rPr>
        <w:t>３）表示允许稍有选择，在条件许可时首先应这样做的：</w:t>
      </w:r>
    </w:p>
    <w:p w14:paraId="17E74C17">
      <w:pPr>
        <w:bidi w:val="0"/>
        <w:rPr>
          <w:color w:val="17375E" w:themeColor="text2" w:themeShade="BF"/>
        </w:rPr>
      </w:pPr>
      <w:r>
        <w:rPr>
          <w:color w:val="17375E" w:themeColor="text2" w:themeShade="BF"/>
        </w:rPr>
        <w:t>正面词采用</w:t>
      </w:r>
      <w:r>
        <w:rPr>
          <w:rFonts w:hint="eastAsia"/>
          <w:color w:val="17375E" w:themeColor="text2" w:themeShade="BF"/>
          <w:lang w:eastAsia="zh-CN"/>
        </w:rPr>
        <w:t>“</w:t>
      </w:r>
      <w:r>
        <w:rPr>
          <w:color w:val="17375E" w:themeColor="text2" w:themeShade="BF"/>
        </w:rPr>
        <w:t>宜</w:t>
      </w:r>
      <w:r>
        <w:rPr>
          <w:rFonts w:hint="eastAsia"/>
          <w:color w:val="17375E" w:themeColor="text2" w:themeShade="BF"/>
          <w:lang w:eastAsia="zh-CN"/>
        </w:rPr>
        <w:t>”</w:t>
      </w:r>
      <w:r>
        <w:rPr>
          <w:color w:val="17375E" w:themeColor="text2" w:themeShade="BF"/>
        </w:rPr>
        <w:t>，反面词采用</w:t>
      </w:r>
      <w:r>
        <w:rPr>
          <w:rFonts w:hint="eastAsia"/>
          <w:color w:val="17375E" w:themeColor="text2" w:themeShade="BF"/>
          <w:lang w:eastAsia="zh-CN"/>
        </w:rPr>
        <w:t>“</w:t>
      </w:r>
      <w:r>
        <w:rPr>
          <w:color w:val="17375E" w:themeColor="text2" w:themeShade="BF"/>
        </w:rPr>
        <w:t>不宜</w:t>
      </w:r>
      <w:r>
        <w:rPr>
          <w:rFonts w:hint="eastAsia"/>
          <w:color w:val="17375E" w:themeColor="text2" w:themeShade="BF"/>
          <w:lang w:eastAsia="zh-CN"/>
        </w:rPr>
        <w:t>”</w:t>
      </w:r>
      <w:r>
        <w:rPr>
          <w:color w:val="17375E" w:themeColor="text2" w:themeShade="BF"/>
        </w:rPr>
        <w:t>；</w:t>
      </w:r>
    </w:p>
    <w:p w14:paraId="26569A91">
      <w:pPr>
        <w:bidi w:val="0"/>
        <w:rPr>
          <w:color w:val="17375E" w:themeColor="text2" w:themeShade="BF"/>
        </w:rPr>
      </w:pPr>
      <w:r>
        <w:rPr>
          <w:color w:val="17375E" w:themeColor="text2" w:themeShade="BF"/>
        </w:rPr>
        <w:t>4）表示有选择，在一定条件下可以这样做的：</w:t>
      </w:r>
    </w:p>
    <w:p w14:paraId="05DB2DB1">
      <w:pPr>
        <w:bidi w:val="0"/>
        <w:rPr>
          <w:color w:val="17375E" w:themeColor="text2" w:themeShade="BF"/>
        </w:rPr>
      </w:pPr>
      <w:r>
        <w:rPr>
          <w:color w:val="17375E" w:themeColor="text2" w:themeShade="BF"/>
        </w:rPr>
        <w:t>正面词采用</w:t>
      </w:r>
      <w:r>
        <w:rPr>
          <w:rFonts w:hint="eastAsia"/>
          <w:color w:val="17375E" w:themeColor="text2" w:themeShade="BF"/>
          <w:lang w:eastAsia="zh-CN"/>
        </w:rPr>
        <w:t>“</w:t>
      </w:r>
      <w:r>
        <w:rPr>
          <w:color w:val="17375E" w:themeColor="text2" w:themeShade="BF"/>
        </w:rPr>
        <w:t>可</w:t>
      </w:r>
      <w:r>
        <w:rPr>
          <w:rFonts w:hint="eastAsia"/>
          <w:color w:val="17375E" w:themeColor="text2" w:themeShade="BF"/>
          <w:lang w:eastAsia="zh-CN"/>
        </w:rPr>
        <w:t>”</w:t>
      </w:r>
      <w:r>
        <w:rPr>
          <w:color w:val="17375E" w:themeColor="text2" w:themeShade="BF"/>
        </w:rPr>
        <w:t>，反面词采用</w:t>
      </w:r>
      <w:r>
        <w:rPr>
          <w:rFonts w:hint="eastAsia"/>
          <w:color w:val="17375E" w:themeColor="text2" w:themeShade="BF"/>
          <w:lang w:eastAsia="zh-CN"/>
        </w:rPr>
        <w:t>“</w:t>
      </w:r>
      <w:r>
        <w:rPr>
          <w:color w:val="17375E" w:themeColor="text2" w:themeShade="BF"/>
        </w:rPr>
        <w:t>不可</w:t>
      </w:r>
      <w:r>
        <w:rPr>
          <w:rFonts w:hint="eastAsia"/>
          <w:color w:val="17375E" w:themeColor="text2" w:themeShade="BF"/>
          <w:lang w:eastAsia="zh-CN"/>
        </w:rPr>
        <w:t>”</w:t>
      </w:r>
      <w:r>
        <w:rPr>
          <w:color w:val="17375E" w:themeColor="text2" w:themeShade="BF"/>
        </w:rPr>
        <w:t>。</w:t>
      </w:r>
    </w:p>
    <w:p w14:paraId="01512C2E">
      <w:pPr>
        <w:bidi w:val="0"/>
        <w:rPr>
          <w:color w:val="17375E" w:themeColor="text2" w:themeShade="BF"/>
        </w:rPr>
      </w:pPr>
      <w:r>
        <w:rPr>
          <w:color w:val="17375E" w:themeColor="text2" w:themeShade="BF"/>
        </w:rPr>
        <w:t>2 条文中指明应按其它有关标准、 规范执行的， 写法为</w:t>
      </w:r>
      <w:r>
        <w:rPr>
          <w:rFonts w:hint="eastAsia"/>
          <w:color w:val="17375E" w:themeColor="text2" w:themeShade="BF"/>
          <w:lang w:eastAsia="zh-CN"/>
        </w:rPr>
        <w:t>“</w:t>
      </w:r>
      <w:r>
        <w:rPr>
          <w:color w:val="17375E" w:themeColor="text2" w:themeShade="BF"/>
        </w:rPr>
        <w:t>应符合……的规定</w:t>
      </w:r>
      <w:r>
        <w:rPr>
          <w:rFonts w:hint="eastAsia"/>
          <w:color w:val="17375E" w:themeColor="text2" w:themeShade="BF"/>
          <w:lang w:eastAsia="zh-CN"/>
        </w:rPr>
        <w:t>”</w:t>
      </w:r>
      <w:r>
        <w:rPr>
          <w:color w:val="17375E" w:themeColor="text2" w:themeShade="BF"/>
        </w:rPr>
        <w:t>或</w:t>
      </w:r>
      <w:r>
        <w:rPr>
          <w:rFonts w:hint="eastAsia"/>
          <w:color w:val="17375E" w:themeColor="text2" w:themeShade="BF"/>
          <w:lang w:eastAsia="zh-CN"/>
        </w:rPr>
        <w:t>“</w:t>
      </w:r>
      <w:r>
        <w:rPr>
          <w:color w:val="17375E" w:themeColor="text2" w:themeShade="BF"/>
        </w:rPr>
        <w:t>应按……执行</w:t>
      </w:r>
      <w:r>
        <w:rPr>
          <w:rFonts w:hint="eastAsia"/>
          <w:color w:val="17375E" w:themeColor="text2" w:themeShade="BF"/>
          <w:lang w:eastAsia="zh-CN"/>
        </w:rPr>
        <w:t>”</w:t>
      </w:r>
      <w:r>
        <w:rPr>
          <w:color w:val="17375E" w:themeColor="text2" w:themeShade="BF"/>
        </w:rPr>
        <w:t>。</w:t>
      </w:r>
    </w:p>
    <w:p w14:paraId="2F9276F7">
      <w:pPr>
        <w:rPr>
          <w:rFonts w:cs="Times New Roman"/>
          <w:color w:val="000000" w:themeColor="text1"/>
          <w:highlight w:val="none"/>
          <w14:textFill>
            <w14:solidFill>
              <w14:schemeClr w14:val="tx1"/>
            </w14:solidFill>
          </w14:textFill>
        </w:rPr>
      </w:pPr>
      <w:bookmarkStart w:id="129" w:name="_Toc15500"/>
      <w:r>
        <w:rPr>
          <w:rFonts w:cs="Times New Roman"/>
          <w:color w:val="000000" w:themeColor="text1"/>
          <w:highlight w:val="none"/>
          <w14:textFill>
            <w14:solidFill>
              <w14:schemeClr w14:val="tx1"/>
            </w14:solidFill>
          </w14:textFill>
        </w:rPr>
        <w:br w:type="page"/>
      </w:r>
    </w:p>
    <w:p w14:paraId="33974EFB">
      <w:pPr>
        <w:pStyle w:val="2"/>
        <w:numPr>
          <w:ilvl w:val="0"/>
          <w:numId w:val="0"/>
        </w:numPr>
        <w:spacing w:before="156" w:after="156"/>
        <w:rPr>
          <w:rFonts w:cs="Times New Roman"/>
          <w:color w:val="000000" w:themeColor="text1"/>
          <w:highlight w:val="none"/>
          <w14:textFill>
            <w14:solidFill>
              <w14:schemeClr w14:val="tx1"/>
            </w14:solidFill>
          </w14:textFill>
        </w:rPr>
      </w:pPr>
      <w:bookmarkStart w:id="130" w:name="_Toc17366"/>
      <w:r>
        <w:rPr>
          <w:rFonts w:cs="Times New Roman"/>
          <w:color w:val="000000" w:themeColor="text1"/>
          <w:highlight w:val="none"/>
          <w14:textFill>
            <w14:solidFill>
              <w14:schemeClr w14:val="tx1"/>
            </w14:solidFill>
          </w14:textFill>
        </w:rPr>
        <w:t>引用标准名录</w:t>
      </w:r>
      <w:bookmarkEnd w:id="129"/>
      <w:bookmarkEnd w:id="130"/>
      <w:r>
        <w:rPr>
          <w:rFonts w:cs="Times New Roman"/>
          <w:color w:val="000000" w:themeColor="text1"/>
          <w:highlight w:val="none"/>
          <w14:textFill>
            <w14:solidFill>
              <w14:schemeClr w14:val="tx1"/>
            </w14:solidFill>
          </w14:textFill>
        </w:rPr>
        <w:t xml:space="preserve"> </w:t>
      </w:r>
    </w:p>
    <w:p w14:paraId="3507C861">
      <w:pPr>
        <w:bidi w:val="0"/>
        <w:rPr>
          <w:rFonts w:hint="eastAsia"/>
          <w:color w:val="auto"/>
        </w:rPr>
      </w:pPr>
      <w:r>
        <w:rPr>
          <w:rFonts w:hint="eastAsia"/>
          <w:color w:val="auto"/>
        </w:rPr>
        <w:t>《自动喷水灭火系统设计规范》GB 50084</w:t>
      </w:r>
    </w:p>
    <w:p w14:paraId="47A563FC">
      <w:pPr>
        <w:bidi w:val="0"/>
        <w:rPr>
          <w:rFonts w:hint="eastAsia"/>
          <w:color w:val="auto"/>
        </w:rPr>
      </w:pPr>
      <w:r>
        <w:rPr>
          <w:rFonts w:hint="eastAsia"/>
          <w:color w:val="auto"/>
        </w:rPr>
        <w:t>《建筑设计防火规范》GB 50016</w:t>
      </w:r>
    </w:p>
    <w:p w14:paraId="6CB606C6">
      <w:pPr>
        <w:bidi w:val="0"/>
        <w:rPr>
          <w:rFonts w:hint="default"/>
          <w:color w:val="auto"/>
          <w:lang w:val="en-US"/>
        </w:rPr>
      </w:pPr>
      <w:r>
        <w:rPr>
          <w:rFonts w:hint="eastAsia"/>
          <w:color w:val="auto"/>
          <w:lang w:val="en-US" w:eastAsia="zh-CN"/>
        </w:rPr>
        <w:t>《建筑防火通用规范》GB 55037</w:t>
      </w:r>
    </w:p>
    <w:p w14:paraId="121B598D">
      <w:pPr>
        <w:bidi w:val="0"/>
        <w:rPr>
          <w:color w:val="auto"/>
        </w:rPr>
        <w:sectPr>
          <w:footerReference r:id="rId6" w:type="default"/>
          <w:pgSz w:w="11906" w:h="16838"/>
          <w:pgMar w:top="1440" w:right="1800" w:bottom="1440" w:left="1800" w:header="851" w:footer="992" w:gutter="0"/>
          <w:pgNumType w:start="1"/>
          <w:cols w:space="425" w:num="1"/>
          <w:docGrid w:type="lines" w:linePitch="312" w:charSpace="0"/>
        </w:sectPr>
      </w:pPr>
      <w:r>
        <w:rPr>
          <w:rFonts w:hint="eastAsia"/>
          <w:color w:val="auto"/>
          <w:lang w:val="en-US" w:eastAsia="zh-CN"/>
        </w:rPr>
        <w:t>《建筑防烟排烟系统技术标准》GB 51251</w:t>
      </w:r>
    </w:p>
    <w:tbl>
      <w:tblPr>
        <w:tblStyle w:val="23"/>
        <w:tblW w:w="8522" w:type="dxa"/>
        <w:jc w:val="center"/>
        <w:tblLayout w:type="fixed"/>
        <w:tblCellMar>
          <w:top w:w="0" w:type="dxa"/>
          <w:left w:w="108" w:type="dxa"/>
          <w:bottom w:w="0" w:type="dxa"/>
          <w:right w:w="108" w:type="dxa"/>
        </w:tblCellMar>
      </w:tblPr>
      <w:tblGrid>
        <w:gridCol w:w="8522"/>
      </w:tblGrid>
      <w:tr w14:paraId="3697188E">
        <w:tblPrEx>
          <w:tblCellMar>
            <w:top w:w="0" w:type="dxa"/>
            <w:left w:w="108" w:type="dxa"/>
            <w:bottom w:w="0" w:type="dxa"/>
            <w:right w:w="108" w:type="dxa"/>
          </w:tblCellMar>
        </w:tblPrEx>
        <w:trPr>
          <w:trHeight w:val="90" w:hRule="atLeast"/>
          <w:jc w:val="center"/>
        </w:trPr>
        <w:tc>
          <w:tcPr>
            <w:tcW w:w="8522" w:type="dxa"/>
            <w:tcBorders>
              <w:tl2br w:val="nil"/>
              <w:tr2bl w:val="nil"/>
            </w:tcBorders>
            <w:vAlign w:val="center"/>
          </w:tcPr>
          <w:p w14:paraId="5B95622F">
            <w:pPr>
              <w:ind w:firstLine="0" w:firstLineChars="0"/>
              <w:rPr>
                <w:rFonts w:eastAsia="华文仿宋" w:cs="Times New Roman"/>
                <w:b/>
                <w:bCs/>
                <w:caps/>
                <w:color w:val="000000" w:themeColor="text1"/>
                <w:sz w:val="36"/>
                <w:szCs w:val="36"/>
                <w:highlight w:val="none"/>
                <w14:textFill>
                  <w14:solidFill>
                    <w14:schemeClr w14:val="tx1"/>
                  </w14:solidFill>
                </w14:textFill>
              </w:rPr>
            </w:pPr>
          </w:p>
        </w:tc>
      </w:tr>
      <w:tr w14:paraId="15A36A17">
        <w:tblPrEx>
          <w:tblCellMar>
            <w:top w:w="0" w:type="dxa"/>
            <w:left w:w="108" w:type="dxa"/>
            <w:bottom w:w="0" w:type="dxa"/>
            <w:right w:w="108" w:type="dxa"/>
          </w:tblCellMar>
        </w:tblPrEx>
        <w:trPr>
          <w:trHeight w:val="720" w:hRule="atLeast"/>
          <w:jc w:val="center"/>
        </w:trPr>
        <w:tc>
          <w:tcPr>
            <w:tcW w:w="8522" w:type="dxa"/>
            <w:tcBorders>
              <w:tl2br w:val="nil"/>
              <w:tr2bl w:val="nil"/>
            </w:tcBorders>
            <w:vAlign w:val="center"/>
          </w:tcPr>
          <w:p w14:paraId="6DFEFAD2">
            <w:pPr>
              <w:pStyle w:val="43"/>
              <w:snapToGrid w:val="0"/>
              <w:jc w:val="center"/>
              <w:rPr>
                <w:rFonts w:ascii="Times New Roman" w:hAnsi="Times New Roman" w:cs="Times New Roman"/>
                <w:b/>
                <w:bCs/>
                <w:color w:val="000000" w:themeColor="text1"/>
                <w:sz w:val="36"/>
                <w:szCs w:val="36"/>
                <w:highlight w:val="none"/>
                <w14:textFill>
                  <w14:solidFill>
                    <w14:schemeClr w14:val="tx1"/>
                  </w14:solidFill>
                </w14:textFill>
              </w:rPr>
            </w:pPr>
            <w:r>
              <w:rPr>
                <w:rFonts w:ascii="Times New Roman" w:hAnsi="Times New Roman" w:cs="Times New Roman"/>
                <w:b/>
                <w:bCs/>
                <w:color w:val="000000" w:themeColor="text1"/>
                <w:sz w:val="36"/>
                <w:szCs w:val="36"/>
                <w:highlight w:val="none"/>
                <w14:textFill>
                  <w14:solidFill>
                    <w14:schemeClr w14:val="tx1"/>
                  </w14:solidFill>
                </w14:textFill>
              </w:rPr>
              <w:br w:type="page"/>
            </w:r>
            <w:r>
              <w:rPr>
                <w:rFonts w:ascii="Times New Roman" w:hAnsi="Times New Roman" w:cs="Times New Roman"/>
                <w:b/>
                <w:bCs/>
                <w:color w:val="000000" w:themeColor="text1"/>
                <w:sz w:val="36"/>
                <w:szCs w:val="36"/>
                <w:highlight w:val="none"/>
                <w14:textFill>
                  <w14:solidFill>
                    <w14:schemeClr w14:val="tx1"/>
                  </w14:solidFill>
                </w14:textFill>
              </w:rPr>
              <w:t>云南省工程建设地方标准</w:t>
            </w:r>
          </w:p>
          <w:p w14:paraId="5854F37B">
            <w:pPr>
              <w:pStyle w:val="43"/>
              <w:snapToGrid w:val="0"/>
              <w:jc w:val="center"/>
              <w:rPr>
                <w:rFonts w:ascii="Times New Roman" w:hAnsi="Times New Roman" w:cs="Times New Roman"/>
                <w:b/>
                <w:bCs/>
                <w:color w:val="000000" w:themeColor="text1"/>
                <w:sz w:val="36"/>
                <w:szCs w:val="36"/>
                <w:highlight w:val="none"/>
                <w14:textFill>
                  <w14:solidFill>
                    <w14:schemeClr w14:val="tx1"/>
                  </w14:solidFill>
                </w14:textFill>
              </w:rPr>
            </w:pPr>
          </w:p>
          <w:p w14:paraId="2237E10C">
            <w:pPr>
              <w:pStyle w:val="43"/>
              <w:snapToGrid w:val="0"/>
              <w:jc w:val="center"/>
              <w:rPr>
                <w:rFonts w:ascii="Times New Roman" w:hAnsi="Times New Roman" w:cs="Times New Roman"/>
                <w:b/>
                <w:bCs/>
                <w:color w:val="000000" w:themeColor="text1"/>
                <w:sz w:val="36"/>
                <w:szCs w:val="36"/>
                <w:highlight w:val="none"/>
                <w14:textFill>
                  <w14:solidFill>
                    <w14:schemeClr w14:val="tx1"/>
                  </w14:solidFill>
                </w14:textFill>
              </w:rPr>
            </w:pPr>
          </w:p>
        </w:tc>
      </w:tr>
      <w:tr w14:paraId="560522F0">
        <w:tblPrEx>
          <w:tblCellMar>
            <w:top w:w="0" w:type="dxa"/>
            <w:left w:w="108" w:type="dxa"/>
            <w:bottom w:w="0" w:type="dxa"/>
            <w:right w:w="108" w:type="dxa"/>
          </w:tblCellMar>
        </w:tblPrEx>
        <w:trPr>
          <w:trHeight w:val="360" w:hRule="atLeast"/>
          <w:jc w:val="center"/>
        </w:trPr>
        <w:tc>
          <w:tcPr>
            <w:tcW w:w="8522" w:type="dxa"/>
            <w:tcBorders>
              <w:tl2br w:val="nil"/>
              <w:tr2bl w:val="nil"/>
            </w:tcBorders>
            <w:vAlign w:val="center"/>
          </w:tcPr>
          <w:p w14:paraId="5F892DBF">
            <w:pPr>
              <w:pStyle w:val="43"/>
              <w:snapToGrid w:val="0"/>
              <w:jc w:val="center"/>
              <w:rPr>
                <w:rFonts w:ascii="Times New Roman" w:hAnsi="Times New Roman" w:cs="Times New Roman"/>
                <w:b/>
                <w:bCs/>
                <w:color w:val="000000" w:themeColor="text1"/>
                <w:sz w:val="36"/>
                <w:szCs w:val="36"/>
                <w:highlight w:val="none"/>
                <w14:textFill>
                  <w14:solidFill>
                    <w14:schemeClr w14:val="tx1"/>
                  </w14:solidFill>
                </w14:textFill>
              </w:rPr>
            </w:pPr>
            <w:r>
              <w:rPr>
                <w:rFonts w:ascii="Times New Roman" w:hAnsi="Times New Roman" w:cs="Times New Roman"/>
                <w:b/>
                <w:bCs/>
                <w:color w:val="000000" w:themeColor="text1"/>
                <w:sz w:val="36"/>
                <w:szCs w:val="36"/>
                <w:highlight w:val="none"/>
                <w14:textFill>
                  <w14:solidFill>
                    <w14:schemeClr w14:val="tx1"/>
                  </w14:solidFill>
                </w14:textFill>
              </w:rPr>
              <w:t>云南省</w:t>
            </w:r>
            <w:r>
              <w:rPr>
                <w:rFonts w:hint="eastAsia" w:ascii="Times New Roman" w:hAnsi="Times New Roman" w:cs="Times New Roman"/>
                <w:b/>
                <w:bCs/>
                <w:color w:val="000000" w:themeColor="text1"/>
                <w:sz w:val="36"/>
                <w:szCs w:val="36"/>
                <w:highlight w:val="none"/>
                <w:lang w:val="en-US" w:eastAsia="zh-CN"/>
                <w14:textFill>
                  <w14:solidFill>
                    <w14:schemeClr w14:val="tx1"/>
                  </w14:solidFill>
                </w14:textFill>
              </w:rPr>
              <w:t>既有建筑改造消防</w:t>
            </w:r>
            <w:r>
              <w:rPr>
                <w:rFonts w:ascii="Times New Roman" w:hAnsi="Times New Roman" w:cs="Times New Roman"/>
                <w:b/>
                <w:bCs/>
                <w:color w:val="000000" w:themeColor="text1"/>
                <w:sz w:val="36"/>
                <w:szCs w:val="36"/>
                <w:highlight w:val="none"/>
                <w14:textFill>
                  <w14:solidFill>
                    <w14:schemeClr w14:val="tx1"/>
                  </w14:solidFill>
                </w14:textFill>
              </w:rPr>
              <w:t>技术标准</w:t>
            </w:r>
          </w:p>
          <w:p w14:paraId="28176D88">
            <w:pPr>
              <w:pStyle w:val="43"/>
              <w:spacing w:before="62"/>
              <w:ind w:left="440" w:hanging="440"/>
              <w:jc w:val="center"/>
              <w:rPr>
                <w:rFonts w:ascii="Times New Roman" w:hAnsi="Times New Roman" w:cs="Times New Roman"/>
                <w:b/>
                <w:bCs/>
                <w:color w:val="000000" w:themeColor="text1"/>
                <w:sz w:val="36"/>
                <w:szCs w:val="36"/>
                <w:highlight w:val="none"/>
                <w14:textFill>
                  <w14:solidFill>
                    <w14:schemeClr w14:val="tx1"/>
                  </w14:solidFill>
                </w14:textFill>
              </w:rPr>
            </w:pPr>
          </w:p>
          <w:p w14:paraId="3AF1D5FE">
            <w:pPr>
              <w:pStyle w:val="43"/>
              <w:spacing w:before="62"/>
              <w:ind w:left="440" w:hanging="440"/>
              <w:jc w:val="center"/>
              <w:rPr>
                <w:rFonts w:ascii="Times New Roman" w:hAnsi="Times New Roman" w:cs="Times New Roman"/>
                <w:b/>
                <w:bCs/>
                <w:color w:val="000000" w:themeColor="text1"/>
                <w:sz w:val="36"/>
                <w:szCs w:val="36"/>
                <w:highlight w:val="none"/>
                <w14:textFill>
                  <w14:solidFill>
                    <w14:schemeClr w14:val="tx1"/>
                  </w14:solidFill>
                </w14:textFill>
              </w:rPr>
            </w:pPr>
          </w:p>
        </w:tc>
      </w:tr>
      <w:tr w14:paraId="2A7022BE">
        <w:tblPrEx>
          <w:tblCellMar>
            <w:top w:w="0" w:type="dxa"/>
            <w:left w:w="108" w:type="dxa"/>
            <w:bottom w:w="0" w:type="dxa"/>
            <w:right w:w="108" w:type="dxa"/>
          </w:tblCellMar>
        </w:tblPrEx>
        <w:trPr>
          <w:trHeight w:val="360" w:hRule="atLeast"/>
          <w:jc w:val="center"/>
        </w:trPr>
        <w:tc>
          <w:tcPr>
            <w:tcW w:w="8522" w:type="dxa"/>
            <w:tcBorders>
              <w:tl2br w:val="nil"/>
              <w:tr2bl w:val="nil"/>
            </w:tcBorders>
            <w:vAlign w:val="center"/>
          </w:tcPr>
          <w:p w14:paraId="2C87928A">
            <w:pPr>
              <w:pStyle w:val="43"/>
              <w:jc w:val="center"/>
              <w:rPr>
                <w:rFonts w:ascii="Times New Roman" w:hAnsi="Times New Roman" w:cs="Times New Roman"/>
                <w:b/>
                <w:bCs/>
                <w:color w:val="000000" w:themeColor="text1"/>
                <w:sz w:val="36"/>
                <w:szCs w:val="36"/>
                <w:highlight w:val="none"/>
                <w14:textFill>
                  <w14:solidFill>
                    <w14:schemeClr w14:val="tx1"/>
                  </w14:solidFill>
                </w14:textFill>
              </w:rPr>
            </w:pPr>
            <w:r>
              <w:rPr>
                <w:rFonts w:ascii="Times New Roman" w:hAnsi="Times New Roman" w:cs="Times New Roman"/>
                <w:b/>
                <w:bCs/>
                <w:color w:val="000000" w:themeColor="text1"/>
                <w:sz w:val="36"/>
                <w:szCs w:val="36"/>
                <w:highlight w:val="none"/>
                <w14:textFill>
                  <w14:solidFill>
                    <w14:schemeClr w14:val="tx1"/>
                  </w14:solidFill>
                </w14:textFill>
              </w:rPr>
              <w:t>条文说明</w:t>
            </w:r>
          </w:p>
          <w:p w14:paraId="49022521">
            <w:pPr>
              <w:pStyle w:val="43"/>
              <w:jc w:val="center"/>
              <w:rPr>
                <w:rFonts w:hint="eastAsia" w:ascii="Times New Roman" w:hAnsi="Times New Roman" w:eastAsia="宋体" w:cs="Times New Roman"/>
                <w:b/>
                <w:bCs/>
                <w:color w:val="000000" w:themeColor="text1"/>
                <w:sz w:val="36"/>
                <w:szCs w:val="36"/>
                <w:highlight w:val="none"/>
                <w:lang w:eastAsia="zh-CN"/>
                <w14:textFill>
                  <w14:solidFill>
                    <w14:schemeClr w14:val="tx1"/>
                  </w14:solidFill>
                </w14:textFill>
              </w:rPr>
            </w:pPr>
            <w:r>
              <w:rPr>
                <w:rFonts w:hint="eastAsia" w:ascii="Times New Roman" w:hAnsi="Times New Roman" w:cs="Times New Roman"/>
                <w:b/>
                <w:bCs/>
                <w:color w:val="17375E" w:themeColor="text2" w:themeShade="BF"/>
                <w:sz w:val="36"/>
                <w:szCs w:val="36"/>
                <w:highlight w:val="none"/>
                <w:lang w:eastAsia="zh-CN"/>
              </w:rPr>
              <w:t>（</w:t>
            </w:r>
            <w:r>
              <w:rPr>
                <w:rFonts w:hint="eastAsia" w:ascii="Times New Roman" w:hAnsi="Times New Roman" w:cs="Times New Roman"/>
                <w:b/>
                <w:bCs/>
                <w:color w:val="17375E" w:themeColor="text2" w:themeShade="BF"/>
                <w:sz w:val="36"/>
                <w:szCs w:val="36"/>
                <w:highlight w:val="none"/>
                <w:lang w:val="en-US" w:eastAsia="zh-CN"/>
              </w:rPr>
              <w:t>正式发布版前暂注于条文下方，便于对照</w:t>
            </w:r>
            <w:r>
              <w:rPr>
                <w:rFonts w:hint="eastAsia" w:ascii="Times New Roman" w:hAnsi="Times New Roman" w:cs="Times New Roman"/>
                <w:b/>
                <w:bCs/>
                <w:color w:val="17375E" w:themeColor="text2" w:themeShade="BF"/>
                <w:sz w:val="36"/>
                <w:szCs w:val="36"/>
                <w:highlight w:val="none"/>
                <w:lang w:eastAsia="zh-CN"/>
              </w:rPr>
              <w:t>）</w:t>
            </w:r>
          </w:p>
        </w:tc>
      </w:tr>
    </w:tbl>
    <w:p w14:paraId="605CCC77">
      <w:pPr>
        <w:pStyle w:val="5"/>
        <w:ind w:firstLine="0" w:firstLineChars="0"/>
        <w:rPr>
          <w:rFonts w:cs="Times New Roman"/>
          <w:color w:val="000000" w:themeColor="text1"/>
          <w:highlight w:val="none"/>
          <w14:textFill>
            <w14:solidFill>
              <w14:schemeClr w14:val="tx1"/>
            </w14:solidFill>
          </w14:textFill>
        </w:rPr>
      </w:pPr>
    </w:p>
    <w:sectPr>
      <w:footerReference r:id="rId7"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942037-9F47-4948-8EEA-103ED2AA0A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embedRegular r:id="rId2" w:fontKey="{805E4D87-2A37-4E66-BB98-285EF4F9CCB3}"/>
  </w:font>
  <w:font w:name="TimesNewRomanPSMT">
    <w:altName w:val="Times New Roman"/>
    <w:panose1 w:val="00000000000000000000"/>
    <w:charset w:val="00"/>
    <w:family w:val="roman"/>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embedRegular r:id="rId3" w:fontKey="{EAB29EAE-AF0A-4F45-8E54-3D5A4734513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2AD53">
    <w:pPr>
      <w:pStyle w:val="1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B7752">
    <w:pPr>
      <w:pStyle w:val="15"/>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A35CB0">
                          <w:pPr>
                            <w:pStyle w:val="15"/>
                            <w:ind w:firstLine="360"/>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9A35CB0">
                    <w:pPr>
                      <w:pStyle w:val="15"/>
                      <w:ind w:firstLine="360"/>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42464">
    <w:pPr>
      <w:pStyle w:val="1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501C87">
                          <w:pPr>
                            <w:pStyle w:val="15"/>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4501C87">
                    <w:pPr>
                      <w:pStyle w:val="15"/>
                      <w:ind w:firstLine="36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4DE72"/>
    <w:multiLevelType w:val="multilevel"/>
    <w:tmpl w:val="8B84DE72"/>
    <w:lvl w:ilvl="0" w:tentative="0">
      <w:start w:val="1"/>
      <w:numFmt w:val="decimal"/>
      <w:pStyle w:val="2"/>
      <w:lvlText w:val="%1"/>
      <w:lvlJc w:val="left"/>
      <w:pPr>
        <w:tabs>
          <w:tab w:val="left" w:pos="0"/>
        </w:tabs>
        <w:ind w:left="0" w:firstLine="0"/>
      </w:pPr>
      <w:rPr>
        <w:rFonts w:hint="default" w:ascii="宋体" w:hAnsi="宋体" w:eastAsia="宋体" w:cs="宋体"/>
      </w:rPr>
    </w:lvl>
    <w:lvl w:ilvl="1" w:tentative="0">
      <w:start w:val="0"/>
      <w:numFmt w:val="decimal"/>
      <w:pStyle w:val="3"/>
      <w:suff w:val="space"/>
      <w:lvlText w:val="%1.%2"/>
      <w:lvlJc w:val="left"/>
      <w:pPr>
        <w:tabs>
          <w:tab w:val="left" w:pos="0"/>
        </w:tabs>
        <w:ind w:left="3600" w:firstLine="0"/>
      </w:pPr>
      <w:rPr>
        <w:rFonts w:hint="default" w:ascii="宋体" w:hAnsi="宋体" w:eastAsia="宋体" w:cs="宋体"/>
      </w:rPr>
    </w:lvl>
    <w:lvl w:ilvl="2" w:tentative="0">
      <w:start w:val="1"/>
      <w:numFmt w:val="decimal"/>
      <w:pStyle w:val="4"/>
      <w:lvlText w:val="%1.%2.%3"/>
      <w:lvlJc w:val="left"/>
      <w:pPr>
        <w:tabs>
          <w:tab w:val="left" w:pos="710"/>
        </w:tabs>
        <w:ind w:left="710" w:firstLine="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zMWVjNGRkNmE1MjlmMjQxNGQ2NjM5MmQyZDViODIifQ=="/>
  </w:docVars>
  <w:rsids>
    <w:rsidRoot w:val="00C43DC6"/>
    <w:rsid w:val="0000635C"/>
    <w:rsid w:val="000468C5"/>
    <w:rsid w:val="00060568"/>
    <w:rsid w:val="00061F6D"/>
    <w:rsid w:val="000738F6"/>
    <w:rsid w:val="00093F3B"/>
    <w:rsid w:val="000A14CD"/>
    <w:rsid w:val="000C3AAA"/>
    <w:rsid w:val="000C717F"/>
    <w:rsid w:val="000D52A1"/>
    <w:rsid w:val="000D5C8A"/>
    <w:rsid w:val="000E2A20"/>
    <w:rsid w:val="000E34FB"/>
    <w:rsid w:val="0010404F"/>
    <w:rsid w:val="00113728"/>
    <w:rsid w:val="00121026"/>
    <w:rsid w:val="00124E49"/>
    <w:rsid w:val="00136474"/>
    <w:rsid w:val="001669D4"/>
    <w:rsid w:val="00176F9C"/>
    <w:rsid w:val="001A42E9"/>
    <w:rsid w:val="001D2EAD"/>
    <w:rsid w:val="001D5BB2"/>
    <w:rsid w:val="001F7194"/>
    <w:rsid w:val="002441B6"/>
    <w:rsid w:val="002649AB"/>
    <w:rsid w:val="002769B3"/>
    <w:rsid w:val="0028434F"/>
    <w:rsid w:val="00285A49"/>
    <w:rsid w:val="00290468"/>
    <w:rsid w:val="00293F61"/>
    <w:rsid w:val="002B00D8"/>
    <w:rsid w:val="002B7559"/>
    <w:rsid w:val="00306652"/>
    <w:rsid w:val="00317FB0"/>
    <w:rsid w:val="00323C83"/>
    <w:rsid w:val="00333F31"/>
    <w:rsid w:val="003351F5"/>
    <w:rsid w:val="003403B0"/>
    <w:rsid w:val="00343F8F"/>
    <w:rsid w:val="003521C2"/>
    <w:rsid w:val="00367FE4"/>
    <w:rsid w:val="003845EC"/>
    <w:rsid w:val="00391498"/>
    <w:rsid w:val="003A7B0A"/>
    <w:rsid w:val="003C637B"/>
    <w:rsid w:val="003D359D"/>
    <w:rsid w:val="003D61F4"/>
    <w:rsid w:val="003E30C6"/>
    <w:rsid w:val="003E3947"/>
    <w:rsid w:val="00417032"/>
    <w:rsid w:val="00425A1B"/>
    <w:rsid w:val="0044676E"/>
    <w:rsid w:val="00472696"/>
    <w:rsid w:val="004756BA"/>
    <w:rsid w:val="004B218E"/>
    <w:rsid w:val="004D6DDE"/>
    <w:rsid w:val="0050321C"/>
    <w:rsid w:val="00546236"/>
    <w:rsid w:val="00556837"/>
    <w:rsid w:val="0057137E"/>
    <w:rsid w:val="00593031"/>
    <w:rsid w:val="00595651"/>
    <w:rsid w:val="005A08FA"/>
    <w:rsid w:val="005D3959"/>
    <w:rsid w:val="005F0C66"/>
    <w:rsid w:val="00606990"/>
    <w:rsid w:val="0061221C"/>
    <w:rsid w:val="00621A68"/>
    <w:rsid w:val="00622CFF"/>
    <w:rsid w:val="00631ED4"/>
    <w:rsid w:val="00637312"/>
    <w:rsid w:val="0067069C"/>
    <w:rsid w:val="00674E19"/>
    <w:rsid w:val="00680B23"/>
    <w:rsid w:val="006975FA"/>
    <w:rsid w:val="006A2C8F"/>
    <w:rsid w:val="006B2A27"/>
    <w:rsid w:val="006B5318"/>
    <w:rsid w:val="006F0816"/>
    <w:rsid w:val="006F6B56"/>
    <w:rsid w:val="00715876"/>
    <w:rsid w:val="00763477"/>
    <w:rsid w:val="00772526"/>
    <w:rsid w:val="00777261"/>
    <w:rsid w:val="0079403C"/>
    <w:rsid w:val="007A75E6"/>
    <w:rsid w:val="007B0A6C"/>
    <w:rsid w:val="007B73A0"/>
    <w:rsid w:val="007C00F8"/>
    <w:rsid w:val="008136F1"/>
    <w:rsid w:val="0083114A"/>
    <w:rsid w:val="00885C7B"/>
    <w:rsid w:val="008971AF"/>
    <w:rsid w:val="008B1948"/>
    <w:rsid w:val="008D52B8"/>
    <w:rsid w:val="00916BBA"/>
    <w:rsid w:val="009201CE"/>
    <w:rsid w:val="00996C60"/>
    <w:rsid w:val="009A672D"/>
    <w:rsid w:val="009B6644"/>
    <w:rsid w:val="009C3849"/>
    <w:rsid w:val="009C744C"/>
    <w:rsid w:val="009E525E"/>
    <w:rsid w:val="009F18E2"/>
    <w:rsid w:val="00A3621B"/>
    <w:rsid w:val="00A522C5"/>
    <w:rsid w:val="00A6526C"/>
    <w:rsid w:val="00AA717A"/>
    <w:rsid w:val="00AD0A6F"/>
    <w:rsid w:val="00AF1760"/>
    <w:rsid w:val="00AF2793"/>
    <w:rsid w:val="00B01B03"/>
    <w:rsid w:val="00B20D70"/>
    <w:rsid w:val="00B26E9F"/>
    <w:rsid w:val="00B45A48"/>
    <w:rsid w:val="00B66078"/>
    <w:rsid w:val="00B7562C"/>
    <w:rsid w:val="00BA2614"/>
    <w:rsid w:val="00BB5346"/>
    <w:rsid w:val="00BB6A6A"/>
    <w:rsid w:val="00BB74D3"/>
    <w:rsid w:val="00BE342F"/>
    <w:rsid w:val="00C07C0F"/>
    <w:rsid w:val="00C10C60"/>
    <w:rsid w:val="00C270FA"/>
    <w:rsid w:val="00C35370"/>
    <w:rsid w:val="00C43DC6"/>
    <w:rsid w:val="00C528D4"/>
    <w:rsid w:val="00C61A14"/>
    <w:rsid w:val="00C7239D"/>
    <w:rsid w:val="00C77A23"/>
    <w:rsid w:val="00C90CBD"/>
    <w:rsid w:val="00C91CCE"/>
    <w:rsid w:val="00C97AC3"/>
    <w:rsid w:val="00CA0D6A"/>
    <w:rsid w:val="00CB4149"/>
    <w:rsid w:val="00CC4EA1"/>
    <w:rsid w:val="00CC7107"/>
    <w:rsid w:val="00CD32C4"/>
    <w:rsid w:val="00D074D7"/>
    <w:rsid w:val="00D20DCB"/>
    <w:rsid w:val="00D25ED7"/>
    <w:rsid w:val="00D561F0"/>
    <w:rsid w:val="00D95831"/>
    <w:rsid w:val="00D964D7"/>
    <w:rsid w:val="00DA216D"/>
    <w:rsid w:val="00DB0300"/>
    <w:rsid w:val="00DB1B62"/>
    <w:rsid w:val="00DB1EA5"/>
    <w:rsid w:val="00DB23B7"/>
    <w:rsid w:val="00DD10D7"/>
    <w:rsid w:val="00DE1247"/>
    <w:rsid w:val="00DF0A5C"/>
    <w:rsid w:val="00DF56ED"/>
    <w:rsid w:val="00E14D2F"/>
    <w:rsid w:val="00E40B97"/>
    <w:rsid w:val="00E54175"/>
    <w:rsid w:val="00EC06B2"/>
    <w:rsid w:val="00ED2767"/>
    <w:rsid w:val="00F0114D"/>
    <w:rsid w:val="00F10086"/>
    <w:rsid w:val="00F2092D"/>
    <w:rsid w:val="00F37BDF"/>
    <w:rsid w:val="00F44E5B"/>
    <w:rsid w:val="00FD3F80"/>
    <w:rsid w:val="00FE1D6B"/>
    <w:rsid w:val="010A04DC"/>
    <w:rsid w:val="010F7FF3"/>
    <w:rsid w:val="012B64AF"/>
    <w:rsid w:val="012E0745"/>
    <w:rsid w:val="012F6E79"/>
    <w:rsid w:val="01527EDF"/>
    <w:rsid w:val="015F0B0B"/>
    <w:rsid w:val="016E1E7F"/>
    <w:rsid w:val="0170036D"/>
    <w:rsid w:val="01C43137"/>
    <w:rsid w:val="01E37341"/>
    <w:rsid w:val="01F2250D"/>
    <w:rsid w:val="01FE1481"/>
    <w:rsid w:val="021763A5"/>
    <w:rsid w:val="02445A69"/>
    <w:rsid w:val="027615FF"/>
    <w:rsid w:val="028B5B88"/>
    <w:rsid w:val="02A53190"/>
    <w:rsid w:val="02BD04F1"/>
    <w:rsid w:val="02C75295"/>
    <w:rsid w:val="02CD5A6F"/>
    <w:rsid w:val="02DB6087"/>
    <w:rsid w:val="02E74770"/>
    <w:rsid w:val="02F92D08"/>
    <w:rsid w:val="03032182"/>
    <w:rsid w:val="03062D2F"/>
    <w:rsid w:val="032C682C"/>
    <w:rsid w:val="03404493"/>
    <w:rsid w:val="034F0B7A"/>
    <w:rsid w:val="03A5079A"/>
    <w:rsid w:val="03CD1A9F"/>
    <w:rsid w:val="03EF38BD"/>
    <w:rsid w:val="03F90AE6"/>
    <w:rsid w:val="040A2B55"/>
    <w:rsid w:val="04161698"/>
    <w:rsid w:val="0417110F"/>
    <w:rsid w:val="04245B63"/>
    <w:rsid w:val="044E50C6"/>
    <w:rsid w:val="04561EBA"/>
    <w:rsid w:val="046449A2"/>
    <w:rsid w:val="04847004"/>
    <w:rsid w:val="049A5E25"/>
    <w:rsid w:val="04A171B4"/>
    <w:rsid w:val="04B21229"/>
    <w:rsid w:val="04D255BF"/>
    <w:rsid w:val="04D806FC"/>
    <w:rsid w:val="04E672BC"/>
    <w:rsid w:val="04EF3777"/>
    <w:rsid w:val="050D587E"/>
    <w:rsid w:val="050E0245"/>
    <w:rsid w:val="05264C0C"/>
    <w:rsid w:val="0532605E"/>
    <w:rsid w:val="054F2772"/>
    <w:rsid w:val="05582ECF"/>
    <w:rsid w:val="05894BEA"/>
    <w:rsid w:val="05AB0F0F"/>
    <w:rsid w:val="05AB2442"/>
    <w:rsid w:val="05E25FEE"/>
    <w:rsid w:val="05EB4D8B"/>
    <w:rsid w:val="06093262"/>
    <w:rsid w:val="062220DC"/>
    <w:rsid w:val="06257970"/>
    <w:rsid w:val="066A7A79"/>
    <w:rsid w:val="067B1C86"/>
    <w:rsid w:val="069726EB"/>
    <w:rsid w:val="06A64F55"/>
    <w:rsid w:val="06E337F1"/>
    <w:rsid w:val="06E710CA"/>
    <w:rsid w:val="06FC6923"/>
    <w:rsid w:val="070361EF"/>
    <w:rsid w:val="071F2119"/>
    <w:rsid w:val="072E57F1"/>
    <w:rsid w:val="0739708E"/>
    <w:rsid w:val="075F6AA1"/>
    <w:rsid w:val="07AA3CC0"/>
    <w:rsid w:val="07B76CEE"/>
    <w:rsid w:val="07C31193"/>
    <w:rsid w:val="07C76200"/>
    <w:rsid w:val="07F81C0C"/>
    <w:rsid w:val="07F9321E"/>
    <w:rsid w:val="07F97BC3"/>
    <w:rsid w:val="08490DAB"/>
    <w:rsid w:val="08A0079B"/>
    <w:rsid w:val="08C711B3"/>
    <w:rsid w:val="08D752A5"/>
    <w:rsid w:val="08DC0183"/>
    <w:rsid w:val="08E85416"/>
    <w:rsid w:val="08F035BE"/>
    <w:rsid w:val="08F171DE"/>
    <w:rsid w:val="090F4648"/>
    <w:rsid w:val="090F4BFD"/>
    <w:rsid w:val="09235E01"/>
    <w:rsid w:val="09373C49"/>
    <w:rsid w:val="097053A7"/>
    <w:rsid w:val="097B1C1B"/>
    <w:rsid w:val="097F55EA"/>
    <w:rsid w:val="09A25626"/>
    <w:rsid w:val="09C40713"/>
    <w:rsid w:val="09CD3738"/>
    <w:rsid w:val="09D25863"/>
    <w:rsid w:val="09E31E29"/>
    <w:rsid w:val="09E64343"/>
    <w:rsid w:val="09ED2E9B"/>
    <w:rsid w:val="09FF029B"/>
    <w:rsid w:val="0A1F74C0"/>
    <w:rsid w:val="0A2148F3"/>
    <w:rsid w:val="0A6A2DB6"/>
    <w:rsid w:val="0A6C2012"/>
    <w:rsid w:val="0A7A5D8A"/>
    <w:rsid w:val="0A870C55"/>
    <w:rsid w:val="0AA74EB9"/>
    <w:rsid w:val="0AB46DF6"/>
    <w:rsid w:val="0AB958F1"/>
    <w:rsid w:val="0AB96912"/>
    <w:rsid w:val="0AFC1873"/>
    <w:rsid w:val="0B0B35D9"/>
    <w:rsid w:val="0B0D21B6"/>
    <w:rsid w:val="0B20514C"/>
    <w:rsid w:val="0B391ACA"/>
    <w:rsid w:val="0B3F3282"/>
    <w:rsid w:val="0B4108F9"/>
    <w:rsid w:val="0B5C2086"/>
    <w:rsid w:val="0B666A61"/>
    <w:rsid w:val="0B756CA4"/>
    <w:rsid w:val="0B860EB1"/>
    <w:rsid w:val="0B8D00FC"/>
    <w:rsid w:val="0BB321E8"/>
    <w:rsid w:val="0BC07420"/>
    <w:rsid w:val="0BC923DD"/>
    <w:rsid w:val="0BE96331"/>
    <w:rsid w:val="0C505483"/>
    <w:rsid w:val="0C765B0A"/>
    <w:rsid w:val="0C8F3DA6"/>
    <w:rsid w:val="0CCA6B86"/>
    <w:rsid w:val="0CF11147"/>
    <w:rsid w:val="0CFF0063"/>
    <w:rsid w:val="0D1F511A"/>
    <w:rsid w:val="0D411534"/>
    <w:rsid w:val="0D447CF4"/>
    <w:rsid w:val="0D500855"/>
    <w:rsid w:val="0D591574"/>
    <w:rsid w:val="0D5C0DF4"/>
    <w:rsid w:val="0D6E2C3E"/>
    <w:rsid w:val="0D6E4660"/>
    <w:rsid w:val="0D6E5215"/>
    <w:rsid w:val="0D714374"/>
    <w:rsid w:val="0D7D62E4"/>
    <w:rsid w:val="0D842C86"/>
    <w:rsid w:val="0D904269"/>
    <w:rsid w:val="0DB31D06"/>
    <w:rsid w:val="0DCF0AE3"/>
    <w:rsid w:val="0DD20D93"/>
    <w:rsid w:val="0E02078E"/>
    <w:rsid w:val="0E122ED0"/>
    <w:rsid w:val="0E174DCC"/>
    <w:rsid w:val="0E557D0D"/>
    <w:rsid w:val="0E664FCA"/>
    <w:rsid w:val="0E6C231B"/>
    <w:rsid w:val="0E970FC9"/>
    <w:rsid w:val="0EC30B46"/>
    <w:rsid w:val="0EC7047D"/>
    <w:rsid w:val="0EDB645C"/>
    <w:rsid w:val="0EFC1B66"/>
    <w:rsid w:val="0EFC2269"/>
    <w:rsid w:val="0F1073DB"/>
    <w:rsid w:val="0F4D774B"/>
    <w:rsid w:val="0F823FE9"/>
    <w:rsid w:val="0F923602"/>
    <w:rsid w:val="0FAC2408"/>
    <w:rsid w:val="0FCC27DC"/>
    <w:rsid w:val="0FDE561C"/>
    <w:rsid w:val="0FE4264A"/>
    <w:rsid w:val="0FFB7896"/>
    <w:rsid w:val="10016B74"/>
    <w:rsid w:val="100C72EC"/>
    <w:rsid w:val="101C0036"/>
    <w:rsid w:val="102F10D6"/>
    <w:rsid w:val="10340523"/>
    <w:rsid w:val="1041184B"/>
    <w:rsid w:val="10434932"/>
    <w:rsid w:val="106A2542"/>
    <w:rsid w:val="10961B97"/>
    <w:rsid w:val="10A02A15"/>
    <w:rsid w:val="10AB723C"/>
    <w:rsid w:val="10CB2E6D"/>
    <w:rsid w:val="10D46167"/>
    <w:rsid w:val="10F44B0F"/>
    <w:rsid w:val="110B4678"/>
    <w:rsid w:val="111555A1"/>
    <w:rsid w:val="11292A0B"/>
    <w:rsid w:val="11602E87"/>
    <w:rsid w:val="116338C1"/>
    <w:rsid w:val="11670431"/>
    <w:rsid w:val="116B3F5A"/>
    <w:rsid w:val="116E05D9"/>
    <w:rsid w:val="117A14B8"/>
    <w:rsid w:val="11902A8A"/>
    <w:rsid w:val="119105B0"/>
    <w:rsid w:val="11A2456B"/>
    <w:rsid w:val="11C664C7"/>
    <w:rsid w:val="11DD37F5"/>
    <w:rsid w:val="11EA3DE2"/>
    <w:rsid w:val="11EC25B2"/>
    <w:rsid w:val="11F70608"/>
    <w:rsid w:val="11FC1ECD"/>
    <w:rsid w:val="1206166C"/>
    <w:rsid w:val="120C5100"/>
    <w:rsid w:val="1212349F"/>
    <w:rsid w:val="12130FC5"/>
    <w:rsid w:val="123F1EBA"/>
    <w:rsid w:val="125442EE"/>
    <w:rsid w:val="126C5B32"/>
    <w:rsid w:val="128819B3"/>
    <w:rsid w:val="12905890"/>
    <w:rsid w:val="129739A4"/>
    <w:rsid w:val="1299771C"/>
    <w:rsid w:val="12E64E19"/>
    <w:rsid w:val="12F6691D"/>
    <w:rsid w:val="130F5C30"/>
    <w:rsid w:val="132316DC"/>
    <w:rsid w:val="13302052"/>
    <w:rsid w:val="13386B9D"/>
    <w:rsid w:val="134014CA"/>
    <w:rsid w:val="13431A4F"/>
    <w:rsid w:val="137E6912"/>
    <w:rsid w:val="137F2DB6"/>
    <w:rsid w:val="13854144"/>
    <w:rsid w:val="1398061D"/>
    <w:rsid w:val="139B2350"/>
    <w:rsid w:val="139B3968"/>
    <w:rsid w:val="13A72581"/>
    <w:rsid w:val="13BA4D3C"/>
    <w:rsid w:val="13D40C01"/>
    <w:rsid w:val="13ED21CB"/>
    <w:rsid w:val="14045069"/>
    <w:rsid w:val="140D119F"/>
    <w:rsid w:val="1459688F"/>
    <w:rsid w:val="145E0C1D"/>
    <w:rsid w:val="148A0A92"/>
    <w:rsid w:val="148F7029"/>
    <w:rsid w:val="14987CE5"/>
    <w:rsid w:val="149C26A6"/>
    <w:rsid w:val="14AB7BDB"/>
    <w:rsid w:val="14CA165F"/>
    <w:rsid w:val="14CC683D"/>
    <w:rsid w:val="14D60478"/>
    <w:rsid w:val="14D65B14"/>
    <w:rsid w:val="150177FB"/>
    <w:rsid w:val="15192D96"/>
    <w:rsid w:val="1521215C"/>
    <w:rsid w:val="15224038"/>
    <w:rsid w:val="15267261"/>
    <w:rsid w:val="154F0566"/>
    <w:rsid w:val="157961AD"/>
    <w:rsid w:val="157E709D"/>
    <w:rsid w:val="15AC7766"/>
    <w:rsid w:val="15C34A07"/>
    <w:rsid w:val="15DF4F69"/>
    <w:rsid w:val="15F341AC"/>
    <w:rsid w:val="15F5735F"/>
    <w:rsid w:val="16041DAB"/>
    <w:rsid w:val="161E6094"/>
    <w:rsid w:val="16285234"/>
    <w:rsid w:val="16292C4D"/>
    <w:rsid w:val="163112C6"/>
    <w:rsid w:val="1638724C"/>
    <w:rsid w:val="16571DC8"/>
    <w:rsid w:val="16637B18"/>
    <w:rsid w:val="16714784"/>
    <w:rsid w:val="167C182F"/>
    <w:rsid w:val="16CD208A"/>
    <w:rsid w:val="17343EB7"/>
    <w:rsid w:val="17397720"/>
    <w:rsid w:val="1745100D"/>
    <w:rsid w:val="17824D96"/>
    <w:rsid w:val="1789685D"/>
    <w:rsid w:val="17BC1808"/>
    <w:rsid w:val="17D2375D"/>
    <w:rsid w:val="17D30603"/>
    <w:rsid w:val="18267CA4"/>
    <w:rsid w:val="18272A70"/>
    <w:rsid w:val="182F165B"/>
    <w:rsid w:val="18551C83"/>
    <w:rsid w:val="186938C5"/>
    <w:rsid w:val="18787DD4"/>
    <w:rsid w:val="18925339"/>
    <w:rsid w:val="18AE7EA8"/>
    <w:rsid w:val="18BF4802"/>
    <w:rsid w:val="18CD45C3"/>
    <w:rsid w:val="19377C8F"/>
    <w:rsid w:val="193E7BB4"/>
    <w:rsid w:val="194D1DD0"/>
    <w:rsid w:val="199C5D44"/>
    <w:rsid w:val="19A04080"/>
    <w:rsid w:val="19A075E2"/>
    <w:rsid w:val="19AC3BF4"/>
    <w:rsid w:val="19C67B65"/>
    <w:rsid w:val="19DB0284"/>
    <w:rsid w:val="19F60525"/>
    <w:rsid w:val="19FC166F"/>
    <w:rsid w:val="1A02029D"/>
    <w:rsid w:val="1A371EEA"/>
    <w:rsid w:val="1A3751A7"/>
    <w:rsid w:val="1A3D4812"/>
    <w:rsid w:val="1A712403"/>
    <w:rsid w:val="1A750A6F"/>
    <w:rsid w:val="1A7F18ED"/>
    <w:rsid w:val="1A882EB6"/>
    <w:rsid w:val="1A937147"/>
    <w:rsid w:val="1A94409D"/>
    <w:rsid w:val="1AC911B9"/>
    <w:rsid w:val="1AD734D7"/>
    <w:rsid w:val="1B0922F9"/>
    <w:rsid w:val="1B222279"/>
    <w:rsid w:val="1B297B36"/>
    <w:rsid w:val="1B59056E"/>
    <w:rsid w:val="1B5C39DD"/>
    <w:rsid w:val="1B5E4AC6"/>
    <w:rsid w:val="1B6026FD"/>
    <w:rsid w:val="1B656D35"/>
    <w:rsid w:val="1B744D1D"/>
    <w:rsid w:val="1B850B5D"/>
    <w:rsid w:val="1BD9502D"/>
    <w:rsid w:val="1BDD0D7C"/>
    <w:rsid w:val="1BE060F1"/>
    <w:rsid w:val="1BE07A5B"/>
    <w:rsid w:val="1BEC22C9"/>
    <w:rsid w:val="1BF84071"/>
    <w:rsid w:val="1C071B9A"/>
    <w:rsid w:val="1C0876C1"/>
    <w:rsid w:val="1C0C6595"/>
    <w:rsid w:val="1C5E5533"/>
    <w:rsid w:val="1C6A22A8"/>
    <w:rsid w:val="1CA13D9D"/>
    <w:rsid w:val="1CC37DED"/>
    <w:rsid w:val="1CCA672A"/>
    <w:rsid w:val="1CCC6940"/>
    <w:rsid w:val="1CE220BC"/>
    <w:rsid w:val="1CF17068"/>
    <w:rsid w:val="1CFA525B"/>
    <w:rsid w:val="1D0C7E4A"/>
    <w:rsid w:val="1D107BC7"/>
    <w:rsid w:val="1D144693"/>
    <w:rsid w:val="1D28001A"/>
    <w:rsid w:val="1D3E261B"/>
    <w:rsid w:val="1D430BC1"/>
    <w:rsid w:val="1D48601C"/>
    <w:rsid w:val="1D5774B0"/>
    <w:rsid w:val="1D632E00"/>
    <w:rsid w:val="1D7D4FD2"/>
    <w:rsid w:val="1D7E06CB"/>
    <w:rsid w:val="1D9456B0"/>
    <w:rsid w:val="1DFF00DA"/>
    <w:rsid w:val="1E024F05"/>
    <w:rsid w:val="1E3A3A65"/>
    <w:rsid w:val="1E562FBB"/>
    <w:rsid w:val="1E5B7F7C"/>
    <w:rsid w:val="1E5C100C"/>
    <w:rsid w:val="1E796144"/>
    <w:rsid w:val="1E99779C"/>
    <w:rsid w:val="1ED11D27"/>
    <w:rsid w:val="1EF06916"/>
    <w:rsid w:val="1F03769D"/>
    <w:rsid w:val="1F46497D"/>
    <w:rsid w:val="1F6D47E7"/>
    <w:rsid w:val="1F775289"/>
    <w:rsid w:val="1F7757F9"/>
    <w:rsid w:val="1F792312"/>
    <w:rsid w:val="1F7A08D5"/>
    <w:rsid w:val="1F7A6B27"/>
    <w:rsid w:val="1F90634B"/>
    <w:rsid w:val="1F97078A"/>
    <w:rsid w:val="1F983710"/>
    <w:rsid w:val="1F9F3F6D"/>
    <w:rsid w:val="1FA662D8"/>
    <w:rsid w:val="1FB5222E"/>
    <w:rsid w:val="1FCB7383"/>
    <w:rsid w:val="1FD9384E"/>
    <w:rsid w:val="1FF73CD4"/>
    <w:rsid w:val="200B777F"/>
    <w:rsid w:val="200F0EA1"/>
    <w:rsid w:val="2025449E"/>
    <w:rsid w:val="204159CA"/>
    <w:rsid w:val="205B4263"/>
    <w:rsid w:val="20783067"/>
    <w:rsid w:val="20A218C5"/>
    <w:rsid w:val="20A85B6C"/>
    <w:rsid w:val="20AC5329"/>
    <w:rsid w:val="20B359AC"/>
    <w:rsid w:val="20BB2F53"/>
    <w:rsid w:val="20C53DD2"/>
    <w:rsid w:val="20C63871"/>
    <w:rsid w:val="20FA7F20"/>
    <w:rsid w:val="20FD531A"/>
    <w:rsid w:val="21087525"/>
    <w:rsid w:val="213F215E"/>
    <w:rsid w:val="214116AB"/>
    <w:rsid w:val="214F1D82"/>
    <w:rsid w:val="2155661B"/>
    <w:rsid w:val="21594D8A"/>
    <w:rsid w:val="21675A5C"/>
    <w:rsid w:val="216C53BD"/>
    <w:rsid w:val="21821CC3"/>
    <w:rsid w:val="21A56FE5"/>
    <w:rsid w:val="21B149F6"/>
    <w:rsid w:val="21D02A2F"/>
    <w:rsid w:val="21D60B72"/>
    <w:rsid w:val="21D94E53"/>
    <w:rsid w:val="21E11ABB"/>
    <w:rsid w:val="21E14C3C"/>
    <w:rsid w:val="21EF3DF0"/>
    <w:rsid w:val="21F762C9"/>
    <w:rsid w:val="22022632"/>
    <w:rsid w:val="220958A5"/>
    <w:rsid w:val="22121299"/>
    <w:rsid w:val="221A1EFC"/>
    <w:rsid w:val="22504F86"/>
    <w:rsid w:val="22673393"/>
    <w:rsid w:val="22747E60"/>
    <w:rsid w:val="228224A8"/>
    <w:rsid w:val="22881A1A"/>
    <w:rsid w:val="229A2CFA"/>
    <w:rsid w:val="229B4DEB"/>
    <w:rsid w:val="22B7176E"/>
    <w:rsid w:val="22D25040"/>
    <w:rsid w:val="22DD35F3"/>
    <w:rsid w:val="22E70030"/>
    <w:rsid w:val="22EF5136"/>
    <w:rsid w:val="2347158B"/>
    <w:rsid w:val="23523779"/>
    <w:rsid w:val="23977CA8"/>
    <w:rsid w:val="23CD36CA"/>
    <w:rsid w:val="23F1407A"/>
    <w:rsid w:val="23F724F4"/>
    <w:rsid w:val="23FB6C61"/>
    <w:rsid w:val="23FB7F3C"/>
    <w:rsid w:val="23FF584D"/>
    <w:rsid w:val="240E11A3"/>
    <w:rsid w:val="24264886"/>
    <w:rsid w:val="242A3FC1"/>
    <w:rsid w:val="242F6132"/>
    <w:rsid w:val="24450E0A"/>
    <w:rsid w:val="24533697"/>
    <w:rsid w:val="24547947"/>
    <w:rsid w:val="245506BD"/>
    <w:rsid w:val="2455546D"/>
    <w:rsid w:val="247037A0"/>
    <w:rsid w:val="24743B45"/>
    <w:rsid w:val="24765B0F"/>
    <w:rsid w:val="247C3929"/>
    <w:rsid w:val="249D5BAC"/>
    <w:rsid w:val="24CF1C50"/>
    <w:rsid w:val="24D553DF"/>
    <w:rsid w:val="24D64800"/>
    <w:rsid w:val="24D80578"/>
    <w:rsid w:val="24D91E5B"/>
    <w:rsid w:val="24DE2259"/>
    <w:rsid w:val="24F52525"/>
    <w:rsid w:val="24FD1ECA"/>
    <w:rsid w:val="2501777F"/>
    <w:rsid w:val="25115838"/>
    <w:rsid w:val="25170BD8"/>
    <w:rsid w:val="2519329A"/>
    <w:rsid w:val="251E525C"/>
    <w:rsid w:val="253439FF"/>
    <w:rsid w:val="25362534"/>
    <w:rsid w:val="25454984"/>
    <w:rsid w:val="254B165A"/>
    <w:rsid w:val="256F255E"/>
    <w:rsid w:val="25893620"/>
    <w:rsid w:val="258C3110"/>
    <w:rsid w:val="259C15A5"/>
    <w:rsid w:val="25D1198F"/>
    <w:rsid w:val="25DF76E4"/>
    <w:rsid w:val="25F61CFC"/>
    <w:rsid w:val="25F72C80"/>
    <w:rsid w:val="260C1DEF"/>
    <w:rsid w:val="261D6B1E"/>
    <w:rsid w:val="26231101"/>
    <w:rsid w:val="26296BB1"/>
    <w:rsid w:val="262F241A"/>
    <w:rsid w:val="26526108"/>
    <w:rsid w:val="26541E80"/>
    <w:rsid w:val="265B5FD7"/>
    <w:rsid w:val="26600EF4"/>
    <w:rsid w:val="2661634B"/>
    <w:rsid w:val="266F6408"/>
    <w:rsid w:val="26767C46"/>
    <w:rsid w:val="267C3148"/>
    <w:rsid w:val="2683543F"/>
    <w:rsid w:val="26A60202"/>
    <w:rsid w:val="26AF6674"/>
    <w:rsid w:val="26B717C9"/>
    <w:rsid w:val="26BC61D1"/>
    <w:rsid w:val="26E176A8"/>
    <w:rsid w:val="26E607F1"/>
    <w:rsid w:val="26F947D6"/>
    <w:rsid w:val="26FC6074"/>
    <w:rsid w:val="27217E7E"/>
    <w:rsid w:val="27247AA4"/>
    <w:rsid w:val="27377CE5"/>
    <w:rsid w:val="2758774E"/>
    <w:rsid w:val="275E1F95"/>
    <w:rsid w:val="27856487"/>
    <w:rsid w:val="27957D5B"/>
    <w:rsid w:val="27C2106B"/>
    <w:rsid w:val="27E47234"/>
    <w:rsid w:val="28180B0B"/>
    <w:rsid w:val="2826784C"/>
    <w:rsid w:val="282B3871"/>
    <w:rsid w:val="284B1B14"/>
    <w:rsid w:val="287A37C7"/>
    <w:rsid w:val="28832106"/>
    <w:rsid w:val="289A5974"/>
    <w:rsid w:val="28AB7F15"/>
    <w:rsid w:val="28B62AAD"/>
    <w:rsid w:val="28E50EB7"/>
    <w:rsid w:val="28EB63A0"/>
    <w:rsid w:val="28F61783"/>
    <w:rsid w:val="29292C02"/>
    <w:rsid w:val="292A697D"/>
    <w:rsid w:val="2951464A"/>
    <w:rsid w:val="295D104C"/>
    <w:rsid w:val="298725AC"/>
    <w:rsid w:val="298D1668"/>
    <w:rsid w:val="299E408D"/>
    <w:rsid w:val="29AF3953"/>
    <w:rsid w:val="29B82726"/>
    <w:rsid w:val="29B860D1"/>
    <w:rsid w:val="29BD69E0"/>
    <w:rsid w:val="29C0782D"/>
    <w:rsid w:val="29FA0F90"/>
    <w:rsid w:val="2A0E497A"/>
    <w:rsid w:val="2A186343"/>
    <w:rsid w:val="2A24600D"/>
    <w:rsid w:val="2A3E70CF"/>
    <w:rsid w:val="2A5B4479"/>
    <w:rsid w:val="2A6768C4"/>
    <w:rsid w:val="2A7A3B07"/>
    <w:rsid w:val="2A910646"/>
    <w:rsid w:val="2A930A9D"/>
    <w:rsid w:val="2A950CB9"/>
    <w:rsid w:val="2A9A62D0"/>
    <w:rsid w:val="2ACD4D73"/>
    <w:rsid w:val="2ADB2154"/>
    <w:rsid w:val="2AFE1A6D"/>
    <w:rsid w:val="2B22254D"/>
    <w:rsid w:val="2B231E21"/>
    <w:rsid w:val="2B5D3585"/>
    <w:rsid w:val="2B69017C"/>
    <w:rsid w:val="2B784EE9"/>
    <w:rsid w:val="2B927F0D"/>
    <w:rsid w:val="2BAA613D"/>
    <w:rsid w:val="2BEC6CCB"/>
    <w:rsid w:val="2BF65788"/>
    <w:rsid w:val="2BFC187E"/>
    <w:rsid w:val="2C0D7E5C"/>
    <w:rsid w:val="2C103CF1"/>
    <w:rsid w:val="2C376479"/>
    <w:rsid w:val="2C3B319A"/>
    <w:rsid w:val="2C3F36A7"/>
    <w:rsid w:val="2C6E157E"/>
    <w:rsid w:val="2C870B22"/>
    <w:rsid w:val="2CC118F2"/>
    <w:rsid w:val="2CC37FE9"/>
    <w:rsid w:val="2CC633AC"/>
    <w:rsid w:val="2CE675AA"/>
    <w:rsid w:val="2D173C07"/>
    <w:rsid w:val="2D2F2EE4"/>
    <w:rsid w:val="2D347B0A"/>
    <w:rsid w:val="2D3A58D6"/>
    <w:rsid w:val="2D3D29BB"/>
    <w:rsid w:val="2D486255"/>
    <w:rsid w:val="2D6631C8"/>
    <w:rsid w:val="2D6D1319"/>
    <w:rsid w:val="2D6E6317"/>
    <w:rsid w:val="2D9E1C33"/>
    <w:rsid w:val="2DAE631A"/>
    <w:rsid w:val="2DBB3CA7"/>
    <w:rsid w:val="2DC20777"/>
    <w:rsid w:val="2DE159F0"/>
    <w:rsid w:val="2E5549E7"/>
    <w:rsid w:val="2E6A2D37"/>
    <w:rsid w:val="2E8452CD"/>
    <w:rsid w:val="2E8E49F6"/>
    <w:rsid w:val="2E941D53"/>
    <w:rsid w:val="2EA36092"/>
    <w:rsid w:val="2EDA4FE6"/>
    <w:rsid w:val="2EDD2402"/>
    <w:rsid w:val="2EE20486"/>
    <w:rsid w:val="2EFF6995"/>
    <w:rsid w:val="2F0B154A"/>
    <w:rsid w:val="2F253CBE"/>
    <w:rsid w:val="2F330D61"/>
    <w:rsid w:val="2F345F77"/>
    <w:rsid w:val="2F356188"/>
    <w:rsid w:val="2F3F78CF"/>
    <w:rsid w:val="2F4131BE"/>
    <w:rsid w:val="2F622C67"/>
    <w:rsid w:val="2F6714F2"/>
    <w:rsid w:val="2F7E377C"/>
    <w:rsid w:val="2F7E6500"/>
    <w:rsid w:val="2F882B9B"/>
    <w:rsid w:val="2F886660"/>
    <w:rsid w:val="2F9A0DC7"/>
    <w:rsid w:val="2FC516F9"/>
    <w:rsid w:val="2FCC4AA7"/>
    <w:rsid w:val="2FE21F37"/>
    <w:rsid w:val="30556455"/>
    <w:rsid w:val="3062519A"/>
    <w:rsid w:val="306B6744"/>
    <w:rsid w:val="30731155"/>
    <w:rsid w:val="3073370F"/>
    <w:rsid w:val="3074587C"/>
    <w:rsid w:val="307A4007"/>
    <w:rsid w:val="30830EBF"/>
    <w:rsid w:val="30AE7873"/>
    <w:rsid w:val="30BD42C7"/>
    <w:rsid w:val="30BF0D0E"/>
    <w:rsid w:val="30BF2946"/>
    <w:rsid w:val="30D7142C"/>
    <w:rsid w:val="30D75B88"/>
    <w:rsid w:val="30E23F55"/>
    <w:rsid w:val="30F06C49"/>
    <w:rsid w:val="30F229C1"/>
    <w:rsid w:val="30F878AC"/>
    <w:rsid w:val="310C3B31"/>
    <w:rsid w:val="310E10C8"/>
    <w:rsid w:val="31330108"/>
    <w:rsid w:val="313C1E8F"/>
    <w:rsid w:val="314D4439"/>
    <w:rsid w:val="314E4A9B"/>
    <w:rsid w:val="31505000"/>
    <w:rsid w:val="31540F86"/>
    <w:rsid w:val="31615451"/>
    <w:rsid w:val="31737E9A"/>
    <w:rsid w:val="317C04DD"/>
    <w:rsid w:val="31A16195"/>
    <w:rsid w:val="31BB7D41"/>
    <w:rsid w:val="31C12233"/>
    <w:rsid w:val="31C65000"/>
    <w:rsid w:val="31C96C37"/>
    <w:rsid w:val="31E93831"/>
    <w:rsid w:val="320209E2"/>
    <w:rsid w:val="3227088E"/>
    <w:rsid w:val="32326DEE"/>
    <w:rsid w:val="323963CE"/>
    <w:rsid w:val="324D3F9F"/>
    <w:rsid w:val="325B4596"/>
    <w:rsid w:val="32643601"/>
    <w:rsid w:val="32935ADE"/>
    <w:rsid w:val="32A0644D"/>
    <w:rsid w:val="32A70BBD"/>
    <w:rsid w:val="32D00AE0"/>
    <w:rsid w:val="32E4633A"/>
    <w:rsid w:val="32EC21EC"/>
    <w:rsid w:val="32F3657D"/>
    <w:rsid w:val="33125DA3"/>
    <w:rsid w:val="33192C20"/>
    <w:rsid w:val="332B5D17"/>
    <w:rsid w:val="33353C62"/>
    <w:rsid w:val="333F5C66"/>
    <w:rsid w:val="33411803"/>
    <w:rsid w:val="33447B02"/>
    <w:rsid w:val="335C2374"/>
    <w:rsid w:val="335C312E"/>
    <w:rsid w:val="33736B4F"/>
    <w:rsid w:val="3390201E"/>
    <w:rsid w:val="33947D60"/>
    <w:rsid w:val="3398270F"/>
    <w:rsid w:val="33B514E0"/>
    <w:rsid w:val="33BB7290"/>
    <w:rsid w:val="33D66C78"/>
    <w:rsid w:val="341669C7"/>
    <w:rsid w:val="343D21A6"/>
    <w:rsid w:val="34586FDF"/>
    <w:rsid w:val="346534AA"/>
    <w:rsid w:val="34655258"/>
    <w:rsid w:val="349849ED"/>
    <w:rsid w:val="34B27C70"/>
    <w:rsid w:val="34B8629A"/>
    <w:rsid w:val="34B91A21"/>
    <w:rsid w:val="34C67823"/>
    <w:rsid w:val="34E87145"/>
    <w:rsid w:val="34F66E82"/>
    <w:rsid w:val="350A499E"/>
    <w:rsid w:val="351D5B33"/>
    <w:rsid w:val="35303AB8"/>
    <w:rsid w:val="35431D0C"/>
    <w:rsid w:val="35596572"/>
    <w:rsid w:val="355A28E3"/>
    <w:rsid w:val="356B1875"/>
    <w:rsid w:val="35B120D6"/>
    <w:rsid w:val="35BC17F0"/>
    <w:rsid w:val="35CC5591"/>
    <w:rsid w:val="35CE2F97"/>
    <w:rsid w:val="35DA41B4"/>
    <w:rsid w:val="35DC59EE"/>
    <w:rsid w:val="35EC611E"/>
    <w:rsid w:val="365A45CD"/>
    <w:rsid w:val="367250E2"/>
    <w:rsid w:val="3676374D"/>
    <w:rsid w:val="36785717"/>
    <w:rsid w:val="367B5655"/>
    <w:rsid w:val="36987B67"/>
    <w:rsid w:val="36B6519F"/>
    <w:rsid w:val="36B95B7D"/>
    <w:rsid w:val="36D466C5"/>
    <w:rsid w:val="37066B6F"/>
    <w:rsid w:val="37192F7B"/>
    <w:rsid w:val="371B4B3B"/>
    <w:rsid w:val="372431A9"/>
    <w:rsid w:val="37265173"/>
    <w:rsid w:val="37296998"/>
    <w:rsid w:val="373950A8"/>
    <w:rsid w:val="37490E61"/>
    <w:rsid w:val="375B5782"/>
    <w:rsid w:val="376D04B4"/>
    <w:rsid w:val="37797C09"/>
    <w:rsid w:val="378C3181"/>
    <w:rsid w:val="379A790F"/>
    <w:rsid w:val="37CF321E"/>
    <w:rsid w:val="37D43FC4"/>
    <w:rsid w:val="37E1553E"/>
    <w:rsid w:val="37F45271"/>
    <w:rsid w:val="38002007"/>
    <w:rsid w:val="382F35F4"/>
    <w:rsid w:val="38353C5D"/>
    <w:rsid w:val="383D3CFA"/>
    <w:rsid w:val="3845787B"/>
    <w:rsid w:val="38540A53"/>
    <w:rsid w:val="38892B83"/>
    <w:rsid w:val="38A852C0"/>
    <w:rsid w:val="38CD32BE"/>
    <w:rsid w:val="38D53B87"/>
    <w:rsid w:val="38F920BA"/>
    <w:rsid w:val="390F6270"/>
    <w:rsid w:val="391F631E"/>
    <w:rsid w:val="39203FFE"/>
    <w:rsid w:val="393940F0"/>
    <w:rsid w:val="394F7C57"/>
    <w:rsid w:val="395B7427"/>
    <w:rsid w:val="396D3661"/>
    <w:rsid w:val="399051FD"/>
    <w:rsid w:val="3996328E"/>
    <w:rsid w:val="39B060AA"/>
    <w:rsid w:val="39DD2003"/>
    <w:rsid w:val="39EC5A8B"/>
    <w:rsid w:val="39ED1F78"/>
    <w:rsid w:val="39F373D7"/>
    <w:rsid w:val="39F46A0E"/>
    <w:rsid w:val="39FD5831"/>
    <w:rsid w:val="3A0D261A"/>
    <w:rsid w:val="3A110275"/>
    <w:rsid w:val="3A1671D7"/>
    <w:rsid w:val="3A3C089A"/>
    <w:rsid w:val="3A483F91"/>
    <w:rsid w:val="3A4D2A17"/>
    <w:rsid w:val="3A4F678F"/>
    <w:rsid w:val="3A5244D1"/>
    <w:rsid w:val="3A850402"/>
    <w:rsid w:val="3A8A5A19"/>
    <w:rsid w:val="3A941228"/>
    <w:rsid w:val="3AAF36D1"/>
    <w:rsid w:val="3AB26D1E"/>
    <w:rsid w:val="3AC24C4F"/>
    <w:rsid w:val="3AC67378"/>
    <w:rsid w:val="3AC74DD7"/>
    <w:rsid w:val="3AEF7F72"/>
    <w:rsid w:val="3B2260F5"/>
    <w:rsid w:val="3B457B92"/>
    <w:rsid w:val="3B4A734E"/>
    <w:rsid w:val="3B4F1D7E"/>
    <w:rsid w:val="3B662838"/>
    <w:rsid w:val="3B672776"/>
    <w:rsid w:val="3B675D5A"/>
    <w:rsid w:val="3B8F2EAB"/>
    <w:rsid w:val="3BB03D80"/>
    <w:rsid w:val="3BB865B6"/>
    <w:rsid w:val="3BFD0E0B"/>
    <w:rsid w:val="3C1C6FFB"/>
    <w:rsid w:val="3C1E1306"/>
    <w:rsid w:val="3C2B076C"/>
    <w:rsid w:val="3C460D19"/>
    <w:rsid w:val="3C4B11D8"/>
    <w:rsid w:val="3C602B90"/>
    <w:rsid w:val="3C6A5B02"/>
    <w:rsid w:val="3CA43DEF"/>
    <w:rsid w:val="3CB11D10"/>
    <w:rsid w:val="3CE14843"/>
    <w:rsid w:val="3CEF48AF"/>
    <w:rsid w:val="3CF17FD1"/>
    <w:rsid w:val="3CFC12A3"/>
    <w:rsid w:val="3D1C4A33"/>
    <w:rsid w:val="3D38160C"/>
    <w:rsid w:val="3D4C3459"/>
    <w:rsid w:val="3D6F0EF6"/>
    <w:rsid w:val="3DB806C1"/>
    <w:rsid w:val="3DBE443F"/>
    <w:rsid w:val="3DCB6A74"/>
    <w:rsid w:val="3DEA67CE"/>
    <w:rsid w:val="3DF337C7"/>
    <w:rsid w:val="3E014244"/>
    <w:rsid w:val="3E0A4DD3"/>
    <w:rsid w:val="3E13220D"/>
    <w:rsid w:val="3E395981"/>
    <w:rsid w:val="3E48289A"/>
    <w:rsid w:val="3E5C04C3"/>
    <w:rsid w:val="3E5F4AE1"/>
    <w:rsid w:val="3E630A5B"/>
    <w:rsid w:val="3E7E5894"/>
    <w:rsid w:val="3E834C59"/>
    <w:rsid w:val="3E94330A"/>
    <w:rsid w:val="3EB43064"/>
    <w:rsid w:val="3EB70DA6"/>
    <w:rsid w:val="3ED01F47"/>
    <w:rsid w:val="3EE836F9"/>
    <w:rsid w:val="3F065387"/>
    <w:rsid w:val="3F3259AB"/>
    <w:rsid w:val="3F3423F7"/>
    <w:rsid w:val="3F8769CB"/>
    <w:rsid w:val="3F8F762D"/>
    <w:rsid w:val="3F943799"/>
    <w:rsid w:val="3F9D2B23"/>
    <w:rsid w:val="3FA56100"/>
    <w:rsid w:val="3FB03E4F"/>
    <w:rsid w:val="3FB8728E"/>
    <w:rsid w:val="3FE5376D"/>
    <w:rsid w:val="3FF84A53"/>
    <w:rsid w:val="4010128C"/>
    <w:rsid w:val="401F5849"/>
    <w:rsid w:val="402824E5"/>
    <w:rsid w:val="404B5A52"/>
    <w:rsid w:val="4080460F"/>
    <w:rsid w:val="408278BD"/>
    <w:rsid w:val="40860A30"/>
    <w:rsid w:val="40891C7B"/>
    <w:rsid w:val="408B3E1E"/>
    <w:rsid w:val="40A17CE4"/>
    <w:rsid w:val="40B03427"/>
    <w:rsid w:val="40BD4B6F"/>
    <w:rsid w:val="40C24AB5"/>
    <w:rsid w:val="40EF2A79"/>
    <w:rsid w:val="40FD20AE"/>
    <w:rsid w:val="41232FB4"/>
    <w:rsid w:val="412C782A"/>
    <w:rsid w:val="415B1EBD"/>
    <w:rsid w:val="419329F4"/>
    <w:rsid w:val="41943621"/>
    <w:rsid w:val="41B4781F"/>
    <w:rsid w:val="41BE04DA"/>
    <w:rsid w:val="41CA7EE7"/>
    <w:rsid w:val="41D94C19"/>
    <w:rsid w:val="41EA0EE1"/>
    <w:rsid w:val="42334BE8"/>
    <w:rsid w:val="42441C22"/>
    <w:rsid w:val="42562684"/>
    <w:rsid w:val="4280289D"/>
    <w:rsid w:val="428E1D86"/>
    <w:rsid w:val="4296707A"/>
    <w:rsid w:val="42A258CA"/>
    <w:rsid w:val="42AC04F6"/>
    <w:rsid w:val="42BF46CD"/>
    <w:rsid w:val="42C41CE4"/>
    <w:rsid w:val="42CF1209"/>
    <w:rsid w:val="42E36523"/>
    <w:rsid w:val="42E859D2"/>
    <w:rsid w:val="42FA1159"/>
    <w:rsid w:val="4303181B"/>
    <w:rsid w:val="43153EBD"/>
    <w:rsid w:val="431C406F"/>
    <w:rsid w:val="431F6F1A"/>
    <w:rsid w:val="4320516C"/>
    <w:rsid w:val="43374264"/>
    <w:rsid w:val="434F15AD"/>
    <w:rsid w:val="43506268"/>
    <w:rsid w:val="43640BCF"/>
    <w:rsid w:val="437614F2"/>
    <w:rsid w:val="43A824DD"/>
    <w:rsid w:val="43C27FD1"/>
    <w:rsid w:val="43DD443B"/>
    <w:rsid w:val="43EA577A"/>
    <w:rsid w:val="43F32881"/>
    <w:rsid w:val="44044A8E"/>
    <w:rsid w:val="440A3726"/>
    <w:rsid w:val="440F50C9"/>
    <w:rsid w:val="442D0A2C"/>
    <w:rsid w:val="44594A48"/>
    <w:rsid w:val="445B0426"/>
    <w:rsid w:val="445E0441"/>
    <w:rsid w:val="449B2EFB"/>
    <w:rsid w:val="449E1BD2"/>
    <w:rsid w:val="44A921F1"/>
    <w:rsid w:val="44BF2CE3"/>
    <w:rsid w:val="44D23B8B"/>
    <w:rsid w:val="44FF0108"/>
    <w:rsid w:val="450F36EA"/>
    <w:rsid w:val="45155EC1"/>
    <w:rsid w:val="454A2974"/>
    <w:rsid w:val="457F1EF2"/>
    <w:rsid w:val="459C6F06"/>
    <w:rsid w:val="45B13EEA"/>
    <w:rsid w:val="45C25E46"/>
    <w:rsid w:val="45DB184F"/>
    <w:rsid w:val="45E36BEB"/>
    <w:rsid w:val="45FE50C0"/>
    <w:rsid w:val="46026DAB"/>
    <w:rsid w:val="46080139"/>
    <w:rsid w:val="461007DB"/>
    <w:rsid w:val="462E53A5"/>
    <w:rsid w:val="4635683C"/>
    <w:rsid w:val="465D3F9B"/>
    <w:rsid w:val="465E7D59"/>
    <w:rsid w:val="466C691A"/>
    <w:rsid w:val="46777349"/>
    <w:rsid w:val="46A27C4C"/>
    <w:rsid w:val="46AC048A"/>
    <w:rsid w:val="46B5206F"/>
    <w:rsid w:val="46BB07EA"/>
    <w:rsid w:val="46C978C9"/>
    <w:rsid w:val="46F74436"/>
    <w:rsid w:val="46FC1976"/>
    <w:rsid w:val="470D5BFD"/>
    <w:rsid w:val="4710637A"/>
    <w:rsid w:val="4712301E"/>
    <w:rsid w:val="471575B4"/>
    <w:rsid w:val="474156B1"/>
    <w:rsid w:val="474C1ADF"/>
    <w:rsid w:val="475D3DA8"/>
    <w:rsid w:val="47621F27"/>
    <w:rsid w:val="477B5267"/>
    <w:rsid w:val="47D41743"/>
    <w:rsid w:val="47D76015"/>
    <w:rsid w:val="47D83151"/>
    <w:rsid w:val="48021CD3"/>
    <w:rsid w:val="48106AA0"/>
    <w:rsid w:val="48166B3E"/>
    <w:rsid w:val="4825013C"/>
    <w:rsid w:val="48295C97"/>
    <w:rsid w:val="48401E0D"/>
    <w:rsid w:val="485B46E2"/>
    <w:rsid w:val="486476C2"/>
    <w:rsid w:val="486E0728"/>
    <w:rsid w:val="48790E7B"/>
    <w:rsid w:val="488921E0"/>
    <w:rsid w:val="488A37E1"/>
    <w:rsid w:val="48906F55"/>
    <w:rsid w:val="489C35C3"/>
    <w:rsid w:val="48A759E8"/>
    <w:rsid w:val="48B46434"/>
    <w:rsid w:val="48BD4FB2"/>
    <w:rsid w:val="48D32C81"/>
    <w:rsid w:val="48DC5D1F"/>
    <w:rsid w:val="49314B41"/>
    <w:rsid w:val="4947352C"/>
    <w:rsid w:val="49697961"/>
    <w:rsid w:val="49AA19C3"/>
    <w:rsid w:val="49AF10F0"/>
    <w:rsid w:val="49C748B9"/>
    <w:rsid w:val="49CD147E"/>
    <w:rsid w:val="49F03866"/>
    <w:rsid w:val="4A065CCD"/>
    <w:rsid w:val="4A1946C3"/>
    <w:rsid w:val="4A5E5C7C"/>
    <w:rsid w:val="4A5F3688"/>
    <w:rsid w:val="4A7638C4"/>
    <w:rsid w:val="4A826376"/>
    <w:rsid w:val="4A8F089C"/>
    <w:rsid w:val="4AA448D5"/>
    <w:rsid w:val="4AAE7501"/>
    <w:rsid w:val="4AB03279"/>
    <w:rsid w:val="4AD52CE0"/>
    <w:rsid w:val="4ADE1947"/>
    <w:rsid w:val="4AE344F5"/>
    <w:rsid w:val="4AF501F4"/>
    <w:rsid w:val="4AFE6D04"/>
    <w:rsid w:val="4B271062"/>
    <w:rsid w:val="4B4A4417"/>
    <w:rsid w:val="4B516327"/>
    <w:rsid w:val="4B784D60"/>
    <w:rsid w:val="4B957606"/>
    <w:rsid w:val="4BD57C75"/>
    <w:rsid w:val="4BDC698D"/>
    <w:rsid w:val="4BE551A5"/>
    <w:rsid w:val="4C0E1ED4"/>
    <w:rsid w:val="4C417C1D"/>
    <w:rsid w:val="4C6A3AB2"/>
    <w:rsid w:val="4C6F486F"/>
    <w:rsid w:val="4C716A38"/>
    <w:rsid w:val="4C855CDE"/>
    <w:rsid w:val="4C8E3AA7"/>
    <w:rsid w:val="4C8F6EBF"/>
    <w:rsid w:val="4C994B17"/>
    <w:rsid w:val="4CA4490D"/>
    <w:rsid w:val="4CA743FD"/>
    <w:rsid w:val="4CD82614"/>
    <w:rsid w:val="4CF3569F"/>
    <w:rsid w:val="4CFA4C80"/>
    <w:rsid w:val="4D1D44CA"/>
    <w:rsid w:val="4D284D11"/>
    <w:rsid w:val="4D331F40"/>
    <w:rsid w:val="4D386F9E"/>
    <w:rsid w:val="4D4B0A94"/>
    <w:rsid w:val="4D646086"/>
    <w:rsid w:val="4D7560B4"/>
    <w:rsid w:val="4DB90697"/>
    <w:rsid w:val="4DBC513A"/>
    <w:rsid w:val="4DBF04DB"/>
    <w:rsid w:val="4DF72F6D"/>
    <w:rsid w:val="4E013DEC"/>
    <w:rsid w:val="4E01409F"/>
    <w:rsid w:val="4E1F52F5"/>
    <w:rsid w:val="4E223196"/>
    <w:rsid w:val="4E296532"/>
    <w:rsid w:val="4E300C55"/>
    <w:rsid w:val="4E3E1049"/>
    <w:rsid w:val="4E597784"/>
    <w:rsid w:val="4E6C5709"/>
    <w:rsid w:val="4E7233D6"/>
    <w:rsid w:val="4E742810"/>
    <w:rsid w:val="4E8567CB"/>
    <w:rsid w:val="4E9E163B"/>
    <w:rsid w:val="4EB42325"/>
    <w:rsid w:val="4EB82C6C"/>
    <w:rsid w:val="4EC05A55"/>
    <w:rsid w:val="4ED42D61"/>
    <w:rsid w:val="4EEF3376"/>
    <w:rsid w:val="4F1D4CB0"/>
    <w:rsid w:val="4F5B2639"/>
    <w:rsid w:val="4F7D06BB"/>
    <w:rsid w:val="4F893200"/>
    <w:rsid w:val="4F895E47"/>
    <w:rsid w:val="4F9E638B"/>
    <w:rsid w:val="4FAE35CC"/>
    <w:rsid w:val="4FBF7ABB"/>
    <w:rsid w:val="4FCB59BC"/>
    <w:rsid w:val="4FD23C92"/>
    <w:rsid w:val="4FE9447A"/>
    <w:rsid w:val="4FFE1A90"/>
    <w:rsid w:val="500537DC"/>
    <w:rsid w:val="50104A14"/>
    <w:rsid w:val="50160C19"/>
    <w:rsid w:val="50551061"/>
    <w:rsid w:val="506D4361"/>
    <w:rsid w:val="50765380"/>
    <w:rsid w:val="5089121D"/>
    <w:rsid w:val="508F110D"/>
    <w:rsid w:val="50B462AE"/>
    <w:rsid w:val="50EA2604"/>
    <w:rsid w:val="511353D5"/>
    <w:rsid w:val="513B6B8E"/>
    <w:rsid w:val="51493354"/>
    <w:rsid w:val="514D085C"/>
    <w:rsid w:val="51830618"/>
    <w:rsid w:val="518E5997"/>
    <w:rsid w:val="519D207E"/>
    <w:rsid w:val="519F5DF6"/>
    <w:rsid w:val="51A52CE0"/>
    <w:rsid w:val="51B64EEE"/>
    <w:rsid w:val="51B72AA2"/>
    <w:rsid w:val="51BD4961"/>
    <w:rsid w:val="51CA06C8"/>
    <w:rsid w:val="51D17EFB"/>
    <w:rsid w:val="51D54B38"/>
    <w:rsid w:val="51DC16DA"/>
    <w:rsid w:val="51EB2DE9"/>
    <w:rsid w:val="51F53C68"/>
    <w:rsid w:val="52102850"/>
    <w:rsid w:val="521F0CE5"/>
    <w:rsid w:val="52514BDE"/>
    <w:rsid w:val="5253273C"/>
    <w:rsid w:val="525564B4"/>
    <w:rsid w:val="525D5440"/>
    <w:rsid w:val="5281560E"/>
    <w:rsid w:val="52993FA0"/>
    <w:rsid w:val="52BE22AC"/>
    <w:rsid w:val="52D715BF"/>
    <w:rsid w:val="52E92F48"/>
    <w:rsid w:val="52F932E4"/>
    <w:rsid w:val="531B5950"/>
    <w:rsid w:val="532A7941"/>
    <w:rsid w:val="532F31A9"/>
    <w:rsid w:val="535213D6"/>
    <w:rsid w:val="53560736"/>
    <w:rsid w:val="536611E1"/>
    <w:rsid w:val="539179C0"/>
    <w:rsid w:val="53F87A3F"/>
    <w:rsid w:val="53FE0149"/>
    <w:rsid w:val="53FF6C8C"/>
    <w:rsid w:val="54140130"/>
    <w:rsid w:val="541F1866"/>
    <w:rsid w:val="543A1E06"/>
    <w:rsid w:val="543D5452"/>
    <w:rsid w:val="54464141"/>
    <w:rsid w:val="54482775"/>
    <w:rsid w:val="549A0AF6"/>
    <w:rsid w:val="549A4653"/>
    <w:rsid w:val="54B34F4D"/>
    <w:rsid w:val="54CD67D6"/>
    <w:rsid w:val="54F47E52"/>
    <w:rsid w:val="5507781B"/>
    <w:rsid w:val="55116052"/>
    <w:rsid w:val="555D68AC"/>
    <w:rsid w:val="556A116F"/>
    <w:rsid w:val="55772D59"/>
    <w:rsid w:val="55886BA1"/>
    <w:rsid w:val="55A4789C"/>
    <w:rsid w:val="55BD2CEE"/>
    <w:rsid w:val="55BF15E3"/>
    <w:rsid w:val="55CF496E"/>
    <w:rsid w:val="55DC5120"/>
    <w:rsid w:val="56042C43"/>
    <w:rsid w:val="5604436D"/>
    <w:rsid w:val="56142DFD"/>
    <w:rsid w:val="562B6AD1"/>
    <w:rsid w:val="563B3C13"/>
    <w:rsid w:val="564B24B5"/>
    <w:rsid w:val="56571D30"/>
    <w:rsid w:val="566C61FE"/>
    <w:rsid w:val="56A41D01"/>
    <w:rsid w:val="56BE0ACC"/>
    <w:rsid w:val="56BE1E53"/>
    <w:rsid w:val="56D025AE"/>
    <w:rsid w:val="56D114C7"/>
    <w:rsid w:val="56F62897"/>
    <w:rsid w:val="56F664B8"/>
    <w:rsid w:val="56F927B6"/>
    <w:rsid w:val="56FA5260"/>
    <w:rsid w:val="57212E09"/>
    <w:rsid w:val="572440FC"/>
    <w:rsid w:val="572A6D5E"/>
    <w:rsid w:val="573F05BA"/>
    <w:rsid w:val="575D06BD"/>
    <w:rsid w:val="575F7DAE"/>
    <w:rsid w:val="57664CC0"/>
    <w:rsid w:val="57772CA2"/>
    <w:rsid w:val="57890D94"/>
    <w:rsid w:val="579F4C22"/>
    <w:rsid w:val="57AA1051"/>
    <w:rsid w:val="57EC1669"/>
    <w:rsid w:val="57F329F7"/>
    <w:rsid w:val="582F707B"/>
    <w:rsid w:val="587673A6"/>
    <w:rsid w:val="587E2D09"/>
    <w:rsid w:val="588C69A8"/>
    <w:rsid w:val="589C5FA4"/>
    <w:rsid w:val="589D6554"/>
    <w:rsid w:val="58A90265"/>
    <w:rsid w:val="58AB5080"/>
    <w:rsid w:val="58B1385A"/>
    <w:rsid w:val="58CB61B6"/>
    <w:rsid w:val="58DF2F7C"/>
    <w:rsid w:val="58EE02C6"/>
    <w:rsid w:val="58F73494"/>
    <w:rsid w:val="590007D9"/>
    <w:rsid w:val="59396B30"/>
    <w:rsid w:val="59502BB5"/>
    <w:rsid w:val="59632FFE"/>
    <w:rsid w:val="59831B59"/>
    <w:rsid w:val="599B0EFC"/>
    <w:rsid w:val="59D800F7"/>
    <w:rsid w:val="59DB39BA"/>
    <w:rsid w:val="5A0B23F3"/>
    <w:rsid w:val="5A0B7533"/>
    <w:rsid w:val="5A421A14"/>
    <w:rsid w:val="5A447542"/>
    <w:rsid w:val="5A4F5EDF"/>
    <w:rsid w:val="5A5C57F2"/>
    <w:rsid w:val="5A5E3887"/>
    <w:rsid w:val="5A661C99"/>
    <w:rsid w:val="5A704CBB"/>
    <w:rsid w:val="5A7F0A61"/>
    <w:rsid w:val="5A81078E"/>
    <w:rsid w:val="5A8D6C47"/>
    <w:rsid w:val="5AC16DDD"/>
    <w:rsid w:val="5AD070C1"/>
    <w:rsid w:val="5AD42FAA"/>
    <w:rsid w:val="5AEE56F8"/>
    <w:rsid w:val="5AFA409D"/>
    <w:rsid w:val="5B21787C"/>
    <w:rsid w:val="5B3E0678"/>
    <w:rsid w:val="5B445318"/>
    <w:rsid w:val="5B7025B1"/>
    <w:rsid w:val="5BAF6C35"/>
    <w:rsid w:val="5BBC1352"/>
    <w:rsid w:val="5BD40D92"/>
    <w:rsid w:val="5BD5789F"/>
    <w:rsid w:val="5BD9090F"/>
    <w:rsid w:val="5BF44F90"/>
    <w:rsid w:val="5C106056"/>
    <w:rsid w:val="5C1E24BE"/>
    <w:rsid w:val="5C337BCD"/>
    <w:rsid w:val="5C4A7EDC"/>
    <w:rsid w:val="5C4C0D1A"/>
    <w:rsid w:val="5C4C28DC"/>
    <w:rsid w:val="5C68215C"/>
    <w:rsid w:val="5C71038F"/>
    <w:rsid w:val="5C7834CB"/>
    <w:rsid w:val="5C844364"/>
    <w:rsid w:val="5C846081"/>
    <w:rsid w:val="5C905670"/>
    <w:rsid w:val="5CC15B5F"/>
    <w:rsid w:val="5CCB5CF1"/>
    <w:rsid w:val="5CCC5468"/>
    <w:rsid w:val="5CE768A3"/>
    <w:rsid w:val="5D044C77"/>
    <w:rsid w:val="5D0E3E30"/>
    <w:rsid w:val="5D156F6C"/>
    <w:rsid w:val="5D3A2E77"/>
    <w:rsid w:val="5D55380D"/>
    <w:rsid w:val="5D681FCA"/>
    <w:rsid w:val="5D755C5D"/>
    <w:rsid w:val="5DCA2C97"/>
    <w:rsid w:val="5DCB7765"/>
    <w:rsid w:val="5DE057CC"/>
    <w:rsid w:val="5DE74E6C"/>
    <w:rsid w:val="5E061522"/>
    <w:rsid w:val="5E181225"/>
    <w:rsid w:val="5E1831B8"/>
    <w:rsid w:val="5E251756"/>
    <w:rsid w:val="5E2A2EEB"/>
    <w:rsid w:val="5E413D91"/>
    <w:rsid w:val="5E48511F"/>
    <w:rsid w:val="5E56172F"/>
    <w:rsid w:val="5E6463FD"/>
    <w:rsid w:val="5EA00F76"/>
    <w:rsid w:val="5EA52C18"/>
    <w:rsid w:val="5ECA62CC"/>
    <w:rsid w:val="5EF332DD"/>
    <w:rsid w:val="5F01496B"/>
    <w:rsid w:val="5F054C5F"/>
    <w:rsid w:val="5F156B78"/>
    <w:rsid w:val="5F196D9D"/>
    <w:rsid w:val="5F2E4839"/>
    <w:rsid w:val="5F4F1F11"/>
    <w:rsid w:val="5F5A5778"/>
    <w:rsid w:val="5F685A79"/>
    <w:rsid w:val="5F852EE4"/>
    <w:rsid w:val="5FB20544"/>
    <w:rsid w:val="5FF615BD"/>
    <w:rsid w:val="5FF73DBD"/>
    <w:rsid w:val="60314BD7"/>
    <w:rsid w:val="605C4EB2"/>
    <w:rsid w:val="609E64F5"/>
    <w:rsid w:val="60B32F19"/>
    <w:rsid w:val="60C33A12"/>
    <w:rsid w:val="61021EFD"/>
    <w:rsid w:val="61077514"/>
    <w:rsid w:val="6117377F"/>
    <w:rsid w:val="611C6D10"/>
    <w:rsid w:val="611D608F"/>
    <w:rsid w:val="612105D5"/>
    <w:rsid w:val="612C653A"/>
    <w:rsid w:val="61357BDD"/>
    <w:rsid w:val="61483047"/>
    <w:rsid w:val="615A41CF"/>
    <w:rsid w:val="616E30EF"/>
    <w:rsid w:val="617507DA"/>
    <w:rsid w:val="617E0582"/>
    <w:rsid w:val="618E3022"/>
    <w:rsid w:val="61A31CC6"/>
    <w:rsid w:val="61B9080E"/>
    <w:rsid w:val="61C077FB"/>
    <w:rsid w:val="61DC44FC"/>
    <w:rsid w:val="61F626B3"/>
    <w:rsid w:val="621C6CCD"/>
    <w:rsid w:val="62813431"/>
    <w:rsid w:val="628E61F9"/>
    <w:rsid w:val="62AB34E5"/>
    <w:rsid w:val="62B17737"/>
    <w:rsid w:val="62CF7BBD"/>
    <w:rsid w:val="62D9797D"/>
    <w:rsid w:val="62E634F0"/>
    <w:rsid w:val="62E81793"/>
    <w:rsid w:val="62F551E8"/>
    <w:rsid w:val="62FF66F4"/>
    <w:rsid w:val="630B6094"/>
    <w:rsid w:val="6329551F"/>
    <w:rsid w:val="632A1634"/>
    <w:rsid w:val="632F0F5F"/>
    <w:rsid w:val="63377F9B"/>
    <w:rsid w:val="63470334"/>
    <w:rsid w:val="63520F1A"/>
    <w:rsid w:val="635D1CCC"/>
    <w:rsid w:val="636C7B02"/>
    <w:rsid w:val="63725605"/>
    <w:rsid w:val="63864CA6"/>
    <w:rsid w:val="639A2821"/>
    <w:rsid w:val="63A36957"/>
    <w:rsid w:val="63F73101"/>
    <w:rsid w:val="64352BB8"/>
    <w:rsid w:val="643831FD"/>
    <w:rsid w:val="643C539A"/>
    <w:rsid w:val="644523A5"/>
    <w:rsid w:val="64550596"/>
    <w:rsid w:val="647A1DAB"/>
    <w:rsid w:val="647E642B"/>
    <w:rsid w:val="648273DA"/>
    <w:rsid w:val="648D5F82"/>
    <w:rsid w:val="64AA5F56"/>
    <w:rsid w:val="64B472D0"/>
    <w:rsid w:val="64CD1E40"/>
    <w:rsid w:val="64E9765C"/>
    <w:rsid w:val="64FB3EEB"/>
    <w:rsid w:val="652F2B95"/>
    <w:rsid w:val="653B59DE"/>
    <w:rsid w:val="65510D5D"/>
    <w:rsid w:val="655D6EB5"/>
    <w:rsid w:val="657F298D"/>
    <w:rsid w:val="658C7FF8"/>
    <w:rsid w:val="659D0447"/>
    <w:rsid w:val="65A668DB"/>
    <w:rsid w:val="65BB267B"/>
    <w:rsid w:val="65DD0D1D"/>
    <w:rsid w:val="66072780"/>
    <w:rsid w:val="660B7BD2"/>
    <w:rsid w:val="66230172"/>
    <w:rsid w:val="662621EA"/>
    <w:rsid w:val="66293A88"/>
    <w:rsid w:val="66340FE9"/>
    <w:rsid w:val="66432D9C"/>
    <w:rsid w:val="667A42E4"/>
    <w:rsid w:val="668E6073"/>
    <w:rsid w:val="66BE2423"/>
    <w:rsid w:val="66DD4BFF"/>
    <w:rsid w:val="66F75934"/>
    <w:rsid w:val="67002DA1"/>
    <w:rsid w:val="671D183F"/>
    <w:rsid w:val="67671477"/>
    <w:rsid w:val="67B14A07"/>
    <w:rsid w:val="67B3068B"/>
    <w:rsid w:val="67BC5917"/>
    <w:rsid w:val="67BE2C3D"/>
    <w:rsid w:val="67CA3655"/>
    <w:rsid w:val="67D24CA3"/>
    <w:rsid w:val="67DB3B8D"/>
    <w:rsid w:val="6804655B"/>
    <w:rsid w:val="681F2979"/>
    <w:rsid w:val="68205D9F"/>
    <w:rsid w:val="6825172E"/>
    <w:rsid w:val="6864524C"/>
    <w:rsid w:val="686C6B81"/>
    <w:rsid w:val="687C6569"/>
    <w:rsid w:val="68AA5354"/>
    <w:rsid w:val="68B2153B"/>
    <w:rsid w:val="68B87D1F"/>
    <w:rsid w:val="68BD763D"/>
    <w:rsid w:val="68C40DDA"/>
    <w:rsid w:val="68D26659"/>
    <w:rsid w:val="68D43BEA"/>
    <w:rsid w:val="68EA5751"/>
    <w:rsid w:val="68FD36D6"/>
    <w:rsid w:val="691602F4"/>
    <w:rsid w:val="692A0243"/>
    <w:rsid w:val="693015EC"/>
    <w:rsid w:val="693370F8"/>
    <w:rsid w:val="69751150"/>
    <w:rsid w:val="69976C4F"/>
    <w:rsid w:val="69A41DA4"/>
    <w:rsid w:val="69BA15C7"/>
    <w:rsid w:val="69C0779B"/>
    <w:rsid w:val="69E20222"/>
    <w:rsid w:val="69E71C90"/>
    <w:rsid w:val="69FC074D"/>
    <w:rsid w:val="6A064349"/>
    <w:rsid w:val="6A451B01"/>
    <w:rsid w:val="6A6438A0"/>
    <w:rsid w:val="6A6C07F5"/>
    <w:rsid w:val="6A7F636D"/>
    <w:rsid w:val="6A9E040D"/>
    <w:rsid w:val="6A9E4777"/>
    <w:rsid w:val="6AA36529"/>
    <w:rsid w:val="6AAB4E41"/>
    <w:rsid w:val="6AB51D8E"/>
    <w:rsid w:val="6AB812CC"/>
    <w:rsid w:val="6ABF42C2"/>
    <w:rsid w:val="6AD77F57"/>
    <w:rsid w:val="6ADE374B"/>
    <w:rsid w:val="6AF1726A"/>
    <w:rsid w:val="6B056872"/>
    <w:rsid w:val="6B122D3D"/>
    <w:rsid w:val="6B5C3DDE"/>
    <w:rsid w:val="6B61371B"/>
    <w:rsid w:val="6B730E18"/>
    <w:rsid w:val="6B9B334E"/>
    <w:rsid w:val="6BBD1330"/>
    <w:rsid w:val="6BCE4EB6"/>
    <w:rsid w:val="6BD55959"/>
    <w:rsid w:val="6C11464E"/>
    <w:rsid w:val="6C116E56"/>
    <w:rsid w:val="6C270A6A"/>
    <w:rsid w:val="6C42277F"/>
    <w:rsid w:val="6C69420F"/>
    <w:rsid w:val="6C755C79"/>
    <w:rsid w:val="6C77554D"/>
    <w:rsid w:val="6C7C0DB6"/>
    <w:rsid w:val="6C9E4211"/>
    <w:rsid w:val="6CAC567F"/>
    <w:rsid w:val="6CAE50C2"/>
    <w:rsid w:val="6CB26586"/>
    <w:rsid w:val="6CC22541"/>
    <w:rsid w:val="6D0C3AB7"/>
    <w:rsid w:val="6D0D7C60"/>
    <w:rsid w:val="6D286815"/>
    <w:rsid w:val="6D401DE3"/>
    <w:rsid w:val="6D473593"/>
    <w:rsid w:val="6D565056"/>
    <w:rsid w:val="6D6F26C8"/>
    <w:rsid w:val="6D960480"/>
    <w:rsid w:val="6D9F1046"/>
    <w:rsid w:val="6DB12CE1"/>
    <w:rsid w:val="6DB4632D"/>
    <w:rsid w:val="6DC52E64"/>
    <w:rsid w:val="6DD24A05"/>
    <w:rsid w:val="6E017173"/>
    <w:rsid w:val="6E2F3B21"/>
    <w:rsid w:val="6E7219BF"/>
    <w:rsid w:val="6E8A3003"/>
    <w:rsid w:val="6E8C6CAC"/>
    <w:rsid w:val="6E963D58"/>
    <w:rsid w:val="6EA939B8"/>
    <w:rsid w:val="6EB81A74"/>
    <w:rsid w:val="6ECB7DD2"/>
    <w:rsid w:val="6EDF387E"/>
    <w:rsid w:val="6EEB6121"/>
    <w:rsid w:val="6EFF182A"/>
    <w:rsid w:val="6F315814"/>
    <w:rsid w:val="6F343BCA"/>
    <w:rsid w:val="6F743FC6"/>
    <w:rsid w:val="6FC333AA"/>
    <w:rsid w:val="6FE70C3C"/>
    <w:rsid w:val="6FE86762"/>
    <w:rsid w:val="700D7F77"/>
    <w:rsid w:val="701B2694"/>
    <w:rsid w:val="70291255"/>
    <w:rsid w:val="704E4817"/>
    <w:rsid w:val="70561BAE"/>
    <w:rsid w:val="70651B61"/>
    <w:rsid w:val="707324D0"/>
    <w:rsid w:val="708837AD"/>
    <w:rsid w:val="70935658"/>
    <w:rsid w:val="709541F4"/>
    <w:rsid w:val="70A126C9"/>
    <w:rsid w:val="70B623BC"/>
    <w:rsid w:val="70B654FE"/>
    <w:rsid w:val="70EC06C9"/>
    <w:rsid w:val="70F1762E"/>
    <w:rsid w:val="70F93AF6"/>
    <w:rsid w:val="70F97E5D"/>
    <w:rsid w:val="71034277"/>
    <w:rsid w:val="71141CDD"/>
    <w:rsid w:val="713C59C5"/>
    <w:rsid w:val="715E187A"/>
    <w:rsid w:val="71805B23"/>
    <w:rsid w:val="71825D91"/>
    <w:rsid w:val="71896B48"/>
    <w:rsid w:val="71997D14"/>
    <w:rsid w:val="71A52B5D"/>
    <w:rsid w:val="71E91227"/>
    <w:rsid w:val="71F671BD"/>
    <w:rsid w:val="72005FE5"/>
    <w:rsid w:val="720D7D6F"/>
    <w:rsid w:val="722D51A9"/>
    <w:rsid w:val="723932A5"/>
    <w:rsid w:val="72541C23"/>
    <w:rsid w:val="7260300C"/>
    <w:rsid w:val="727F1E22"/>
    <w:rsid w:val="72810CBE"/>
    <w:rsid w:val="728C739B"/>
    <w:rsid w:val="729B7ABC"/>
    <w:rsid w:val="72A82F68"/>
    <w:rsid w:val="72BF37AA"/>
    <w:rsid w:val="72C651DC"/>
    <w:rsid w:val="72DA1F73"/>
    <w:rsid w:val="730247A7"/>
    <w:rsid w:val="73072584"/>
    <w:rsid w:val="730D3C17"/>
    <w:rsid w:val="733A0F3F"/>
    <w:rsid w:val="734819F2"/>
    <w:rsid w:val="73993574"/>
    <w:rsid w:val="73E07E7C"/>
    <w:rsid w:val="740766E9"/>
    <w:rsid w:val="742C11FC"/>
    <w:rsid w:val="744A1799"/>
    <w:rsid w:val="7460720F"/>
    <w:rsid w:val="7480766C"/>
    <w:rsid w:val="748702F8"/>
    <w:rsid w:val="74A54C22"/>
    <w:rsid w:val="74A74F98"/>
    <w:rsid w:val="74A810B1"/>
    <w:rsid w:val="74A94712"/>
    <w:rsid w:val="74C72DEA"/>
    <w:rsid w:val="74D13C69"/>
    <w:rsid w:val="74FD1653"/>
    <w:rsid w:val="752A6A88"/>
    <w:rsid w:val="754E4280"/>
    <w:rsid w:val="756E7076"/>
    <w:rsid w:val="75C9167D"/>
    <w:rsid w:val="75F41852"/>
    <w:rsid w:val="7625601A"/>
    <w:rsid w:val="762B4963"/>
    <w:rsid w:val="763400F7"/>
    <w:rsid w:val="765B1A3C"/>
    <w:rsid w:val="765E2443"/>
    <w:rsid w:val="76732BC1"/>
    <w:rsid w:val="76901B15"/>
    <w:rsid w:val="76916EF5"/>
    <w:rsid w:val="76960990"/>
    <w:rsid w:val="76A45779"/>
    <w:rsid w:val="76E84269"/>
    <w:rsid w:val="77373A16"/>
    <w:rsid w:val="77400C32"/>
    <w:rsid w:val="77477EDE"/>
    <w:rsid w:val="77683A60"/>
    <w:rsid w:val="77B533CE"/>
    <w:rsid w:val="77CD0717"/>
    <w:rsid w:val="77E6160F"/>
    <w:rsid w:val="77EA2BBB"/>
    <w:rsid w:val="77FA7D2A"/>
    <w:rsid w:val="781400F4"/>
    <w:rsid w:val="782C3CE2"/>
    <w:rsid w:val="78347A3A"/>
    <w:rsid w:val="784A1D68"/>
    <w:rsid w:val="78742A38"/>
    <w:rsid w:val="788A2064"/>
    <w:rsid w:val="788B412F"/>
    <w:rsid w:val="78911745"/>
    <w:rsid w:val="78B8251F"/>
    <w:rsid w:val="78DB3308"/>
    <w:rsid w:val="78DD03C5"/>
    <w:rsid w:val="78EF1A00"/>
    <w:rsid w:val="78EF290F"/>
    <w:rsid w:val="78F41CD4"/>
    <w:rsid w:val="78FC3213"/>
    <w:rsid w:val="79010C0C"/>
    <w:rsid w:val="791101D1"/>
    <w:rsid w:val="792F5AC9"/>
    <w:rsid w:val="793B34AF"/>
    <w:rsid w:val="795F33B3"/>
    <w:rsid w:val="796A2424"/>
    <w:rsid w:val="79960FDD"/>
    <w:rsid w:val="79A82CA9"/>
    <w:rsid w:val="79B25E17"/>
    <w:rsid w:val="79B330CB"/>
    <w:rsid w:val="79C24075"/>
    <w:rsid w:val="79C4251B"/>
    <w:rsid w:val="7A081EDB"/>
    <w:rsid w:val="7A26543A"/>
    <w:rsid w:val="7A2A055C"/>
    <w:rsid w:val="7A2B7977"/>
    <w:rsid w:val="7A2F6FE3"/>
    <w:rsid w:val="7A32045A"/>
    <w:rsid w:val="7A582DDB"/>
    <w:rsid w:val="7A933621"/>
    <w:rsid w:val="7A960B4F"/>
    <w:rsid w:val="7AB00F99"/>
    <w:rsid w:val="7AB416DC"/>
    <w:rsid w:val="7AC175FC"/>
    <w:rsid w:val="7AC34054"/>
    <w:rsid w:val="7ADC6EC3"/>
    <w:rsid w:val="7AE71AF0"/>
    <w:rsid w:val="7B041C55"/>
    <w:rsid w:val="7B183EF9"/>
    <w:rsid w:val="7B206E3D"/>
    <w:rsid w:val="7B22521E"/>
    <w:rsid w:val="7B250B46"/>
    <w:rsid w:val="7B4D16D2"/>
    <w:rsid w:val="7B6C24E3"/>
    <w:rsid w:val="7B7B492E"/>
    <w:rsid w:val="7B922396"/>
    <w:rsid w:val="7BC35796"/>
    <w:rsid w:val="7BDE26BA"/>
    <w:rsid w:val="7BF87D2D"/>
    <w:rsid w:val="7BFC2A96"/>
    <w:rsid w:val="7C1032C9"/>
    <w:rsid w:val="7C21443A"/>
    <w:rsid w:val="7C3A20F4"/>
    <w:rsid w:val="7C5733F0"/>
    <w:rsid w:val="7C5F74F0"/>
    <w:rsid w:val="7C611D76"/>
    <w:rsid w:val="7C686C61"/>
    <w:rsid w:val="7C692B09"/>
    <w:rsid w:val="7CAF699C"/>
    <w:rsid w:val="7CC75800"/>
    <w:rsid w:val="7CC75D21"/>
    <w:rsid w:val="7CDD2B93"/>
    <w:rsid w:val="7CE3096C"/>
    <w:rsid w:val="7CF16C56"/>
    <w:rsid w:val="7CFB2E61"/>
    <w:rsid w:val="7D0B6B1A"/>
    <w:rsid w:val="7D2D6FAE"/>
    <w:rsid w:val="7D423956"/>
    <w:rsid w:val="7D5706BC"/>
    <w:rsid w:val="7D5760E0"/>
    <w:rsid w:val="7D576182"/>
    <w:rsid w:val="7D7B29C4"/>
    <w:rsid w:val="7D814CF3"/>
    <w:rsid w:val="7D893333"/>
    <w:rsid w:val="7DCA21C2"/>
    <w:rsid w:val="7DF72BB9"/>
    <w:rsid w:val="7E057C96"/>
    <w:rsid w:val="7E0E21FC"/>
    <w:rsid w:val="7E130004"/>
    <w:rsid w:val="7E137240"/>
    <w:rsid w:val="7E146E8E"/>
    <w:rsid w:val="7E342C81"/>
    <w:rsid w:val="7E3C03A5"/>
    <w:rsid w:val="7E5C10FE"/>
    <w:rsid w:val="7E5C27F5"/>
    <w:rsid w:val="7E641C07"/>
    <w:rsid w:val="7E802F36"/>
    <w:rsid w:val="7E8C0116"/>
    <w:rsid w:val="7E8F2404"/>
    <w:rsid w:val="7E924469"/>
    <w:rsid w:val="7E92673D"/>
    <w:rsid w:val="7EA5419C"/>
    <w:rsid w:val="7EBC7738"/>
    <w:rsid w:val="7EC849B3"/>
    <w:rsid w:val="7EC907D7"/>
    <w:rsid w:val="7ECC64B0"/>
    <w:rsid w:val="7EDE76AE"/>
    <w:rsid w:val="7F023495"/>
    <w:rsid w:val="7F084B7D"/>
    <w:rsid w:val="7F0B37EE"/>
    <w:rsid w:val="7F0F41EB"/>
    <w:rsid w:val="7F3217A8"/>
    <w:rsid w:val="7F4157CE"/>
    <w:rsid w:val="7F444FB4"/>
    <w:rsid w:val="7F5009DC"/>
    <w:rsid w:val="7F531E4A"/>
    <w:rsid w:val="7F6E71FE"/>
    <w:rsid w:val="7FA17A89"/>
    <w:rsid w:val="7FA52F2A"/>
    <w:rsid w:val="7FAC155A"/>
    <w:rsid w:val="7FBC791E"/>
    <w:rsid w:val="7FC35AC6"/>
    <w:rsid w:val="7FC51F6A"/>
    <w:rsid w:val="7FCC2B42"/>
    <w:rsid w:val="7FEA0055"/>
    <w:rsid w:val="7FEB5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00" w:lineRule="exact"/>
      <w:ind w:firstLine="480" w:firstLineChars="200"/>
      <w:jc w:val="both"/>
    </w:pPr>
    <w:rPr>
      <w:rFonts w:ascii="Times New Roman" w:hAnsi="Times New Roman" w:eastAsia="宋体" w:cstheme="minorBidi"/>
      <w:color w:val="376092" w:themeColor="accent1" w:themeShade="BF"/>
      <w:kern w:val="2"/>
      <w:sz w:val="24"/>
      <w:szCs w:val="24"/>
      <w:lang w:val="en-US" w:eastAsia="zh-CN" w:bidi="ar-SA"/>
    </w:rPr>
  </w:style>
  <w:style w:type="paragraph" w:styleId="2">
    <w:name w:val="heading 1"/>
    <w:basedOn w:val="1"/>
    <w:next w:val="1"/>
    <w:autoRedefine/>
    <w:qFormat/>
    <w:uiPriority w:val="9"/>
    <w:pPr>
      <w:keepNext/>
      <w:keepLines/>
      <w:numPr>
        <w:ilvl w:val="0"/>
        <w:numId w:val="1"/>
      </w:numPr>
      <w:spacing w:before="50" w:beforeLines="50" w:after="50" w:afterLines="50" w:line="240" w:lineRule="auto"/>
      <w:ind w:firstLineChars="0"/>
      <w:jc w:val="center"/>
      <w:outlineLvl w:val="0"/>
    </w:pPr>
    <w:rPr>
      <w:rFonts w:ascii="Times New Roman" w:hAnsi="Times New Roman" w:eastAsia="华文细黑"/>
      <w:b/>
      <w:color w:val="000000" w:themeColor="text1"/>
      <w:kern w:val="44"/>
      <w:sz w:val="30"/>
      <w14:textFill>
        <w14:solidFill>
          <w14:schemeClr w14:val="tx1"/>
        </w14:solidFill>
      </w14:textFill>
    </w:rPr>
  </w:style>
  <w:style w:type="paragraph" w:styleId="3">
    <w:name w:val="heading 2"/>
    <w:basedOn w:val="1"/>
    <w:next w:val="1"/>
    <w:link w:val="32"/>
    <w:autoRedefine/>
    <w:unhideWhenUsed/>
    <w:qFormat/>
    <w:uiPriority w:val="9"/>
    <w:pPr>
      <w:keepNext/>
      <w:keepLines/>
      <w:numPr>
        <w:ilvl w:val="1"/>
        <w:numId w:val="1"/>
      </w:numPr>
      <w:adjustRightInd w:val="0"/>
      <w:spacing w:before="50" w:beforeLines="50" w:after="50" w:afterLines="50" w:line="240" w:lineRule="auto"/>
      <w:ind w:left="0" w:firstLine="480" w:firstLineChars="0"/>
      <w:jc w:val="center"/>
      <w:outlineLvl w:val="1"/>
    </w:pPr>
    <w:rPr>
      <w:rFonts w:ascii="Arial" w:hAnsi="Arial" w:eastAsia="华文细黑"/>
      <w:b/>
      <w:color w:val="000000" w:themeColor="text1"/>
      <w:sz w:val="28"/>
      <w14:textFill>
        <w14:solidFill>
          <w14:schemeClr w14:val="tx1"/>
        </w14:solidFill>
      </w14:textFill>
    </w:rPr>
  </w:style>
  <w:style w:type="paragraph" w:styleId="4">
    <w:name w:val="heading 3"/>
    <w:basedOn w:val="1"/>
    <w:next w:val="1"/>
    <w:link w:val="31"/>
    <w:autoRedefine/>
    <w:unhideWhenUsed/>
    <w:qFormat/>
    <w:uiPriority w:val="9"/>
    <w:pPr>
      <w:numPr>
        <w:ilvl w:val="2"/>
        <w:numId w:val="1"/>
      </w:numPr>
      <w:spacing w:before="35" w:beforeLines="35" w:line="400" w:lineRule="exact"/>
      <w:ind w:left="0" w:firstLineChars="0"/>
      <w:outlineLvl w:val="2"/>
    </w:pPr>
    <w:rPr>
      <w:rFonts w:ascii="宋体" w:hAnsi="宋体"/>
      <w:color w:val="000000" w:themeColor="text1"/>
      <w14:textFill>
        <w14:solidFill>
          <w14:schemeClr w14:val="tx1"/>
        </w14:solidFill>
      </w14:textFill>
    </w:rPr>
  </w:style>
  <w:style w:type="paragraph" w:styleId="5">
    <w:name w:val="heading 4"/>
    <w:basedOn w:val="1"/>
    <w:next w:val="1"/>
    <w:link w:val="30"/>
    <w:autoRedefine/>
    <w:unhideWhenUsed/>
    <w:qFormat/>
    <w:uiPriority w:val="9"/>
    <w:pPr>
      <w:ind w:firstLine="602"/>
      <w:outlineLvl w:val="3"/>
    </w:pPr>
  </w:style>
  <w:style w:type="paragraph" w:styleId="6">
    <w:name w:val="heading 5"/>
    <w:basedOn w:val="1"/>
    <w:next w:val="1"/>
    <w:link w:val="44"/>
    <w:autoRedefine/>
    <w:unhideWhenUsed/>
    <w:qFormat/>
    <w:uiPriority w:val="9"/>
    <w:pPr>
      <w:spacing w:line="400" w:lineRule="exact"/>
      <w:outlineLvl w:val="4"/>
    </w:pPr>
    <w:rPr>
      <w:color w:val="376092" w:themeColor="accent1" w:themeShade="BF"/>
    </w:rPr>
  </w:style>
  <w:style w:type="paragraph" w:styleId="7">
    <w:name w:val="heading 6"/>
    <w:basedOn w:val="1"/>
    <w:next w:val="1"/>
    <w:link w:val="47"/>
    <w:autoRedefine/>
    <w:unhideWhenUsed/>
    <w:qFormat/>
    <w:uiPriority w:val="9"/>
    <w:pPr>
      <w:ind w:firstLine="0" w:firstLineChars="0"/>
      <w:outlineLvl w:val="5"/>
    </w:pPr>
    <w:rPr>
      <w:rFonts w:ascii="Arial" w:hAnsi="Arial" w:eastAsia="黑体"/>
      <w:b/>
      <w:color w:val="C00000"/>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autoRedefine/>
    <w:unhideWhenUsed/>
    <w:qFormat/>
    <w:uiPriority w:val="39"/>
    <w:pPr>
      <w:spacing w:line="240" w:lineRule="auto"/>
      <w:ind w:left="2520" w:leftChars="1200" w:firstLine="0" w:firstLineChars="0"/>
    </w:pPr>
    <w:rPr>
      <w:rFonts w:asciiTheme="minorHAnsi" w:hAnsiTheme="minorHAnsi" w:eastAsiaTheme="minorEastAsia"/>
      <w:sz w:val="21"/>
      <w:szCs w:val="22"/>
      <w14:ligatures w14:val="standardContextual"/>
    </w:rPr>
  </w:style>
  <w:style w:type="paragraph" w:styleId="9">
    <w:name w:val="annotation text"/>
    <w:basedOn w:val="1"/>
    <w:autoRedefine/>
    <w:unhideWhenUsed/>
    <w:qFormat/>
    <w:uiPriority w:val="99"/>
    <w:pPr>
      <w:jc w:val="left"/>
    </w:pPr>
  </w:style>
  <w:style w:type="paragraph" w:styleId="10">
    <w:name w:val="toc 5"/>
    <w:basedOn w:val="1"/>
    <w:next w:val="1"/>
    <w:autoRedefine/>
    <w:unhideWhenUsed/>
    <w:qFormat/>
    <w:uiPriority w:val="39"/>
    <w:pPr>
      <w:spacing w:line="240" w:lineRule="auto"/>
      <w:ind w:left="1680" w:leftChars="800" w:firstLine="0" w:firstLineChars="0"/>
    </w:pPr>
    <w:rPr>
      <w:rFonts w:asciiTheme="minorHAnsi" w:hAnsiTheme="minorHAnsi" w:eastAsiaTheme="minorEastAsia"/>
      <w:sz w:val="21"/>
      <w:szCs w:val="22"/>
      <w14:ligatures w14:val="standardContextual"/>
    </w:rPr>
  </w:style>
  <w:style w:type="paragraph" w:styleId="11">
    <w:name w:val="toc 3"/>
    <w:basedOn w:val="1"/>
    <w:next w:val="1"/>
    <w:autoRedefine/>
    <w:unhideWhenUsed/>
    <w:qFormat/>
    <w:uiPriority w:val="39"/>
    <w:pPr>
      <w:spacing w:line="240" w:lineRule="auto"/>
      <w:ind w:left="840" w:leftChars="400" w:firstLine="0" w:firstLineChars="0"/>
    </w:pPr>
    <w:rPr>
      <w:rFonts w:asciiTheme="minorHAnsi" w:hAnsiTheme="minorHAnsi" w:eastAsiaTheme="minorEastAsia"/>
      <w:sz w:val="21"/>
      <w:szCs w:val="22"/>
      <w14:ligatures w14:val="standardContextual"/>
    </w:rPr>
  </w:style>
  <w:style w:type="paragraph" w:styleId="12">
    <w:name w:val="toc 8"/>
    <w:basedOn w:val="1"/>
    <w:next w:val="1"/>
    <w:autoRedefine/>
    <w:unhideWhenUsed/>
    <w:qFormat/>
    <w:uiPriority w:val="39"/>
    <w:pPr>
      <w:spacing w:line="240" w:lineRule="auto"/>
      <w:ind w:left="2940" w:leftChars="1400" w:firstLine="0" w:firstLineChars="0"/>
    </w:pPr>
    <w:rPr>
      <w:rFonts w:asciiTheme="minorHAnsi" w:hAnsiTheme="minorHAnsi" w:eastAsiaTheme="minorEastAsia"/>
      <w:sz w:val="21"/>
      <w:szCs w:val="22"/>
      <w14:ligatures w14:val="standardContextual"/>
    </w:rPr>
  </w:style>
  <w:style w:type="paragraph" w:styleId="13">
    <w:name w:val="Date"/>
    <w:basedOn w:val="1"/>
    <w:next w:val="1"/>
    <w:link w:val="42"/>
    <w:autoRedefine/>
    <w:semiHidden/>
    <w:unhideWhenUsed/>
    <w:qFormat/>
    <w:uiPriority w:val="99"/>
    <w:pPr>
      <w:ind w:left="100" w:leftChars="2500"/>
    </w:pPr>
  </w:style>
  <w:style w:type="paragraph" w:styleId="14">
    <w:name w:val="Balloon Text"/>
    <w:basedOn w:val="1"/>
    <w:link w:val="41"/>
    <w:autoRedefine/>
    <w:semiHidden/>
    <w:unhideWhenUsed/>
    <w:qFormat/>
    <w:uiPriority w:val="99"/>
    <w:rPr>
      <w:sz w:val="18"/>
      <w:szCs w:val="18"/>
    </w:rPr>
  </w:style>
  <w:style w:type="paragraph" w:styleId="15">
    <w:name w:val="footer"/>
    <w:basedOn w:val="1"/>
    <w:link w:val="34"/>
    <w:autoRedefine/>
    <w:unhideWhenUsed/>
    <w:qFormat/>
    <w:uiPriority w:val="99"/>
    <w:pPr>
      <w:tabs>
        <w:tab w:val="center" w:pos="4153"/>
        <w:tab w:val="right" w:pos="8306"/>
      </w:tabs>
      <w:snapToGrid w:val="0"/>
      <w:jc w:val="left"/>
    </w:pPr>
    <w:rPr>
      <w:sz w:val="18"/>
      <w:szCs w:val="18"/>
    </w:rPr>
  </w:style>
  <w:style w:type="paragraph" w:styleId="16">
    <w:name w:val="header"/>
    <w:basedOn w:val="1"/>
    <w:link w:val="3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style>
  <w:style w:type="paragraph" w:styleId="18">
    <w:name w:val="toc 4"/>
    <w:basedOn w:val="1"/>
    <w:next w:val="1"/>
    <w:autoRedefine/>
    <w:unhideWhenUsed/>
    <w:qFormat/>
    <w:uiPriority w:val="39"/>
    <w:pPr>
      <w:spacing w:line="240" w:lineRule="auto"/>
      <w:ind w:left="1260" w:leftChars="600" w:firstLine="0" w:firstLineChars="0"/>
    </w:pPr>
    <w:rPr>
      <w:rFonts w:asciiTheme="minorHAnsi" w:hAnsiTheme="minorHAnsi" w:eastAsiaTheme="minorEastAsia"/>
      <w:sz w:val="21"/>
      <w:szCs w:val="22"/>
      <w14:ligatures w14:val="standardContextual"/>
    </w:rPr>
  </w:style>
  <w:style w:type="paragraph" w:styleId="19">
    <w:name w:val="toc 6"/>
    <w:basedOn w:val="1"/>
    <w:next w:val="1"/>
    <w:autoRedefine/>
    <w:unhideWhenUsed/>
    <w:qFormat/>
    <w:uiPriority w:val="39"/>
    <w:pPr>
      <w:spacing w:line="240" w:lineRule="auto"/>
      <w:ind w:left="2100" w:leftChars="1000" w:firstLine="0" w:firstLineChars="0"/>
    </w:pPr>
    <w:rPr>
      <w:rFonts w:asciiTheme="minorHAnsi" w:hAnsiTheme="minorHAnsi" w:eastAsiaTheme="minorEastAsia"/>
      <w:sz w:val="21"/>
      <w:szCs w:val="22"/>
      <w14:ligatures w14:val="standardContextual"/>
    </w:rPr>
  </w:style>
  <w:style w:type="paragraph" w:styleId="20">
    <w:name w:val="toc 2"/>
    <w:basedOn w:val="1"/>
    <w:next w:val="1"/>
    <w:autoRedefine/>
    <w:unhideWhenUsed/>
    <w:qFormat/>
    <w:uiPriority w:val="39"/>
    <w:pPr>
      <w:ind w:left="420" w:leftChars="200"/>
    </w:pPr>
  </w:style>
  <w:style w:type="paragraph" w:styleId="21">
    <w:name w:val="toc 9"/>
    <w:basedOn w:val="1"/>
    <w:next w:val="1"/>
    <w:autoRedefine/>
    <w:unhideWhenUsed/>
    <w:qFormat/>
    <w:uiPriority w:val="39"/>
    <w:pPr>
      <w:spacing w:line="240" w:lineRule="auto"/>
      <w:ind w:left="3360" w:leftChars="1600" w:firstLine="0" w:firstLineChars="0"/>
    </w:pPr>
    <w:rPr>
      <w:rFonts w:asciiTheme="minorHAnsi" w:hAnsiTheme="minorHAnsi" w:eastAsiaTheme="minorEastAsia"/>
      <w:sz w:val="21"/>
      <w:szCs w:val="22"/>
      <w14:ligatures w14:val="standardContextual"/>
    </w:rPr>
  </w:style>
  <w:style w:type="paragraph" w:styleId="22">
    <w:name w:val="Normal (Web)"/>
    <w:basedOn w:val="1"/>
    <w:autoRedefine/>
    <w:unhideWhenUsed/>
    <w:qFormat/>
    <w:uiPriority w:val="99"/>
    <w:pPr>
      <w:widowControl/>
      <w:spacing w:before="100" w:beforeAutospacing="1" w:after="100" w:afterAutospacing="1"/>
      <w:jc w:val="left"/>
    </w:pPr>
    <w:rPr>
      <w:rFonts w:ascii="宋体" w:hAnsi="宋体" w:cs="宋体"/>
      <w:kern w:val="0"/>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FollowedHyperlink"/>
    <w:basedOn w:val="25"/>
    <w:autoRedefine/>
    <w:semiHidden/>
    <w:unhideWhenUsed/>
    <w:qFormat/>
    <w:uiPriority w:val="99"/>
    <w:rPr>
      <w:color w:val="0000CC"/>
      <w:sz w:val="22"/>
      <w:szCs w:val="22"/>
      <w:u w:val="single"/>
    </w:rPr>
  </w:style>
  <w:style w:type="character" w:styleId="28">
    <w:name w:val="Hyperlink"/>
    <w:basedOn w:val="25"/>
    <w:autoRedefine/>
    <w:unhideWhenUsed/>
    <w:qFormat/>
    <w:uiPriority w:val="99"/>
    <w:rPr>
      <w:color w:val="0000FF" w:themeColor="hyperlink"/>
      <w:u w:val="single"/>
      <w14:textFill>
        <w14:solidFill>
          <w14:schemeClr w14:val="hlink"/>
        </w14:solidFill>
      </w14:textFill>
    </w:rPr>
  </w:style>
  <w:style w:type="character" w:styleId="29">
    <w:name w:val="annotation reference"/>
    <w:autoRedefine/>
    <w:unhideWhenUsed/>
    <w:qFormat/>
    <w:uiPriority w:val="99"/>
    <w:rPr>
      <w:sz w:val="21"/>
      <w:szCs w:val="21"/>
    </w:rPr>
  </w:style>
  <w:style w:type="character" w:customStyle="1" w:styleId="30">
    <w:name w:val="标题 4 Char"/>
    <w:link w:val="5"/>
    <w:autoRedefine/>
    <w:qFormat/>
    <w:uiPriority w:val="9"/>
  </w:style>
  <w:style w:type="character" w:customStyle="1" w:styleId="31">
    <w:name w:val="标题 3 Char"/>
    <w:link w:val="4"/>
    <w:autoRedefine/>
    <w:qFormat/>
    <w:uiPriority w:val="9"/>
    <w:rPr>
      <w:rFonts w:ascii="宋体" w:hAnsi="宋体" w:eastAsia="宋体"/>
      <w:color w:val="000000" w:themeColor="text1"/>
      <w14:textFill>
        <w14:solidFill>
          <w14:schemeClr w14:val="tx1"/>
        </w14:solidFill>
      </w14:textFill>
    </w:rPr>
  </w:style>
  <w:style w:type="character" w:customStyle="1" w:styleId="32">
    <w:name w:val="标题 2 Char"/>
    <w:link w:val="3"/>
    <w:autoRedefine/>
    <w:qFormat/>
    <w:uiPriority w:val="9"/>
    <w:rPr>
      <w:rFonts w:ascii="Arial" w:hAnsi="Arial" w:eastAsia="华文细黑"/>
      <w:b/>
      <w:color w:val="000000" w:themeColor="text1"/>
      <w:sz w:val="28"/>
      <w14:textFill>
        <w14:solidFill>
          <w14:schemeClr w14:val="tx1"/>
        </w14:solidFill>
      </w14:textFill>
    </w:rPr>
  </w:style>
  <w:style w:type="character" w:customStyle="1" w:styleId="33">
    <w:name w:val="页眉 Char"/>
    <w:basedOn w:val="25"/>
    <w:link w:val="16"/>
    <w:autoRedefine/>
    <w:qFormat/>
    <w:uiPriority w:val="99"/>
    <w:rPr>
      <w:sz w:val="18"/>
      <w:szCs w:val="18"/>
    </w:rPr>
  </w:style>
  <w:style w:type="character" w:customStyle="1" w:styleId="34">
    <w:name w:val="页脚 Char"/>
    <w:basedOn w:val="25"/>
    <w:link w:val="15"/>
    <w:autoRedefine/>
    <w:qFormat/>
    <w:uiPriority w:val="99"/>
    <w:rPr>
      <w:sz w:val="18"/>
      <w:szCs w:val="18"/>
    </w:rPr>
  </w:style>
  <w:style w:type="paragraph" w:customStyle="1" w:styleId="35">
    <w:name w:val="二级标题"/>
    <w:basedOn w:val="1"/>
    <w:next w:val="1"/>
    <w:autoRedefine/>
    <w:qFormat/>
    <w:uiPriority w:val="0"/>
    <w:pPr>
      <w:tabs>
        <w:tab w:val="left" w:pos="312"/>
      </w:tabs>
      <w:outlineLvl w:val="1"/>
    </w:pPr>
    <w:rPr>
      <w:rFonts w:cs="Times New Roman"/>
      <w:b/>
    </w:rPr>
  </w:style>
  <w:style w:type="paragraph" w:customStyle="1" w:styleId="36">
    <w:name w:val="三级条标题"/>
    <w:basedOn w:val="1"/>
    <w:next w:val="1"/>
    <w:autoRedefine/>
    <w:qFormat/>
    <w:uiPriority w:val="0"/>
    <w:pPr>
      <w:widowControl/>
      <w:jc w:val="left"/>
      <w:outlineLvl w:val="4"/>
    </w:pPr>
    <w:rPr>
      <w:rFonts w:ascii="黑体" w:eastAsia="黑体" w:cs="Times New Roman"/>
      <w:szCs w:val="20"/>
    </w:rPr>
  </w:style>
  <w:style w:type="character" w:customStyle="1" w:styleId="37">
    <w:name w:val="一级条标题 Char"/>
    <w:link w:val="38"/>
    <w:autoRedefine/>
    <w:qFormat/>
    <w:uiPriority w:val="0"/>
    <w:rPr>
      <w:rFonts w:ascii="黑体" w:hAnsi="宋体" w:eastAsia="黑体"/>
      <w:b/>
    </w:rPr>
  </w:style>
  <w:style w:type="paragraph" w:customStyle="1" w:styleId="38">
    <w:name w:val="一级条标题"/>
    <w:next w:val="39"/>
    <w:link w:val="37"/>
    <w:autoRedefine/>
    <w:qFormat/>
    <w:uiPriority w:val="0"/>
    <w:pPr>
      <w:tabs>
        <w:tab w:val="left" w:pos="420"/>
      </w:tabs>
      <w:spacing w:afterLines="50"/>
      <w:ind w:left="425" w:hanging="425"/>
      <w:outlineLvl w:val="2"/>
    </w:pPr>
    <w:rPr>
      <w:rFonts w:ascii="黑体" w:hAnsi="宋体" w:eastAsia="黑体" w:cstheme="minorBidi"/>
      <w:b/>
      <w:kern w:val="2"/>
      <w:sz w:val="21"/>
      <w:szCs w:val="22"/>
      <w:lang w:val="en-US" w:eastAsia="zh-CN" w:bidi="ar-SA"/>
    </w:rPr>
  </w:style>
  <w:style w:type="paragraph" w:customStyle="1" w:styleId="39">
    <w:name w:val="段"/>
    <w:autoRedefine/>
    <w:qFormat/>
    <w:uiPriority w:val="0"/>
    <w:pPr>
      <w:autoSpaceDE w:val="0"/>
      <w:autoSpaceDN w:val="0"/>
      <w:ind w:firstLine="420"/>
      <w:jc w:val="both"/>
    </w:pPr>
    <w:rPr>
      <w:rFonts w:ascii="宋体" w:hAnsi="Times New Roman" w:eastAsia="宋体" w:cs="Times New Roman"/>
      <w:sz w:val="21"/>
      <w:szCs w:val="24"/>
      <w:lang w:val="en-US" w:eastAsia="zh-CN" w:bidi="ar-SA"/>
    </w:rPr>
  </w:style>
  <w:style w:type="character" w:customStyle="1" w:styleId="40">
    <w:name w:val="font121"/>
    <w:basedOn w:val="25"/>
    <w:autoRedefine/>
    <w:qFormat/>
    <w:uiPriority w:val="0"/>
    <w:rPr>
      <w:rFonts w:ascii="Calibri" w:hAnsi="Calibri" w:cs="Calibri"/>
      <w:color w:val="000000"/>
      <w:sz w:val="28"/>
      <w:szCs w:val="28"/>
      <w:u w:val="none"/>
    </w:rPr>
  </w:style>
  <w:style w:type="character" w:customStyle="1" w:styleId="41">
    <w:name w:val="批注框文本 Char"/>
    <w:basedOn w:val="25"/>
    <w:link w:val="14"/>
    <w:autoRedefine/>
    <w:semiHidden/>
    <w:qFormat/>
    <w:uiPriority w:val="99"/>
    <w:rPr>
      <w:sz w:val="18"/>
      <w:szCs w:val="18"/>
    </w:rPr>
  </w:style>
  <w:style w:type="character" w:customStyle="1" w:styleId="42">
    <w:name w:val="日期 Char"/>
    <w:basedOn w:val="25"/>
    <w:link w:val="13"/>
    <w:autoRedefine/>
    <w:semiHidden/>
    <w:qFormat/>
    <w:uiPriority w:val="99"/>
  </w:style>
  <w:style w:type="paragraph" w:customStyle="1" w:styleId="43">
    <w:name w:val="Default"/>
    <w:autoRedefine/>
    <w:qFormat/>
    <w:uiPriority w:val="99"/>
    <w:pPr>
      <w:widowControl w:val="0"/>
      <w:autoSpaceDE w:val="0"/>
      <w:autoSpaceDN w:val="0"/>
      <w:adjustRightInd w:val="0"/>
      <w:jc w:val="both"/>
    </w:pPr>
    <w:rPr>
      <w:rFonts w:ascii="宋体" w:eastAsia="宋体" w:cs="宋体" w:hAnsiTheme="minorHAnsi"/>
      <w:color w:val="000000"/>
      <w:sz w:val="24"/>
      <w:szCs w:val="24"/>
      <w:lang w:val="en-US" w:eastAsia="zh-CN" w:bidi="ar-SA"/>
    </w:rPr>
  </w:style>
  <w:style w:type="character" w:customStyle="1" w:styleId="44">
    <w:name w:val="标题 5 Char"/>
    <w:link w:val="6"/>
    <w:autoRedefine/>
    <w:qFormat/>
    <w:uiPriority w:val="9"/>
    <w:rPr>
      <w:rFonts w:ascii="Times New Roman" w:hAnsi="Times New Roman" w:eastAsia="宋体"/>
      <w:color w:val="376092" w:themeColor="accent1" w:themeShade="BF"/>
      <w:sz w:val="24"/>
    </w:rPr>
  </w:style>
  <w:style w:type="paragraph" w:customStyle="1" w:styleId="45">
    <w:name w:val="正文2"/>
    <w:basedOn w:val="1"/>
    <w:autoRedefine/>
    <w:qFormat/>
    <w:uiPriority w:val="0"/>
    <w:pPr>
      <w:ind w:firstLine="200"/>
    </w:pPr>
  </w:style>
  <w:style w:type="paragraph" w:styleId="46">
    <w:name w:val="List Paragraph"/>
    <w:basedOn w:val="1"/>
    <w:autoRedefine/>
    <w:qFormat/>
    <w:uiPriority w:val="99"/>
    <w:pPr>
      <w:ind w:firstLine="420"/>
    </w:pPr>
  </w:style>
  <w:style w:type="character" w:customStyle="1" w:styleId="47">
    <w:name w:val="标题 6 Char"/>
    <w:link w:val="7"/>
    <w:autoRedefine/>
    <w:qFormat/>
    <w:uiPriority w:val="0"/>
    <w:rPr>
      <w:rFonts w:ascii="Arial" w:hAnsi="Arial" w:eastAsia="黑体"/>
      <w:b/>
      <w:color w:val="C00000"/>
    </w:rPr>
  </w:style>
  <w:style w:type="character" w:customStyle="1" w:styleId="48">
    <w:name w:val="未处理的提及1"/>
    <w:basedOn w:val="25"/>
    <w:autoRedefine/>
    <w:semiHidden/>
    <w:unhideWhenUsed/>
    <w:qFormat/>
    <w:uiPriority w:val="99"/>
    <w:rPr>
      <w:color w:val="605E5C"/>
      <w:shd w:val="clear" w:color="auto" w:fill="E1DFDD"/>
    </w:rPr>
  </w:style>
  <w:style w:type="character" w:customStyle="1" w:styleId="49">
    <w:name w:val="fontstyle01"/>
    <w:basedOn w:val="25"/>
    <w:autoRedefine/>
    <w:qFormat/>
    <w:uiPriority w:val="0"/>
    <w:rPr>
      <w:rFonts w:hint="eastAsia" w:ascii="宋体" w:hAnsi="宋体" w:eastAsia="宋体"/>
      <w:color w:val="000000"/>
      <w:sz w:val="24"/>
      <w:szCs w:val="24"/>
    </w:rPr>
  </w:style>
  <w:style w:type="character" w:customStyle="1" w:styleId="50">
    <w:name w:val="fontstyle21"/>
    <w:basedOn w:val="25"/>
    <w:autoRedefine/>
    <w:qFormat/>
    <w:uiPriority w:val="0"/>
    <w:rPr>
      <w:rFonts w:hint="default" w:ascii="TimesNewRomanPSMT" w:hAnsi="TimesNewRomanPSMT"/>
      <w:color w:val="000000"/>
      <w:sz w:val="24"/>
      <w:szCs w:val="24"/>
    </w:rPr>
  </w:style>
  <w:style w:type="character" w:customStyle="1" w:styleId="51">
    <w:name w:val="fontstyle11"/>
    <w:basedOn w:val="25"/>
    <w:autoRedefine/>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79F8AA-F165-45A0-8984-F283C1034D54}">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25551</Words>
  <Characters>26973</Characters>
  <Lines>158</Lines>
  <Paragraphs>44</Paragraphs>
  <TotalTime>4</TotalTime>
  <ScaleCrop>false</ScaleCrop>
  <LinksUpToDate>false</LinksUpToDate>
  <CharactersWithSpaces>27791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2023-05-31T15:40:00Z</dcterms:created>
  <dc:creator>罗广川</dc:creator>
  <cp:lastModifiedBy>SSC</cp:lastModifiedBy>
  <cp:lastPrinted>2023-09-26T14:50:00Z</cp:lastPrinted>
  <dcterms:modified xsi:type="dcterms:W3CDTF">2026-02-27T03:07:07Z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ED76533F42974FEC83E77FD783CAE055_13</vt:lpwstr>
  </property>
  <property fmtid="{D5CDD505-2E9C-101B-9397-08002B2CF9AE}" pid="4" name="KSOTemplateDocerSaveRecord">
    <vt:lpwstr>eyJoZGlkIjoiYmEyM2MzYmE4NTEyYTE4Mzg5YzkzY2Y3ZTY2MTdhOTgiLCJ1c2VySWQiOiIyMjUyNzQ5NTIifQ==</vt:lpwstr>
  </property>
</Properties>
</file>