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462FE">
      <w:pPr>
        <w:ind w:firstLine="1330" w:firstLineChars="350"/>
        <w:rPr>
          <w:rFonts w:hint="default" w:ascii="Times New Roman" w:hAnsi="Times New Roman" w:cs="Times New Roman"/>
          <w:color w:val="000000" w:themeColor="text1"/>
          <w:spacing w:val="30"/>
          <w:sz w:val="32"/>
          <w:u w:val="none"/>
          <w14:textFill>
            <w14:solidFill>
              <w14:schemeClr w14:val="tx1"/>
            </w14:solidFill>
          </w14:textFill>
        </w:rPr>
      </w:pPr>
      <w:r>
        <w:rPr>
          <w:rFonts w:hint="default" w:ascii="Times New Roman" w:hAnsi="Times New Roman" w:cs="Times New Roman"/>
          <w:color w:val="000000" w:themeColor="text1"/>
          <w:spacing w:val="30"/>
          <w:sz w:val="32"/>
          <w:u w:val="none"/>
          <w14:textFill>
            <w14:solidFill>
              <w14:schemeClr w14:val="tx1"/>
            </w14:solidFill>
          </w14:textFill>
        </w:rPr>
        <w:t>云南省工程建设地方标准</w:t>
      </w:r>
      <w:bookmarkStart w:id="0" w:name="_Toc293314706"/>
      <w:r>
        <w:rPr>
          <w:rFonts w:hint="default" w:ascii="Times New Roman" w:hAnsi="Times New Roman" w:cs="Times New Roman"/>
          <w:color w:val="000000" w:themeColor="text1"/>
          <w:spacing w:val="30"/>
          <w:sz w:val="32"/>
          <w:u w:val="none"/>
          <w14:textFill>
            <w14:solidFill>
              <w14:schemeClr w14:val="tx1"/>
            </w14:solidFill>
          </w14:textFill>
        </w:rPr>
        <w:t xml:space="preserve">    </w:t>
      </w:r>
      <w:r>
        <w:rPr>
          <w:rFonts w:hint="default" w:ascii="Times New Roman" w:hAnsi="Times New Roman" w:cs="Times New Roman"/>
          <w:color w:val="000000" w:themeColor="text1"/>
          <w:sz w:val="84"/>
          <w:szCs w:val="84"/>
          <w:u w:val="none"/>
          <w14:textFill>
            <w14:solidFill>
              <w14:schemeClr w14:val="tx1"/>
            </w14:solidFill>
          </w14:textFill>
        </w:rPr>
        <w:t>DB</w:t>
      </w:r>
      <w:bookmarkEnd w:id="0"/>
    </w:p>
    <w:p w14:paraId="38F7797F">
      <w:pPr>
        <w:jc w:val="center"/>
        <w:rPr>
          <w:rFonts w:hint="default" w:ascii="Times New Roman" w:hAnsi="Times New Roman" w:cs="Times New Roman"/>
          <w:color w:val="000000" w:themeColor="text1"/>
          <w:sz w:val="28"/>
          <w:szCs w:val="28"/>
          <w:u w:val="none"/>
          <w14:textFill>
            <w14:solidFill>
              <w14:schemeClr w14:val="tx1"/>
            </w14:solidFill>
          </w14:textFill>
        </w:rPr>
      </w:pPr>
      <w:bookmarkStart w:id="1" w:name="_Toc407261966"/>
      <w:bookmarkStart w:id="2" w:name="_Toc405366235"/>
      <w:bookmarkStart w:id="3" w:name="_Toc407697997"/>
      <w:r>
        <w:rPr>
          <w:rFonts w:hint="default" w:ascii="Times New Roman" w:hAnsi="Times New Roman" w:cs="Times New Roman"/>
          <w:color w:val="000000" w:themeColor="text1"/>
          <w:sz w:val="28"/>
          <w:szCs w:val="28"/>
          <w:u w:val="none"/>
          <w14:textFill>
            <w14:solidFill>
              <w14:schemeClr w14:val="tx1"/>
            </w14:solidFill>
          </w14:textFill>
        </w:rPr>
        <w:t xml:space="preserve">                  </w:t>
      </w:r>
    </w:p>
    <w:p w14:paraId="0EF24C5C">
      <w:pPr>
        <w:jc w:val="center"/>
        <w:rPr>
          <w:rFonts w:hint="default" w:ascii="Times New Roman" w:hAnsi="Times New Roman" w:cs="Times New Roman"/>
          <w:color w:val="000000" w:themeColor="text1"/>
          <w:sz w:val="28"/>
          <w:szCs w:val="28"/>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342900</wp:posOffset>
                </wp:positionV>
                <wp:extent cx="5469890" cy="45720"/>
                <wp:effectExtent l="0" t="0" r="35560" b="304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469890" cy="457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3pt;margin-top:27pt;height:3.6pt;width:430.7pt;z-index:251660288;mso-width-relative:page;mso-height-relative:page;" filled="f" stroked="t" coordsize="21600,21600" o:gfxdata="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2Wf1zVAAAABwEAAA8AAAAAAAAAAQAgAAAAIgAAAGRycy9kb3ducmV2LnhtbFBLAQIUABQAAAAI&#10;AIdO4kDeX5By8AEAALgDAAAOAAAAAAAAAAEAIAAAACQBAABkcnMvZTJvRG9jLnhtbFBLBQYAAAAA&#10;BgAGAFkBAACGBQ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u w:val="none"/>
          <w14:textFill>
            <w14:solidFill>
              <w14:schemeClr w14:val="tx1"/>
            </w14:solidFill>
          </w14:textFill>
        </w:rPr>
        <w:t xml:space="preserve">                                 DBJ </w:t>
      </w:r>
      <w:bookmarkEnd w:id="1"/>
      <w:bookmarkEnd w:id="2"/>
      <w:bookmarkEnd w:id="3"/>
      <w:r>
        <w:rPr>
          <w:rFonts w:hint="default" w:ascii="Times New Roman" w:hAnsi="Times New Roman" w:cs="Times New Roman"/>
          <w:color w:val="000000" w:themeColor="text1"/>
          <w:sz w:val="28"/>
          <w:szCs w:val="28"/>
          <w:u w:val="none"/>
          <w14:textFill>
            <w14:solidFill>
              <w14:schemeClr w14:val="tx1"/>
            </w14:solidFill>
          </w14:textFill>
        </w:rPr>
        <w:t>××-××-××××</w:t>
      </w:r>
    </w:p>
    <w:p w14:paraId="3404BA47">
      <w:pPr>
        <w:pStyle w:val="19"/>
        <w:spacing w:line="360" w:lineRule="auto"/>
        <w:rPr>
          <w:rFonts w:hint="default" w:ascii="Times New Roman" w:hAnsi="Times New Roman" w:cs="Times New Roman" w:eastAsiaTheme="minorEastAsia"/>
          <w:color w:val="000000" w:themeColor="text1"/>
          <w:u w:val="none"/>
          <w14:textFill>
            <w14:solidFill>
              <w14:schemeClr w14:val="tx1"/>
            </w14:solidFill>
          </w14:textFill>
        </w:rPr>
      </w:pPr>
    </w:p>
    <w:p w14:paraId="01DF2C86">
      <w:pPr>
        <w:rPr>
          <w:rFonts w:hint="default" w:ascii="Times New Roman" w:hAnsi="Times New Roman" w:cs="Times New Roman"/>
          <w:color w:val="000000" w:themeColor="text1"/>
          <w:sz w:val="28"/>
          <w:szCs w:val="28"/>
          <w:u w:val="none"/>
          <w14:textFill>
            <w14:solidFill>
              <w14:schemeClr w14:val="tx1"/>
            </w14:solidFill>
          </w14:textFill>
        </w:rPr>
      </w:pPr>
    </w:p>
    <w:p w14:paraId="4C0CD80E">
      <w:pPr>
        <w:rPr>
          <w:rFonts w:hint="default" w:ascii="Times New Roman" w:hAnsi="Times New Roman" w:cs="Times New Roman"/>
          <w:color w:val="000000" w:themeColor="text1"/>
          <w:sz w:val="28"/>
          <w:szCs w:val="28"/>
          <w:u w:val="none"/>
          <w14:textFill>
            <w14:solidFill>
              <w14:schemeClr w14:val="tx1"/>
            </w14:solidFill>
          </w14:textFill>
        </w:rPr>
      </w:pPr>
    </w:p>
    <w:p w14:paraId="1A2D602C">
      <w:pPr>
        <w:rPr>
          <w:rFonts w:hint="default" w:ascii="Times New Roman" w:hAnsi="Times New Roman" w:cs="Times New Roman"/>
          <w:color w:val="000000" w:themeColor="text1"/>
          <w:sz w:val="28"/>
          <w:szCs w:val="28"/>
          <w:u w:val="none"/>
          <w14:textFill>
            <w14:solidFill>
              <w14:schemeClr w14:val="tx1"/>
            </w14:solidFill>
          </w14:textFill>
        </w:rPr>
      </w:pPr>
    </w:p>
    <w:p w14:paraId="4262D09B">
      <w:pPr>
        <w:rPr>
          <w:rFonts w:hint="default" w:ascii="Times New Roman" w:hAnsi="Times New Roman" w:cs="Times New Roman"/>
          <w:color w:val="000000" w:themeColor="text1"/>
          <w:sz w:val="28"/>
          <w:szCs w:val="28"/>
          <w:u w:val="none"/>
          <w14:textFill>
            <w14:solidFill>
              <w14:schemeClr w14:val="tx1"/>
            </w14:solidFill>
          </w14:textFill>
        </w:rPr>
      </w:pPr>
    </w:p>
    <w:p w14:paraId="36383DB7">
      <w:pPr>
        <w:rPr>
          <w:rFonts w:hint="default" w:ascii="Times New Roman" w:hAnsi="Times New Roman" w:cs="Times New Roman"/>
          <w:color w:val="000000" w:themeColor="text1"/>
          <w:sz w:val="28"/>
          <w:szCs w:val="28"/>
          <w:u w:val="none"/>
          <w14:textFill>
            <w14:solidFill>
              <w14:schemeClr w14:val="tx1"/>
            </w14:solidFill>
          </w14:textFill>
        </w:rPr>
      </w:pPr>
    </w:p>
    <w:p w14:paraId="6A34D0E6">
      <w:pPr>
        <w:spacing w:line="480" w:lineRule="auto"/>
        <w:jc w:val="center"/>
        <w:rPr>
          <w:rFonts w:hint="default" w:ascii="Times New Roman" w:hAnsi="Times New Roman" w:cs="Times New Roman"/>
          <w:b/>
          <w:color w:val="000000" w:themeColor="text1"/>
          <w:spacing w:val="30"/>
          <w:sz w:val="44"/>
          <w:szCs w:val="44"/>
          <w:u w:val="none"/>
          <w14:textFill>
            <w14:solidFill>
              <w14:schemeClr w14:val="tx1"/>
            </w14:solidFill>
          </w14:textFill>
        </w:rPr>
      </w:pPr>
      <w:r>
        <w:rPr>
          <w:rFonts w:hint="default" w:ascii="Times New Roman" w:hAnsi="Times New Roman" w:cs="Times New Roman"/>
          <w:b/>
          <w:color w:val="000000" w:themeColor="text1"/>
          <w:spacing w:val="30"/>
          <w:sz w:val="44"/>
          <w:szCs w:val="44"/>
          <w:u w:val="none"/>
          <w14:textFill>
            <w14:solidFill>
              <w14:schemeClr w14:val="tx1"/>
            </w14:solidFill>
          </w14:textFill>
        </w:rPr>
        <w:t>云南省绿色建筑评价标准</w:t>
      </w:r>
    </w:p>
    <w:p w14:paraId="5E818598">
      <w:pPr>
        <w:pStyle w:val="19"/>
        <w:spacing w:line="360" w:lineRule="auto"/>
        <w:jc w:val="center"/>
        <w:rPr>
          <w:rFonts w:hint="default" w:ascii="Times New Roman" w:hAnsi="Times New Roman" w:cs="Times New Roman" w:eastAsiaTheme="minorEastAsia"/>
          <w:b/>
          <w:color w:val="000000" w:themeColor="text1"/>
          <w:kern w:val="2"/>
          <w:sz w:val="28"/>
          <w:szCs w:val="28"/>
          <w:u w:val="none"/>
          <w14:textFill>
            <w14:solidFill>
              <w14:schemeClr w14:val="tx1"/>
            </w14:solidFill>
          </w14:textFill>
        </w:rPr>
      </w:pPr>
      <w:r>
        <w:rPr>
          <w:rFonts w:hint="default" w:ascii="Times New Roman" w:hAnsi="Times New Roman" w:cs="Times New Roman" w:eastAsiaTheme="minorEastAsia"/>
          <w:b/>
          <w:color w:val="000000" w:themeColor="text1"/>
          <w:kern w:val="2"/>
          <w:sz w:val="28"/>
          <w:szCs w:val="28"/>
          <w:u w:val="none"/>
          <w14:textFill>
            <w14:solidFill>
              <w14:schemeClr w14:val="tx1"/>
            </w14:solidFill>
          </w14:textFill>
        </w:rPr>
        <w:t>Yunnan Provicial Assessment Standard for Green Building</w:t>
      </w:r>
    </w:p>
    <w:p w14:paraId="46B16C20">
      <w:pPr>
        <w:pStyle w:val="19"/>
        <w:spacing w:line="360" w:lineRule="auto"/>
        <w:jc w:val="center"/>
        <w:rPr>
          <w:rFonts w:hint="default" w:ascii="Times New Roman" w:hAnsi="Times New Roman" w:cs="Times New Roman" w:eastAsiaTheme="minorEastAsia"/>
          <w:color w:val="000000" w:themeColor="text1"/>
          <w:u w:val="none"/>
          <w14:textFill>
            <w14:solidFill>
              <w14:schemeClr w14:val="tx1"/>
            </w14:solidFill>
          </w14:textFill>
        </w:rPr>
      </w:pPr>
      <w:r>
        <w:rPr>
          <w:rFonts w:hint="default" w:ascii="Times New Roman" w:hAnsi="Times New Roman" w:cs="Times New Roman" w:eastAsiaTheme="minorEastAsia"/>
          <w:color w:val="000000" w:themeColor="text1"/>
          <w:sz w:val="32"/>
          <w:szCs w:val="32"/>
          <w:u w:val="none"/>
          <w14:textFill>
            <w14:solidFill>
              <w14:schemeClr w14:val="tx1"/>
            </w14:solidFill>
          </w14:textFill>
        </w:rPr>
        <w:t>（</w:t>
      </w:r>
      <w:r>
        <w:rPr>
          <w:rFonts w:hint="eastAsia" w:cs="Times New Roman" w:eastAsiaTheme="minorEastAsia"/>
          <w:color w:val="000000" w:themeColor="text1"/>
          <w:sz w:val="32"/>
          <w:szCs w:val="32"/>
          <w:u w:val="none"/>
          <w:lang w:val="en-US" w:eastAsia="zh-CN"/>
          <w14:textFill>
            <w14:solidFill>
              <w14:schemeClr w14:val="tx1"/>
            </w14:solidFill>
          </w14:textFill>
        </w:rPr>
        <w:t>修订</w:t>
      </w:r>
      <w:r>
        <w:rPr>
          <w:rFonts w:hint="default" w:ascii="Times New Roman" w:hAnsi="Times New Roman" w:cs="Times New Roman" w:eastAsiaTheme="minorEastAsia"/>
          <w:color w:val="000000" w:themeColor="text1"/>
          <w:sz w:val="32"/>
          <w:szCs w:val="32"/>
          <w:u w:val="none"/>
          <w14:textFill>
            <w14:solidFill>
              <w14:schemeClr w14:val="tx1"/>
            </w14:solidFill>
          </w14:textFill>
        </w:rPr>
        <w:t>征求意见稿）</w:t>
      </w:r>
    </w:p>
    <w:p w14:paraId="52A32C07">
      <w:pPr>
        <w:rPr>
          <w:rFonts w:hint="default" w:ascii="Times New Roman" w:hAnsi="Times New Roman" w:cs="Times New Roman"/>
          <w:color w:val="000000" w:themeColor="text1"/>
          <w:sz w:val="28"/>
          <w:szCs w:val="28"/>
          <w:u w:val="none"/>
          <w14:textFill>
            <w14:solidFill>
              <w14:schemeClr w14:val="tx1"/>
            </w14:solidFill>
          </w14:textFill>
        </w:rPr>
      </w:pPr>
    </w:p>
    <w:p w14:paraId="6EFC1243">
      <w:pPr>
        <w:rPr>
          <w:rFonts w:hint="default" w:ascii="Times New Roman" w:hAnsi="Times New Roman" w:cs="Times New Roman"/>
          <w:color w:val="000000" w:themeColor="text1"/>
          <w:sz w:val="28"/>
          <w:szCs w:val="28"/>
          <w:u w:val="none"/>
          <w14:textFill>
            <w14:solidFill>
              <w14:schemeClr w14:val="tx1"/>
            </w14:solidFill>
          </w14:textFill>
        </w:rPr>
      </w:pPr>
    </w:p>
    <w:p w14:paraId="0D8BE55D">
      <w:pPr>
        <w:rPr>
          <w:rFonts w:hint="default" w:ascii="Times New Roman" w:hAnsi="Times New Roman" w:cs="Times New Roman"/>
          <w:color w:val="000000" w:themeColor="text1"/>
          <w:sz w:val="28"/>
          <w:szCs w:val="28"/>
          <w:u w:val="none"/>
          <w14:textFill>
            <w14:solidFill>
              <w14:schemeClr w14:val="tx1"/>
            </w14:solidFill>
          </w14:textFill>
        </w:rPr>
      </w:pPr>
    </w:p>
    <w:p w14:paraId="29684BC2">
      <w:pPr>
        <w:rPr>
          <w:rFonts w:hint="default" w:ascii="Times New Roman" w:hAnsi="Times New Roman" w:cs="Times New Roman"/>
          <w:color w:val="000000" w:themeColor="text1"/>
          <w:sz w:val="28"/>
          <w:szCs w:val="28"/>
          <w:u w:val="none"/>
          <w14:textFill>
            <w14:solidFill>
              <w14:schemeClr w14:val="tx1"/>
            </w14:solidFill>
          </w14:textFill>
        </w:rPr>
      </w:pPr>
    </w:p>
    <w:p w14:paraId="4508620F">
      <w:pPr>
        <w:rPr>
          <w:rFonts w:hint="default" w:ascii="Times New Roman" w:hAnsi="Times New Roman" w:cs="Times New Roman"/>
          <w:color w:val="000000" w:themeColor="text1"/>
          <w:sz w:val="28"/>
          <w:szCs w:val="28"/>
          <w:u w:val="none"/>
          <w14:textFill>
            <w14:solidFill>
              <w14:schemeClr w14:val="tx1"/>
            </w14:solidFill>
          </w14:textFill>
        </w:rPr>
      </w:pPr>
    </w:p>
    <w:p w14:paraId="62336931">
      <w:pPr>
        <w:rPr>
          <w:rFonts w:hint="default" w:ascii="Times New Roman" w:hAnsi="Times New Roman" w:cs="Times New Roman"/>
          <w:color w:val="000000" w:themeColor="text1"/>
          <w:sz w:val="28"/>
          <w:szCs w:val="28"/>
          <w:u w:val="none"/>
          <w14:textFill>
            <w14:solidFill>
              <w14:schemeClr w14:val="tx1"/>
            </w14:solidFill>
          </w14:textFill>
        </w:rPr>
      </w:pPr>
    </w:p>
    <w:p w14:paraId="3D3B3C25">
      <w:pPr>
        <w:rPr>
          <w:rFonts w:hint="default" w:ascii="Times New Roman" w:hAnsi="Times New Roman" w:cs="Times New Roman"/>
          <w:color w:val="000000" w:themeColor="text1"/>
          <w:sz w:val="28"/>
          <w:szCs w:val="28"/>
          <w:u w:val="none"/>
          <w14:textFill>
            <w14:solidFill>
              <w14:schemeClr w14:val="tx1"/>
            </w14:solidFill>
          </w14:textFill>
        </w:rPr>
      </w:pPr>
    </w:p>
    <w:p w14:paraId="6109CB72">
      <w:pPr>
        <w:pStyle w:val="19"/>
        <w:spacing w:line="360" w:lineRule="auto"/>
        <w:rPr>
          <w:rFonts w:hint="default" w:ascii="Times New Roman" w:hAnsi="Times New Roman" w:cs="Times New Roman" w:eastAsiaTheme="minorEastAsia"/>
          <w:color w:val="000000" w:themeColor="text1"/>
          <w:u w:val="none"/>
          <w14:textFill>
            <w14:solidFill>
              <w14:schemeClr w14:val="tx1"/>
            </w14:solidFill>
          </w14:textFill>
        </w:rPr>
      </w:pPr>
    </w:p>
    <w:p w14:paraId="4ADC7958">
      <w:pPr>
        <w:pStyle w:val="19"/>
        <w:spacing w:line="360" w:lineRule="auto"/>
        <w:rPr>
          <w:rFonts w:hint="default" w:ascii="Times New Roman" w:hAnsi="Times New Roman" w:cs="Times New Roman" w:eastAsiaTheme="minorEastAsia"/>
          <w:color w:val="000000" w:themeColor="text1"/>
          <w:u w:val="none"/>
          <w14:textFill>
            <w14:solidFill>
              <w14:schemeClr w14:val="tx1"/>
            </w14:solidFill>
          </w14:textFill>
        </w:rPr>
      </w:pPr>
      <w:bookmarkStart w:id="234" w:name="_GoBack"/>
      <w:bookmarkEnd w:id="234"/>
    </w:p>
    <w:p w14:paraId="3170E311">
      <w:pPr>
        <w:pStyle w:val="19"/>
        <w:spacing w:line="360" w:lineRule="auto"/>
        <w:rPr>
          <w:rFonts w:hint="default" w:ascii="Times New Roman" w:hAnsi="Times New Roman" w:cs="Times New Roman" w:eastAsiaTheme="minorEastAsia"/>
          <w:color w:val="000000" w:themeColor="text1"/>
          <w:u w:val="none"/>
          <w14:textFill>
            <w14:solidFill>
              <w14:schemeClr w14:val="tx1"/>
            </w14:solidFill>
          </w14:textFill>
        </w:rPr>
      </w:pPr>
    </w:p>
    <w:p w14:paraId="61B23006">
      <w:pPr>
        <w:pStyle w:val="19"/>
        <w:spacing w:line="360" w:lineRule="auto"/>
        <w:rPr>
          <w:rFonts w:hint="default" w:ascii="Times New Roman" w:hAnsi="Times New Roman" w:cs="Times New Roman" w:eastAsiaTheme="minorEastAsia"/>
          <w:color w:val="000000" w:themeColor="text1"/>
          <w:u w:val="none"/>
          <w14:textFill>
            <w14:solidFill>
              <w14:schemeClr w14:val="tx1"/>
            </w14:solidFill>
          </w14:textFill>
        </w:rPr>
      </w:pPr>
    </w:p>
    <w:p w14:paraId="33079D9C">
      <w:pPr>
        <w:pStyle w:val="19"/>
        <w:spacing w:line="360" w:lineRule="auto"/>
        <w:rPr>
          <w:rFonts w:hint="default" w:ascii="Times New Roman" w:hAnsi="Times New Roman" w:cs="Times New Roman" w:eastAsiaTheme="minorEastAsia"/>
          <w:color w:val="000000" w:themeColor="text1"/>
          <w:u w:val="none"/>
          <w14:textFill>
            <w14:solidFill>
              <w14:schemeClr w14:val="tx1"/>
            </w14:solidFill>
          </w14:textFill>
        </w:rPr>
      </w:pPr>
    </w:p>
    <w:p w14:paraId="0CCB8030">
      <w:pPr>
        <w:spacing w:line="300" w:lineRule="auto"/>
        <w:jc w:val="center"/>
        <w:rPr>
          <w:rFonts w:hint="default" w:ascii="Times New Roman" w:hAnsi="Times New Roman" w:cs="Times New Roman"/>
          <w:color w:val="000000" w:themeColor="text1"/>
          <w:sz w:val="28"/>
          <w:szCs w:val="28"/>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227330</wp:posOffset>
                </wp:positionV>
                <wp:extent cx="5486400" cy="41910"/>
                <wp:effectExtent l="0" t="0" r="19050"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9.75pt;margin-top:17.9pt;height:3.3pt;width:432pt;z-index:251661312;mso-width-relative:page;mso-height-relative:page;" filled="f" stroked="t" coordsize="21600,21600" o:gfxdata="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rP9n1gAAAAgBAAAPAAAAAAAAAAEAIAAAACIAAABkcnMvZG93bnJldi54bWxQSwECFAAUAAAA&#10;CACHTuJAWIzSHPABAAC4AwAADgAAAAAAAAABACAAAAAlAQAAZHJzL2Uyb0RvYy54bWxQSwUGAAAA&#10;AAYABgBZAQAAhwU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u w:val="none"/>
          <w14:textFill>
            <w14:solidFill>
              <w14:schemeClr w14:val="tx1"/>
            </w14:solidFill>
          </w14:textFill>
        </w:rPr>
        <w:t>202-××-××发布                     202-××-××实施</w:t>
      </w:r>
    </w:p>
    <w:p w14:paraId="0812829D">
      <w:pPr>
        <w:spacing w:line="300" w:lineRule="auto"/>
        <w:jc w:val="center"/>
        <w:rPr>
          <w:rFonts w:hint="default" w:ascii="Times New Roman" w:hAnsi="Times New Roman" w:cs="Times New Roman"/>
          <w:b/>
          <w:color w:val="000000" w:themeColor="text1"/>
          <w:spacing w:val="30"/>
          <w:sz w:val="28"/>
          <w:szCs w:val="28"/>
          <w:u w:val="none"/>
          <w14:textFill>
            <w14:solidFill>
              <w14:schemeClr w14:val="tx1"/>
            </w14:solidFill>
          </w14:textFill>
        </w:rPr>
      </w:pPr>
      <w:r>
        <w:rPr>
          <w:rFonts w:hint="default" w:ascii="Times New Roman" w:hAnsi="Times New Roman" w:cs="Times New Roman"/>
          <w:b/>
          <w:color w:val="000000" w:themeColor="text1"/>
          <w:spacing w:val="30"/>
          <w:sz w:val="28"/>
          <w:szCs w:val="28"/>
          <w:u w:val="none"/>
          <w14:textFill>
            <w14:solidFill>
              <w14:schemeClr w14:val="tx1"/>
            </w14:solidFill>
          </w14:textFill>
        </w:rPr>
        <w:t>云南省住房和城乡建设厅 发布</w:t>
      </w:r>
    </w:p>
    <w:p w14:paraId="05511967">
      <w:pPr>
        <w:spacing w:line="300" w:lineRule="auto"/>
        <w:jc w:val="center"/>
        <w:rPr>
          <w:rFonts w:hint="default" w:ascii="Times New Roman" w:hAnsi="Times New Roman" w:cs="Times New Roman"/>
          <w:b/>
          <w:color w:val="000000" w:themeColor="text1"/>
          <w:spacing w:val="30"/>
          <w:sz w:val="28"/>
          <w:szCs w:val="28"/>
          <w:u w:val="none"/>
          <w14:textFill>
            <w14:solidFill>
              <w14:schemeClr w14:val="tx1"/>
            </w14:solidFill>
          </w14:textFill>
        </w:rPr>
        <w:sectPr>
          <w:headerReference r:id="rId3" w:type="default"/>
          <w:type w:val="continuous"/>
          <w:pgSz w:w="12240" w:h="15840"/>
          <w:pgMar w:top="1440" w:right="1800" w:bottom="1440" w:left="1800" w:header="720" w:footer="720" w:gutter="0"/>
          <w:cols w:space="720" w:num="1"/>
        </w:sectPr>
      </w:pPr>
    </w:p>
    <w:p w14:paraId="38252F10">
      <w:pPr>
        <w:spacing w:line="300" w:lineRule="auto"/>
        <w:jc w:val="center"/>
        <w:rPr>
          <w:rFonts w:hint="default" w:ascii="Times New Roman" w:hAnsi="Times New Roman" w:cs="Times New Roman"/>
          <w:color w:val="000000" w:themeColor="text1"/>
          <w:sz w:val="32"/>
          <w:u w:val="none"/>
          <w14:textFill>
            <w14:solidFill>
              <w14:schemeClr w14:val="tx1"/>
            </w14:solidFill>
          </w14:textFill>
        </w:rPr>
      </w:pPr>
    </w:p>
    <w:p w14:paraId="3794A159">
      <w:pPr>
        <w:spacing w:line="300" w:lineRule="auto"/>
        <w:jc w:val="center"/>
        <w:rPr>
          <w:rFonts w:hint="default" w:ascii="Times New Roman" w:hAnsi="Times New Roman" w:cs="Times New Roman"/>
          <w:color w:val="000000" w:themeColor="text1"/>
          <w:sz w:val="32"/>
          <w:u w:val="none"/>
          <w14:textFill>
            <w14:solidFill>
              <w14:schemeClr w14:val="tx1"/>
            </w14:solidFill>
          </w14:textFill>
        </w:rPr>
      </w:pPr>
      <w:r>
        <w:rPr>
          <w:rFonts w:hint="default" w:ascii="Times New Roman" w:hAnsi="Times New Roman" w:cs="Times New Roman"/>
          <w:color w:val="000000" w:themeColor="text1"/>
          <w:sz w:val="32"/>
          <w:u w:val="none"/>
          <w14:textFill>
            <w14:solidFill>
              <w14:schemeClr w14:val="tx1"/>
            </w14:solidFill>
          </w14:textFill>
        </w:rPr>
        <w:t>云南省工程建设地方标准</w:t>
      </w:r>
    </w:p>
    <w:p w14:paraId="70E86D98">
      <w:pPr>
        <w:spacing w:line="300" w:lineRule="auto"/>
        <w:jc w:val="center"/>
        <w:rPr>
          <w:rFonts w:hint="default" w:ascii="Times New Roman" w:hAnsi="Times New Roman" w:cs="Times New Roman"/>
          <w:color w:val="000000" w:themeColor="text1"/>
          <w:sz w:val="32"/>
          <w:u w:val="none"/>
          <w14:textFill>
            <w14:solidFill>
              <w14:schemeClr w14:val="tx1"/>
            </w14:solidFill>
          </w14:textFill>
        </w:rPr>
      </w:pPr>
    </w:p>
    <w:p w14:paraId="408DD1EB">
      <w:pPr>
        <w:spacing w:line="480" w:lineRule="auto"/>
        <w:jc w:val="center"/>
        <w:rPr>
          <w:rFonts w:hint="default" w:ascii="Times New Roman" w:hAnsi="Times New Roman" w:cs="Times New Roman"/>
          <w:bCs/>
          <w:color w:val="000000" w:themeColor="text1"/>
          <w:sz w:val="44"/>
          <w:u w:val="none"/>
          <w14:textFill>
            <w14:solidFill>
              <w14:schemeClr w14:val="tx1"/>
            </w14:solidFill>
          </w14:textFill>
        </w:rPr>
      </w:pPr>
      <w:r>
        <w:rPr>
          <w:rFonts w:hint="default" w:ascii="Times New Roman" w:hAnsi="Times New Roman" w:cs="Times New Roman"/>
          <w:bCs/>
          <w:color w:val="000000" w:themeColor="text1"/>
          <w:sz w:val="44"/>
          <w:u w:val="none"/>
          <w14:textFill>
            <w14:solidFill>
              <w14:schemeClr w14:val="tx1"/>
            </w14:solidFill>
          </w14:textFill>
        </w:rPr>
        <w:t>云南省绿色建筑评价标准</w:t>
      </w:r>
    </w:p>
    <w:p w14:paraId="66A603DA">
      <w:pPr>
        <w:spacing w:line="480" w:lineRule="auto"/>
        <w:jc w:val="center"/>
        <w:rPr>
          <w:rFonts w:hint="default" w:ascii="Times New Roman" w:hAnsi="Times New Roman" w:cs="Times New Roman"/>
          <w:color w:val="000000" w:themeColor="text1"/>
          <w:sz w:val="28"/>
          <w:szCs w:val="28"/>
          <w:u w:val="none"/>
          <w14:textFill>
            <w14:solidFill>
              <w14:schemeClr w14:val="tx1"/>
            </w14:solidFill>
          </w14:textFill>
        </w:rPr>
      </w:pPr>
      <w:r>
        <w:rPr>
          <w:rFonts w:hint="default" w:ascii="Times New Roman" w:hAnsi="Times New Roman" w:cs="Times New Roman"/>
          <w:color w:val="000000" w:themeColor="text1"/>
          <w:sz w:val="28"/>
          <w:szCs w:val="28"/>
          <w:u w:val="none"/>
          <w14:textFill>
            <w14:solidFill>
              <w14:schemeClr w14:val="tx1"/>
            </w14:solidFill>
          </w14:textFill>
        </w:rPr>
        <w:t>Yunnan Provicial Assessment Standard for Green Building</w:t>
      </w:r>
    </w:p>
    <w:p w14:paraId="4B6FC81C">
      <w:pPr>
        <w:spacing w:line="300" w:lineRule="auto"/>
        <w:ind w:firstLine="600"/>
        <w:jc w:val="center"/>
        <w:rPr>
          <w:rFonts w:hint="default" w:ascii="Times New Roman" w:hAnsi="Times New Roman" w:cs="Times New Roman"/>
          <w:color w:val="000000" w:themeColor="text1"/>
          <w:sz w:val="30"/>
          <w:u w:val="none"/>
          <w14:textFill>
            <w14:solidFill>
              <w14:schemeClr w14:val="tx1"/>
            </w14:solidFill>
          </w14:textFill>
        </w:rPr>
      </w:pPr>
      <w:r>
        <w:rPr>
          <w:rFonts w:hint="default" w:ascii="Times New Roman" w:hAnsi="Times New Roman" w:cs="Times New Roman"/>
          <w:color w:val="000000" w:themeColor="text1"/>
          <w:sz w:val="28"/>
          <w:szCs w:val="28"/>
          <w:u w:val="none"/>
          <w14:textFill>
            <w14:solidFill>
              <w14:schemeClr w14:val="tx1"/>
            </w14:solidFill>
          </w14:textFill>
        </w:rPr>
        <w:t xml:space="preserve">DBJ </w:t>
      </w:r>
      <w:r>
        <w:rPr>
          <w:rFonts w:hint="default" w:ascii="Times New Roman" w:hAnsi="Times New Roman" w:cs="Times New Roman"/>
          <w:color w:val="000000" w:themeColor="text1"/>
          <w:sz w:val="28"/>
          <w:u w:val="none"/>
          <w14:textFill>
            <w14:solidFill>
              <w14:schemeClr w14:val="tx1"/>
            </w14:solidFill>
          </w14:textFill>
        </w:rPr>
        <w:t>××</w:t>
      </w:r>
      <w:r>
        <w:rPr>
          <w:rFonts w:hint="default" w:ascii="Times New Roman" w:hAnsi="Times New Roman" w:cs="Times New Roman"/>
          <w:color w:val="000000" w:themeColor="text1"/>
          <w:sz w:val="28"/>
          <w:szCs w:val="28"/>
          <w:u w:val="none"/>
          <w14:textFill>
            <w14:solidFill>
              <w14:schemeClr w14:val="tx1"/>
            </w14:solidFill>
          </w14:textFill>
        </w:rPr>
        <w:t>-</w:t>
      </w:r>
      <w:r>
        <w:rPr>
          <w:rFonts w:hint="default" w:ascii="Times New Roman" w:hAnsi="Times New Roman" w:cs="Times New Roman"/>
          <w:color w:val="000000" w:themeColor="text1"/>
          <w:sz w:val="28"/>
          <w:u w:val="none"/>
          <w14:textFill>
            <w14:solidFill>
              <w14:schemeClr w14:val="tx1"/>
            </w14:solidFill>
          </w14:textFill>
        </w:rPr>
        <w:t>××</w:t>
      </w:r>
      <w:r>
        <w:rPr>
          <w:rFonts w:hint="default" w:ascii="Times New Roman" w:hAnsi="Times New Roman" w:cs="Times New Roman"/>
          <w:color w:val="000000" w:themeColor="text1"/>
          <w:sz w:val="28"/>
          <w:szCs w:val="28"/>
          <w:u w:val="none"/>
          <w14:textFill>
            <w14:solidFill>
              <w14:schemeClr w14:val="tx1"/>
            </w14:solidFill>
          </w14:textFill>
        </w:rPr>
        <w:t>-</w:t>
      </w:r>
      <w:r>
        <w:rPr>
          <w:rFonts w:hint="default" w:ascii="Times New Roman" w:hAnsi="Times New Roman" w:cs="Times New Roman"/>
          <w:color w:val="000000" w:themeColor="text1"/>
          <w:sz w:val="28"/>
          <w:u w:val="none"/>
          <w14:textFill>
            <w14:solidFill>
              <w14:schemeClr w14:val="tx1"/>
            </w14:solidFill>
          </w14:textFill>
        </w:rPr>
        <w:t>××××</w:t>
      </w:r>
    </w:p>
    <w:p w14:paraId="5F594AFB">
      <w:pPr>
        <w:spacing w:line="480" w:lineRule="auto"/>
        <w:jc w:val="center"/>
        <w:rPr>
          <w:rFonts w:hint="default" w:ascii="Times New Roman" w:hAnsi="Times New Roman" w:cs="Times New Roman"/>
          <w:color w:val="000000" w:themeColor="text1"/>
          <w:sz w:val="28"/>
          <w:szCs w:val="28"/>
          <w:u w:val="none"/>
          <w14:textFill>
            <w14:solidFill>
              <w14:schemeClr w14:val="tx1"/>
            </w14:solidFill>
          </w14:textFill>
        </w:rPr>
      </w:pPr>
    </w:p>
    <w:p w14:paraId="6D509292">
      <w:pPr>
        <w:ind w:firstLine="1680" w:firstLineChars="600"/>
        <w:rPr>
          <w:rFonts w:hint="default" w:ascii="Times New Roman" w:hAnsi="Times New Roman" w:cs="Times New Roman"/>
          <w:color w:val="000000" w:themeColor="text1"/>
          <w:sz w:val="28"/>
          <w:szCs w:val="28"/>
          <w:u w:val="none"/>
          <w14:textFill>
            <w14:solidFill>
              <w14:schemeClr w14:val="tx1"/>
            </w14:solidFill>
          </w14:textFill>
        </w:rPr>
      </w:pPr>
      <w:r>
        <w:rPr>
          <w:rFonts w:hint="default" w:ascii="Times New Roman" w:hAnsi="Times New Roman" w:cs="Times New Roman"/>
          <w:color w:val="000000" w:themeColor="text1"/>
          <w:sz w:val="28"/>
          <w:u w:val="none"/>
          <w14:textFill>
            <w14:solidFill>
              <w14:schemeClr w14:val="tx1"/>
            </w14:solidFill>
          </w14:textFill>
        </w:rPr>
        <w:t>主编单位：</w:t>
      </w:r>
      <w:r>
        <w:rPr>
          <w:rFonts w:hint="default" w:ascii="Times New Roman" w:hAnsi="Times New Roman" w:cs="Times New Roman"/>
          <w:color w:val="000000" w:themeColor="text1"/>
          <w:sz w:val="28"/>
          <w:szCs w:val="28"/>
          <w:u w:val="none"/>
          <w14:textFill>
            <w14:solidFill>
              <w14:schemeClr w14:val="tx1"/>
            </w14:solidFill>
          </w14:textFill>
        </w:rPr>
        <w:t>云南省建筑科学研究院有限公司</w:t>
      </w:r>
    </w:p>
    <w:p w14:paraId="28F50475">
      <w:pPr>
        <w:ind w:firstLine="1680" w:firstLineChars="600"/>
        <w:rPr>
          <w:rFonts w:hint="default" w:ascii="Times New Roman" w:hAnsi="Times New Roman" w:cs="Times New Roman"/>
          <w:color w:val="000000" w:themeColor="text1"/>
          <w:sz w:val="28"/>
          <w:szCs w:val="28"/>
          <w:u w:val="none"/>
          <w14:textFill>
            <w14:solidFill>
              <w14:schemeClr w14:val="tx1"/>
            </w14:solidFill>
          </w14:textFill>
        </w:rPr>
      </w:pPr>
      <w:r>
        <w:rPr>
          <w:rFonts w:hint="default" w:ascii="Times New Roman" w:hAnsi="Times New Roman" w:cs="Times New Roman"/>
          <w:color w:val="000000" w:themeColor="text1"/>
          <w:sz w:val="28"/>
          <w:szCs w:val="28"/>
          <w:u w:val="none"/>
          <w14:textFill>
            <w14:solidFill>
              <w14:schemeClr w14:val="tx1"/>
            </w14:solidFill>
          </w14:textFill>
        </w:rPr>
        <w:t xml:space="preserve">          云南省设计院集团有限公司</w:t>
      </w:r>
    </w:p>
    <w:p w14:paraId="6F54FB3D">
      <w:pPr>
        <w:ind w:firstLine="1680" w:firstLineChars="600"/>
        <w:rPr>
          <w:rFonts w:hint="default" w:ascii="Times New Roman" w:hAnsi="Times New Roman" w:cs="Times New Roman"/>
          <w:color w:val="000000" w:themeColor="text1"/>
          <w:sz w:val="28"/>
          <w:szCs w:val="28"/>
          <w:u w:val="none"/>
          <w14:textFill>
            <w14:solidFill>
              <w14:schemeClr w14:val="tx1"/>
            </w14:solidFill>
          </w14:textFill>
        </w:rPr>
      </w:pPr>
      <w:r>
        <w:rPr>
          <w:rFonts w:hint="default" w:ascii="Times New Roman" w:hAnsi="Times New Roman" w:cs="Times New Roman"/>
          <w:color w:val="000000" w:themeColor="text1"/>
          <w:sz w:val="28"/>
          <w:szCs w:val="28"/>
          <w:u w:val="none"/>
          <w14:textFill>
            <w14:solidFill>
              <w14:schemeClr w14:val="tx1"/>
            </w14:solidFill>
          </w14:textFill>
        </w:rPr>
        <w:t xml:space="preserve">          云南建筑技术发展中心</w:t>
      </w:r>
    </w:p>
    <w:p w14:paraId="64A005A8">
      <w:pPr>
        <w:spacing w:line="440" w:lineRule="exact"/>
        <w:jc w:val="center"/>
        <w:rPr>
          <w:rFonts w:hint="default" w:ascii="Times New Roman" w:hAnsi="Times New Roman" w:cs="Times New Roman"/>
          <w:color w:val="000000" w:themeColor="text1"/>
          <w:sz w:val="28"/>
          <w:szCs w:val="28"/>
          <w:u w:val="none"/>
          <w14:textFill>
            <w14:solidFill>
              <w14:schemeClr w14:val="tx1"/>
            </w14:solidFill>
          </w14:textFill>
        </w:rPr>
      </w:pPr>
    </w:p>
    <w:p w14:paraId="4FE643E0">
      <w:pPr>
        <w:spacing w:line="300" w:lineRule="auto"/>
        <w:ind w:firstLine="1680" w:firstLineChars="600"/>
        <w:rPr>
          <w:rFonts w:hint="default" w:ascii="Times New Roman" w:hAnsi="Times New Roman" w:cs="Times New Roman"/>
          <w:color w:val="000000" w:themeColor="text1"/>
          <w:sz w:val="28"/>
          <w:u w:val="none"/>
          <w14:textFill>
            <w14:solidFill>
              <w14:schemeClr w14:val="tx1"/>
            </w14:solidFill>
          </w14:textFill>
        </w:rPr>
      </w:pPr>
      <w:r>
        <w:rPr>
          <w:rFonts w:hint="default" w:ascii="Times New Roman" w:hAnsi="Times New Roman" w:cs="Times New Roman"/>
          <w:color w:val="000000" w:themeColor="text1"/>
          <w:sz w:val="28"/>
          <w:u w:val="none"/>
          <w14:textFill>
            <w14:solidFill>
              <w14:schemeClr w14:val="tx1"/>
            </w14:solidFill>
          </w14:textFill>
        </w:rPr>
        <w:t>批准部门：云南省住房和城乡建设厅</w:t>
      </w:r>
    </w:p>
    <w:p w14:paraId="52D62233">
      <w:pPr>
        <w:spacing w:line="300" w:lineRule="auto"/>
        <w:ind w:firstLine="1680" w:firstLineChars="600"/>
        <w:rPr>
          <w:rFonts w:hint="default" w:ascii="Times New Roman" w:hAnsi="Times New Roman" w:cs="Times New Roman"/>
          <w:color w:val="000000" w:themeColor="text1"/>
          <w:sz w:val="28"/>
          <w:u w:val="none"/>
          <w14:textFill>
            <w14:solidFill>
              <w14:schemeClr w14:val="tx1"/>
            </w14:solidFill>
          </w14:textFill>
        </w:rPr>
      </w:pPr>
      <w:r>
        <w:rPr>
          <w:rFonts w:hint="default" w:ascii="Times New Roman" w:hAnsi="Times New Roman" w:cs="Times New Roman"/>
          <w:color w:val="000000" w:themeColor="text1"/>
          <w:sz w:val="28"/>
          <w:u w:val="none"/>
          <w14:textFill>
            <w14:solidFill>
              <w14:schemeClr w14:val="tx1"/>
            </w14:solidFill>
          </w14:textFill>
        </w:rPr>
        <w:t>实施日期：202×-××-××</w:t>
      </w:r>
    </w:p>
    <w:p w14:paraId="2D2009A0">
      <w:pPr>
        <w:spacing w:line="300" w:lineRule="auto"/>
        <w:ind w:firstLine="600"/>
        <w:jc w:val="center"/>
        <w:rPr>
          <w:rFonts w:hint="default" w:ascii="Times New Roman" w:hAnsi="Times New Roman" w:cs="Times New Roman"/>
          <w:color w:val="000000" w:themeColor="text1"/>
          <w:sz w:val="30"/>
          <w:u w:val="none"/>
          <w14:textFill>
            <w14:solidFill>
              <w14:schemeClr w14:val="tx1"/>
            </w14:solidFill>
          </w14:textFill>
        </w:rPr>
      </w:pPr>
    </w:p>
    <w:p w14:paraId="169A994C">
      <w:pPr>
        <w:spacing w:line="300" w:lineRule="auto"/>
        <w:ind w:firstLine="600"/>
        <w:jc w:val="center"/>
        <w:rPr>
          <w:rFonts w:hint="default" w:ascii="Times New Roman" w:hAnsi="Times New Roman" w:cs="Times New Roman"/>
          <w:color w:val="000000" w:themeColor="text1"/>
          <w:sz w:val="30"/>
          <w:u w:val="none"/>
          <w14:textFill>
            <w14:solidFill>
              <w14:schemeClr w14:val="tx1"/>
            </w14:solidFill>
          </w14:textFill>
        </w:rPr>
      </w:pPr>
    </w:p>
    <w:p w14:paraId="2F7CF41B">
      <w:pPr>
        <w:spacing w:line="300" w:lineRule="auto"/>
        <w:ind w:firstLine="600"/>
        <w:jc w:val="center"/>
        <w:rPr>
          <w:rFonts w:hint="default" w:ascii="Times New Roman" w:hAnsi="Times New Roman" w:cs="Times New Roman"/>
          <w:color w:val="000000" w:themeColor="text1"/>
          <w:sz w:val="30"/>
          <w:u w:val="none"/>
          <w14:textFill>
            <w14:solidFill>
              <w14:schemeClr w14:val="tx1"/>
            </w14:solidFill>
          </w14:textFill>
        </w:rPr>
      </w:pPr>
    </w:p>
    <w:p w14:paraId="55BCB58F">
      <w:pPr>
        <w:spacing w:line="300" w:lineRule="auto"/>
        <w:ind w:firstLine="600"/>
        <w:jc w:val="center"/>
        <w:rPr>
          <w:rFonts w:hint="default" w:ascii="Times New Roman" w:hAnsi="Times New Roman" w:cs="Times New Roman"/>
          <w:color w:val="000000" w:themeColor="text1"/>
          <w:sz w:val="30"/>
          <w:u w:val="none"/>
          <w14:textFill>
            <w14:solidFill>
              <w14:schemeClr w14:val="tx1"/>
            </w14:solidFill>
          </w14:textFill>
        </w:rPr>
      </w:pPr>
    </w:p>
    <w:p w14:paraId="099C4EC0">
      <w:pPr>
        <w:spacing w:line="300" w:lineRule="auto"/>
        <w:ind w:firstLine="600"/>
        <w:jc w:val="center"/>
        <w:rPr>
          <w:rFonts w:hint="default" w:ascii="Times New Roman" w:hAnsi="Times New Roman" w:cs="Times New Roman"/>
          <w:color w:val="000000" w:themeColor="text1"/>
          <w:sz w:val="30"/>
          <w:u w:val="none"/>
          <w14:textFill>
            <w14:solidFill>
              <w14:schemeClr w14:val="tx1"/>
            </w14:solidFill>
          </w14:textFill>
        </w:rPr>
      </w:pPr>
    </w:p>
    <w:p w14:paraId="46CED716">
      <w:pPr>
        <w:spacing w:line="300" w:lineRule="auto"/>
        <w:ind w:firstLine="600"/>
        <w:jc w:val="center"/>
        <w:rPr>
          <w:rFonts w:hint="default" w:ascii="Times New Roman" w:hAnsi="Times New Roman" w:cs="Times New Roman"/>
          <w:color w:val="000000" w:themeColor="text1"/>
          <w:sz w:val="30"/>
          <w:u w:val="none"/>
          <w14:textFill>
            <w14:solidFill>
              <w14:schemeClr w14:val="tx1"/>
            </w14:solidFill>
          </w14:textFill>
        </w:rPr>
      </w:pPr>
    </w:p>
    <w:p w14:paraId="3042CA24">
      <w:pPr>
        <w:spacing w:line="300" w:lineRule="auto"/>
        <w:jc w:val="center"/>
        <w:rPr>
          <w:rFonts w:hint="default" w:ascii="Times New Roman" w:hAnsi="Times New Roman" w:cs="Times New Roman"/>
          <w:color w:val="000000" w:themeColor="text1"/>
          <w:sz w:val="30"/>
          <w:u w:val="none"/>
          <w14:textFill>
            <w14:solidFill>
              <w14:schemeClr w14:val="tx1"/>
            </w14:solidFill>
          </w14:textFill>
        </w:rPr>
      </w:pPr>
      <w:bookmarkStart w:id="4" w:name="OLE_LINK33"/>
      <w:bookmarkStart w:id="5" w:name="OLE_LINK32"/>
      <w:r>
        <w:rPr>
          <w:rFonts w:hint="default" w:ascii="Times New Roman" w:hAnsi="Times New Roman" w:cs="Times New Roman"/>
          <w:color w:val="000000" w:themeColor="text1"/>
          <w:sz w:val="30"/>
          <w:u w:val="none"/>
          <w14:textFill>
            <w14:solidFill>
              <w14:schemeClr w14:val="tx1"/>
            </w14:solidFill>
          </w14:textFill>
        </w:rPr>
        <w:t>×××××出版社</w:t>
      </w:r>
    </w:p>
    <w:p w14:paraId="34A57AF5">
      <w:pPr>
        <w:jc w:val="center"/>
        <w:rPr>
          <w:rFonts w:hint="default" w:ascii="Times New Roman" w:hAnsi="Times New Roman" w:cs="Times New Roman"/>
          <w:color w:val="000000" w:themeColor="text1"/>
          <w:sz w:val="28"/>
          <w:u w:val="none"/>
          <w14:textFill>
            <w14:solidFill>
              <w14:schemeClr w14:val="tx1"/>
            </w14:solidFill>
          </w14:textFill>
        </w:rPr>
      </w:pPr>
      <w:r>
        <w:rPr>
          <w:rFonts w:hint="default" w:ascii="Times New Roman" w:hAnsi="Times New Roman" w:cs="Times New Roman"/>
          <w:color w:val="000000" w:themeColor="text1"/>
          <w:sz w:val="28"/>
          <w:u w:val="none"/>
          <w14:textFill>
            <w14:solidFill>
              <w14:schemeClr w14:val="tx1"/>
            </w14:solidFill>
          </w14:textFill>
        </w:rPr>
        <w:t>202×   昆  明</w:t>
      </w:r>
    </w:p>
    <w:p w14:paraId="28D2ABC4">
      <w:pPr>
        <w:jc w:val="center"/>
        <w:rPr>
          <w:rFonts w:hint="default" w:ascii="Times New Roman" w:hAnsi="Times New Roman" w:cs="Times New Roman"/>
          <w:color w:val="000000" w:themeColor="text1"/>
          <w:sz w:val="28"/>
          <w:u w:val="none"/>
          <w14:textFill>
            <w14:solidFill>
              <w14:schemeClr w14:val="tx1"/>
            </w14:solidFill>
          </w14:textFill>
        </w:rPr>
      </w:pPr>
    </w:p>
    <w:p w14:paraId="06983D61">
      <w:pPr>
        <w:jc w:val="center"/>
        <w:rPr>
          <w:rFonts w:hint="default" w:ascii="Times New Roman" w:hAnsi="Times New Roman" w:cs="Times New Roman"/>
          <w:color w:val="000000" w:themeColor="text1"/>
          <w:sz w:val="28"/>
          <w:u w:val="none"/>
          <w14:textFill>
            <w14:solidFill>
              <w14:schemeClr w14:val="tx1"/>
            </w14:solidFill>
          </w14:textFill>
        </w:rPr>
        <w:sectPr>
          <w:footerReference r:id="rId4" w:type="default"/>
          <w:footerReference r:id="rId5" w:type="even"/>
          <w:type w:val="continuous"/>
          <w:pgSz w:w="11906" w:h="16838"/>
          <w:pgMar w:top="1440" w:right="1800" w:bottom="1440" w:left="1800" w:header="851" w:footer="992" w:gutter="0"/>
          <w:cols w:space="720" w:num="1"/>
          <w:docGrid w:type="lines" w:linePitch="329" w:charSpace="0"/>
        </w:sectPr>
      </w:pPr>
    </w:p>
    <w:bookmarkEnd w:id="4"/>
    <w:bookmarkEnd w:id="5"/>
    <w:p w14:paraId="3441D5F7">
      <w:pPr>
        <w:widowControl/>
        <w:autoSpaceDE w:val="0"/>
        <w:autoSpaceDN w:val="0"/>
        <w:spacing w:line="360" w:lineRule="auto"/>
        <w:jc w:val="center"/>
        <w:rPr>
          <w:rFonts w:hint="default" w:ascii="Times New Roman" w:hAnsi="Times New Roman" w:cs="Times New Roman"/>
          <w:b/>
          <w:color w:val="000000" w:themeColor="text1"/>
          <w:kern w:val="0"/>
          <w:sz w:val="32"/>
          <w:szCs w:val="32"/>
          <w:u w:val="none"/>
          <w:lang w:val="zh-CN" w:bidi="zh-CN"/>
          <w14:textFill>
            <w14:solidFill>
              <w14:schemeClr w14:val="tx1"/>
            </w14:solidFill>
          </w14:textFill>
        </w:rPr>
      </w:pPr>
      <w:r>
        <w:rPr>
          <w:rFonts w:hint="default" w:ascii="Times New Roman" w:hAnsi="Times New Roman" w:cs="Times New Roman"/>
          <w:b/>
          <w:color w:val="000000" w:themeColor="text1"/>
          <w:kern w:val="0"/>
          <w:sz w:val="32"/>
          <w:szCs w:val="32"/>
          <w:u w:val="none"/>
          <w:lang w:val="zh-CN" w:bidi="zh-CN"/>
          <w14:textFill>
            <w14:solidFill>
              <w14:schemeClr w14:val="tx1"/>
            </w14:solidFill>
          </w14:textFill>
        </w:rPr>
        <w:t>前  言</w:t>
      </w:r>
    </w:p>
    <w:p w14:paraId="38725A1E">
      <w:pPr>
        <w:autoSpaceDE w:val="0"/>
        <w:autoSpaceDN w:val="0"/>
        <w:spacing w:line="440" w:lineRule="exact"/>
        <w:ind w:firstLine="480" w:firstLineChars="2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本标准是《云南省住房和城乡建设厅关于印发2022年工程建设地方标准编制计划的通知》要求，由云南省建筑科学研究院有限公司和云南省设计院集团有限公司、云南建筑技术发展中心会同有关单位在原地方标准《云南省绿色建筑评价标准》DBJ 53/T-49-2015和现行国家标准《绿色建筑评价标准》GB/T 50378-2024的基础上修订完成的。</w:t>
      </w:r>
    </w:p>
    <w:p w14:paraId="4C25E479">
      <w:pPr>
        <w:autoSpaceDE w:val="0"/>
        <w:autoSpaceDN w:val="0"/>
        <w:spacing w:line="440" w:lineRule="exact"/>
        <w:ind w:firstLine="480" w:firstLineChars="2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本标准在修订过程中，编制组开展了广泛的调查研究，总结了近年来《云南省绿色建筑评价标准》DBJ 53/T-49-2015的实施情况和实践经验，参考了国际和国家标准，认真总结了国内外绿色建筑的建设经验和相关技术资料，结合云南省区域性特点，在广泛征求了有关方面意见的基础上反复讨论、协调和修改，最后经审查定稿。</w:t>
      </w:r>
    </w:p>
    <w:p w14:paraId="38EB638A">
      <w:pPr>
        <w:autoSpaceDE w:val="0"/>
        <w:autoSpaceDN w:val="0"/>
        <w:spacing w:line="440" w:lineRule="exact"/>
        <w:ind w:firstLine="480" w:firstLineChars="2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本标准的主要技术内容包括：1.总则 ；2.术语 ；3.基本规定 ；4.安全耐久 ；5.健康舒适 ；6.生活便利 ；7.资源节约 ；8.环境宜居 ；9.提高与创新。</w:t>
      </w:r>
    </w:p>
    <w:p w14:paraId="6C40AC63">
      <w:pPr>
        <w:autoSpaceDE w:val="0"/>
        <w:autoSpaceDN w:val="0"/>
        <w:spacing w:line="440" w:lineRule="exact"/>
        <w:ind w:firstLine="480" w:firstLineChars="2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本标准由云南省住房和城乡建设厅负责管理，由云南省建筑科学研究院有限公司（昆明市学府路150号，邮政编码：650223）负责具体技术内容的解释。</w:t>
      </w:r>
    </w:p>
    <w:p w14:paraId="01F6B645">
      <w:pPr>
        <w:autoSpaceDE w:val="0"/>
        <w:autoSpaceDN w:val="0"/>
        <w:spacing w:line="440" w:lineRule="exact"/>
        <w:ind w:firstLine="480" w:firstLineChars="2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本标准主编单位、参编单位、主要起草人和主要审查人：</w:t>
      </w:r>
    </w:p>
    <w:p w14:paraId="4E740950">
      <w:pPr>
        <w:autoSpaceDE w:val="0"/>
        <w:autoSpaceDN w:val="0"/>
        <w:spacing w:line="440" w:lineRule="exact"/>
        <w:ind w:firstLine="480" w:firstLineChars="2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p>
    <w:p w14:paraId="0630F1B8">
      <w:pPr>
        <w:autoSpaceDE w:val="0"/>
        <w:autoSpaceDN w:val="0"/>
        <w:spacing w:line="440" w:lineRule="exact"/>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b/>
          <w:color w:val="000000" w:themeColor="text1"/>
          <w:kern w:val="0"/>
          <w:sz w:val="24"/>
          <w:u w:val="none"/>
          <w:lang w:val="zh-CN" w:bidi="zh-CN"/>
          <w14:textFill>
            <w14:solidFill>
              <w14:schemeClr w14:val="tx1"/>
            </w14:solidFill>
          </w14:textFill>
        </w:rPr>
        <w:t>主编单位：</w:t>
      </w:r>
      <w:r>
        <w:rPr>
          <w:rFonts w:hint="default" w:ascii="Times New Roman" w:hAnsi="Times New Roman" w:cs="Times New Roman"/>
          <w:color w:val="000000" w:themeColor="text1"/>
          <w:kern w:val="0"/>
          <w:sz w:val="24"/>
          <w:u w:val="none"/>
          <w:lang w:val="zh-CN" w:bidi="zh-CN"/>
          <w14:textFill>
            <w14:solidFill>
              <w14:schemeClr w14:val="tx1"/>
            </w14:solidFill>
          </w14:textFill>
        </w:rPr>
        <w:t>云南省建筑科学研究院有限公司</w:t>
      </w:r>
    </w:p>
    <w:p w14:paraId="0AF1C272">
      <w:pPr>
        <w:autoSpaceDE w:val="0"/>
        <w:autoSpaceDN w:val="0"/>
        <w:spacing w:line="440" w:lineRule="exact"/>
        <w:ind w:firstLine="1200" w:firstLineChars="5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云南省设计院集团有限公司</w:t>
      </w:r>
    </w:p>
    <w:p w14:paraId="5712A8FB">
      <w:pPr>
        <w:autoSpaceDE w:val="0"/>
        <w:autoSpaceDN w:val="0"/>
        <w:spacing w:line="440" w:lineRule="exact"/>
        <w:ind w:firstLine="1200" w:firstLineChars="5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云南建筑技术发展中心</w:t>
      </w:r>
    </w:p>
    <w:p w14:paraId="73660DEC">
      <w:pPr>
        <w:autoSpaceDE w:val="0"/>
        <w:autoSpaceDN w:val="0"/>
        <w:spacing w:line="440" w:lineRule="exact"/>
        <w:ind w:firstLine="1200" w:firstLineChars="5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p>
    <w:p w14:paraId="423EE76A">
      <w:pPr>
        <w:autoSpaceDE w:val="0"/>
        <w:autoSpaceDN w:val="0"/>
        <w:spacing w:line="440" w:lineRule="exact"/>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b/>
          <w:color w:val="000000" w:themeColor="text1"/>
          <w:kern w:val="0"/>
          <w:sz w:val="24"/>
          <w:u w:val="none"/>
          <w:lang w:val="zh-CN" w:bidi="zh-CN"/>
          <w14:textFill>
            <w14:solidFill>
              <w14:schemeClr w14:val="tx1"/>
            </w14:solidFill>
          </w14:textFill>
        </w:rPr>
        <w:t>参编单位：</w:t>
      </w:r>
      <w:r>
        <w:rPr>
          <w:rFonts w:hint="default" w:ascii="Times New Roman" w:hAnsi="Times New Roman" w:cs="Times New Roman"/>
          <w:color w:val="000000" w:themeColor="text1"/>
          <w:kern w:val="0"/>
          <w:sz w:val="24"/>
          <w:u w:val="none"/>
          <w:lang w:val="zh-CN" w:bidi="zh-CN"/>
          <w14:textFill>
            <w14:solidFill>
              <w14:schemeClr w14:val="tx1"/>
            </w14:solidFill>
          </w14:textFill>
        </w:rPr>
        <w:t>北京绿建软件股份有限公司</w:t>
      </w:r>
    </w:p>
    <w:p w14:paraId="5D8EB48E">
      <w:pPr>
        <w:autoSpaceDE w:val="0"/>
        <w:autoSpaceDN w:val="0"/>
        <w:spacing w:line="440" w:lineRule="exact"/>
        <w:ind w:firstLine="1200" w:firstLineChars="5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广东石油化工学院</w:t>
      </w:r>
    </w:p>
    <w:p w14:paraId="5F86A4C6">
      <w:pPr>
        <w:autoSpaceDE w:val="0"/>
        <w:autoSpaceDN w:val="0"/>
        <w:spacing w:line="440" w:lineRule="exact"/>
        <w:ind w:firstLine="1200" w:firstLineChars="5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云南易高新型节能建材有限公司</w:t>
      </w:r>
    </w:p>
    <w:p w14:paraId="24CB877F">
      <w:pPr>
        <w:autoSpaceDE w:val="0"/>
        <w:autoSpaceDN w:val="0"/>
        <w:spacing w:line="440" w:lineRule="exact"/>
        <w:ind w:firstLine="1200" w:firstLineChars="5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color w:val="000000" w:themeColor="text1"/>
          <w:kern w:val="0"/>
          <w:sz w:val="24"/>
          <w:u w:val="none"/>
          <w:lang w:val="zh-CN" w:bidi="zh-CN"/>
          <w14:textFill>
            <w14:solidFill>
              <w14:schemeClr w14:val="tx1"/>
            </w14:solidFill>
          </w14:textFill>
        </w:rPr>
        <w:t>众生设计集团有限公司云南分公司</w:t>
      </w:r>
    </w:p>
    <w:p w14:paraId="30304D81">
      <w:pPr>
        <w:autoSpaceDE w:val="0"/>
        <w:autoSpaceDN w:val="0"/>
        <w:spacing w:line="440" w:lineRule="exact"/>
        <w:ind w:firstLine="1200" w:firstLineChars="5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p>
    <w:p w14:paraId="495325A0">
      <w:pPr>
        <w:autoSpaceDE w:val="0"/>
        <w:autoSpaceDN w:val="0"/>
        <w:spacing w:line="440" w:lineRule="exact"/>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r>
        <w:rPr>
          <w:rFonts w:hint="default" w:ascii="Times New Roman" w:hAnsi="Times New Roman" w:cs="Times New Roman"/>
          <w:b/>
          <w:color w:val="000000" w:themeColor="text1"/>
          <w:kern w:val="0"/>
          <w:sz w:val="24"/>
          <w:u w:val="none"/>
          <w:lang w:val="zh-CN" w:bidi="zh-CN"/>
          <w14:textFill>
            <w14:solidFill>
              <w14:schemeClr w14:val="tx1"/>
            </w14:solidFill>
          </w14:textFill>
        </w:rPr>
        <w:t>主要起草人：</w:t>
      </w:r>
      <w:r>
        <w:rPr>
          <w:rFonts w:hint="default" w:ascii="Times New Roman" w:hAnsi="Times New Roman" w:cs="Times New Roman"/>
          <w:color w:val="000000" w:themeColor="text1"/>
          <w:kern w:val="0"/>
          <w:sz w:val="24"/>
          <w:u w:val="none"/>
          <w:lang w:val="zh-CN" w:bidi="zh-CN"/>
          <w14:textFill>
            <w14:solidFill>
              <w14:schemeClr w14:val="tx1"/>
            </w14:solidFill>
          </w14:textFill>
        </w:rPr>
        <w:t xml:space="preserve">     </w:t>
      </w:r>
    </w:p>
    <w:p w14:paraId="72B063E0">
      <w:pPr>
        <w:autoSpaceDE w:val="0"/>
        <w:autoSpaceDN w:val="0"/>
        <w:spacing w:line="440" w:lineRule="exact"/>
        <w:ind w:firstLine="480" w:firstLineChars="200"/>
        <w:jc w:val="left"/>
        <w:rPr>
          <w:rFonts w:hint="default" w:ascii="Times New Roman" w:hAnsi="Times New Roman" w:cs="Times New Roman"/>
          <w:color w:val="000000" w:themeColor="text1"/>
          <w:kern w:val="0"/>
          <w:sz w:val="24"/>
          <w:u w:val="none"/>
          <w:lang w:val="zh-CN" w:bidi="zh-CN"/>
          <w14:textFill>
            <w14:solidFill>
              <w14:schemeClr w14:val="tx1"/>
            </w14:solidFill>
          </w14:textFill>
        </w:rPr>
      </w:pPr>
    </w:p>
    <w:p w14:paraId="7B2C67AE">
      <w:pPr>
        <w:autoSpaceDE w:val="0"/>
        <w:autoSpaceDN w:val="0"/>
        <w:spacing w:line="440" w:lineRule="exact"/>
        <w:jc w:val="left"/>
        <w:rPr>
          <w:rFonts w:hint="default" w:ascii="Times New Roman" w:hAnsi="Times New Roman" w:cs="Times New Roman"/>
          <w:b/>
          <w:color w:val="000000" w:themeColor="text1"/>
          <w:kern w:val="0"/>
          <w:sz w:val="24"/>
          <w:u w:val="none"/>
          <w:lang w:val="zh-CN" w:bidi="zh-CN"/>
          <w14:textFill>
            <w14:solidFill>
              <w14:schemeClr w14:val="tx1"/>
            </w14:solidFill>
          </w14:textFill>
        </w:rPr>
      </w:pPr>
      <w:r>
        <w:rPr>
          <w:rFonts w:hint="default" w:ascii="Times New Roman" w:hAnsi="Times New Roman" w:cs="Times New Roman"/>
          <w:b/>
          <w:color w:val="000000" w:themeColor="text1"/>
          <w:kern w:val="0"/>
          <w:sz w:val="24"/>
          <w:u w:val="none"/>
          <w:lang w:val="zh-CN" w:bidi="zh-CN"/>
          <w14:textFill>
            <w14:solidFill>
              <w14:schemeClr w14:val="tx1"/>
            </w14:solidFill>
          </w14:textFill>
        </w:rPr>
        <w:t>主要审查人：</w:t>
      </w:r>
    </w:p>
    <w:p w14:paraId="57FF2B13">
      <w:pPr>
        <w:autoSpaceDE w:val="0"/>
        <w:autoSpaceDN w:val="0"/>
        <w:spacing w:line="440" w:lineRule="exact"/>
        <w:jc w:val="left"/>
        <w:rPr>
          <w:rFonts w:hint="default" w:ascii="Times New Roman" w:hAnsi="Times New Roman" w:cs="Times New Roman"/>
          <w:b/>
          <w:color w:val="000000" w:themeColor="text1"/>
          <w:kern w:val="0"/>
          <w:sz w:val="24"/>
          <w:u w:val="none"/>
          <w:lang w:val="zh-CN" w:bidi="zh-CN"/>
          <w14:textFill>
            <w14:solidFill>
              <w14:schemeClr w14:val="tx1"/>
            </w14:solidFill>
          </w14:textFill>
        </w:rPr>
      </w:pPr>
    </w:p>
    <w:p w14:paraId="3AB11CDB">
      <w:pPr>
        <w:rPr>
          <w:rFonts w:hint="default" w:ascii="Times New Roman" w:hAnsi="Times New Roman" w:cs="Times New Roman"/>
          <w:b/>
          <w:color w:val="000000" w:themeColor="text1"/>
          <w:kern w:val="0"/>
          <w:sz w:val="24"/>
          <w:u w:val="none"/>
          <w:lang w:val="zh-CN" w:bidi="zh-CN"/>
          <w14:textFill>
            <w14:solidFill>
              <w14:schemeClr w14:val="tx1"/>
            </w14:solidFill>
          </w14:textFill>
        </w:rPr>
      </w:pPr>
      <w:r>
        <w:rPr>
          <w:rFonts w:hint="default" w:ascii="Times New Roman" w:hAnsi="Times New Roman" w:cs="Times New Roman"/>
          <w:b/>
          <w:color w:val="000000" w:themeColor="text1"/>
          <w:kern w:val="0"/>
          <w:sz w:val="24"/>
          <w:u w:val="none"/>
          <w:lang w:val="zh-CN" w:bidi="zh-CN"/>
          <w14:textFill>
            <w14:solidFill>
              <w14:schemeClr w14:val="tx1"/>
            </w14:solidFill>
          </w14:textFill>
        </w:rPr>
        <w:br w:type="page"/>
      </w:r>
    </w:p>
    <w:p w14:paraId="56309FCA">
      <w:pPr>
        <w:autoSpaceDE w:val="0"/>
        <w:autoSpaceDN w:val="0"/>
        <w:spacing w:line="440" w:lineRule="exact"/>
        <w:jc w:val="left"/>
        <w:rPr>
          <w:rFonts w:hint="default" w:ascii="Times New Roman" w:hAnsi="Times New Roman" w:cs="Times New Roman"/>
          <w:b/>
          <w:color w:val="000000" w:themeColor="text1"/>
          <w:kern w:val="0"/>
          <w:sz w:val="24"/>
          <w:u w:val="none"/>
          <w:lang w:val="zh-CN" w:bidi="zh-CN"/>
          <w14:textFill>
            <w14:solidFill>
              <w14:schemeClr w14:val="tx1"/>
            </w14:solidFill>
          </w14:textFill>
        </w:rPr>
        <w:sectPr>
          <w:footerReference r:id="rId6" w:type="default"/>
          <w:type w:val="continuous"/>
          <w:pgSz w:w="11906" w:h="16838"/>
          <w:pgMar w:top="1440" w:right="1800" w:bottom="1440" w:left="1800" w:header="851" w:footer="992" w:gutter="0"/>
          <w:cols w:space="425" w:num="1"/>
          <w:docGrid w:type="lines" w:linePitch="312" w:charSpace="0"/>
        </w:sectPr>
      </w:pPr>
    </w:p>
    <w:sdt>
      <w:sdtPr>
        <w:rPr>
          <w:rFonts w:hint="default" w:ascii="Times New Roman" w:hAnsi="Times New Roman" w:eastAsia="宋体" w:cs="Times New Roman"/>
          <w:b/>
          <w:bCs/>
          <w:kern w:val="2"/>
          <w:sz w:val="24"/>
          <w:szCs w:val="24"/>
          <w:u w:val="none"/>
          <w:lang w:val="en-US" w:eastAsia="zh-CN" w:bidi="ar-SA"/>
        </w:rPr>
        <w:id w:val="147456704"/>
        <w15:color w:val="DBDBDB"/>
        <w:docPartObj>
          <w:docPartGallery w:val="Table of Contents"/>
          <w:docPartUnique/>
        </w:docPartObj>
      </w:sdtPr>
      <w:sdtEndPr>
        <w:rPr>
          <w:rFonts w:hint="default" w:ascii="Times New Roman" w:hAnsi="Times New Roman" w:cs="Times New Roman" w:eastAsiaTheme="minorEastAsia"/>
          <w:b/>
          <w:bCs/>
          <w:color w:val="000000" w:themeColor="text1"/>
          <w:kern w:val="0"/>
          <w:sz w:val="21"/>
          <w:szCs w:val="22"/>
          <w:u w:val="none"/>
          <w:lang w:val="zh-CN" w:eastAsia="zh-CN" w:bidi="zh-CN"/>
          <w14:textFill>
            <w14:solidFill>
              <w14:schemeClr w14:val="tx1"/>
            </w14:solidFill>
          </w14:textFill>
        </w:rPr>
      </w:sdtEndPr>
      <w:sdtContent>
        <w:p w14:paraId="4B30DC40">
          <w:pPr>
            <w:spacing w:before="0" w:beforeLines="0" w:after="0" w:afterLines="0" w:line="240" w:lineRule="auto"/>
            <w:ind w:left="0" w:leftChars="0" w:right="0" w:rightChars="0" w:firstLine="0" w:firstLineChars="0"/>
            <w:jc w:val="center"/>
            <w:rPr>
              <w:rFonts w:hint="default" w:ascii="Times New Roman" w:hAnsi="Times New Roman" w:cs="Times New Roman"/>
              <w:b/>
              <w:bCs/>
              <w:sz w:val="24"/>
              <w:szCs w:val="24"/>
              <w:u w:val="none"/>
            </w:rPr>
          </w:pPr>
          <w:r>
            <w:rPr>
              <w:rFonts w:hint="default" w:ascii="Times New Roman" w:hAnsi="Times New Roman" w:eastAsia="宋体" w:cs="Times New Roman"/>
              <w:b/>
              <w:bCs/>
              <w:sz w:val="24"/>
              <w:szCs w:val="24"/>
              <w:u w:val="none"/>
            </w:rPr>
            <w:t>目</w:t>
          </w:r>
          <w:r>
            <w:rPr>
              <w:rFonts w:hint="default" w:ascii="Times New Roman" w:hAnsi="Times New Roman" w:eastAsia="宋体" w:cs="Times New Roman"/>
              <w:b/>
              <w:bCs/>
              <w:sz w:val="24"/>
              <w:szCs w:val="24"/>
              <w:u w:val="none"/>
              <w:lang w:val="en-US" w:eastAsia="zh-CN"/>
            </w:rPr>
            <w:t xml:space="preserve"> </w:t>
          </w:r>
          <w:r>
            <w:rPr>
              <w:rFonts w:hint="default" w:ascii="Times New Roman" w:hAnsi="Times New Roman" w:eastAsia="宋体" w:cs="Times New Roman"/>
              <w:b/>
              <w:bCs/>
              <w:sz w:val="24"/>
              <w:szCs w:val="24"/>
              <w:u w:val="none"/>
            </w:rPr>
            <w:t>录</w:t>
          </w:r>
        </w:p>
        <w:p w14:paraId="031570C9">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b/>
              <w:color w:val="000000" w:themeColor="text1"/>
              <w:kern w:val="0"/>
              <w:sz w:val="24"/>
              <w:u w:val="none"/>
              <w:lang w:val="zh-CN" w:bidi="zh-CN"/>
              <w14:textFill>
                <w14:solidFill>
                  <w14:schemeClr w14:val="tx1"/>
                </w14:solidFill>
              </w14:textFill>
            </w:rPr>
            <w:fldChar w:fldCharType="begin"/>
          </w:r>
          <w:r>
            <w:rPr>
              <w:rFonts w:hint="default" w:ascii="Times New Roman" w:hAnsi="Times New Roman" w:cs="Times New Roman"/>
              <w:b/>
              <w:color w:val="000000" w:themeColor="text1"/>
              <w:kern w:val="0"/>
              <w:sz w:val="24"/>
              <w:u w:val="none"/>
              <w:lang w:val="zh-CN" w:bidi="zh-CN"/>
              <w14:textFill>
                <w14:solidFill>
                  <w14:schemeClr w14:val="tx1"/>
                </w14:solidFill>
              </w14:textFill>
            </w:rPr>
            <w:instrText xml:space="preserve">TOC \o "1-3" \h \u </w:instrText>
          </w:r>
          <w:r>
            <w:rPr>
              <w:rFonts w:hint="default" w:ascii="Times New Roman" w:hAnsi="Times New Roman" w:cs="Times New Roman"/>
              <w:b/>
              <w:color w:val="000000" w:themeColor="text1"/>
              <w:kern w:val="0"/>
              <w:sz w:val="24"/>
              <w:u w:val="none"/>
              <w:lang w:val="zh-CN" w:bidi="zh-CN"/>
              <w14:textFill>
                <w14:solidFill>
                  <w14:schemeClr w14:val="tx1"/>
                </w14:solidFill>
              </w14:textFill>
            </w:rPr>
            <w:fldChar w:fldCharType="separate"/>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_Toc16545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1 总  则</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_Toc16545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64AB42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_Toc26219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2 术  语</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_Toc26219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CA3DA1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_Toc15549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3 基本规定</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_Toc15549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CFD2B9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_Toc9574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3.1 一般规定</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_Toc9574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CEA74A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_Toc8323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3.2 评价与等级划分</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_Toc8323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73CAA63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_Toc26642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4 安全耐久</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_Toc26642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612B8B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_Toc7712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4.1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_Toc7712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8373CCA">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_Toc28533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4.2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_Toc28533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573284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_Toc5096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 安全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_Toc5096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1C7DDD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_Toc17519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eastAsia="宋体" w:cs="Times New Roman"/>
              <w:sz w:val="24"/>
              <w:szCs w:val="24"/>
              <w:u w:val="none"/>
              <w:lang w:eastAsia="zh-CN"/>
            </w:rPr>
            <w:t>Ⅱ</w:t>
          </w:r>
          <w:r>
            <w:rPr>
              <w:rFonts w:hint="default" w:ascii="Times New Roman" w:hAnsi="Times New Roman" w:cs="Times New Roman"/>
              <w:sz w:val="24"/>
              <w:szCs w:val="24"/>
              <w:u w:val="none"/>
              <w:lang w:eastAsia="zh-CN"/>
            </w:rPr>
            <w:t xml:space="preserve"> 耐久</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_Toc17519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7</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11F6900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_Toc25514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5 健康舒适</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_Toc25514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9</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49C94B8">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_Toc5176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5.1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_Toc5176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9</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32788C1">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_Toc13760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5.2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_Toc13760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10</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1380EF24">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_Toc23998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 室内空气品质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_Toc23998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10</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5A691A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_Toc3446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eastAsia="宋体" w:cs="Times New Roman"/>
              <w:sz w:val="24"/>
              <w:szCs w:val="24"/>
              <w:u w:val="none"/>
              <w:lang w:eastAsia="zh-CN"/>
            </w:rPr>
            <w:t>Ⅱ</w:t>
          </w:r>
          <w:r>
            <w:rPr>
              <w:rFonts w:hint="default" w:ascii="Times New Roman" w:hAnsi="Times New Roman" w:cs="Times New Roman"/>
              <w:sz w:val="24"/>
              <w:szCs w:val="24"/>
              <w:u w:val="none"/>
              <w:lang w:eastAsia="zh-CN"/>
            </w:rPr>
            <w:t xml:space="preserve"> 水质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_Toc3446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10</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5BA2DF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_Toc24295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eastAsia="宋体" w:cs="Times New Roman"/>
              <w:sz w:val="24"/>
              <w:szCs w:val="24"/>
              <w:u w:val="none"/>
              <w:lang w:eastAsia="zh-CN"/>
            </w:rPr>
            <w:t>Ⅲ</w:t>
          </w:r>
          <w:r>
            <w:rPr>
              <w:rFonts w:hint="default" w:ascii="Times New Roman" w:hAnsi="Times New Roman" w:cs="Times New Roman"/>
              <w:sz w:val="24"/>
              <w:szCs w:val="24"/>
              <w:u w:val="none"/>
              <w:lang w:eastAsia="zh-CN"/>
            </w:rPr>
            <w:t xml:space="preserve"> 声环境与光环境</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_Toc24295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11</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86AA3DD">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_Toc438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IV 室内热湿环境</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_Toc438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12</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B12FAB9">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_Toc26895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6 生活便利</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_Toc26895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14</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426C81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_Toc17446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pacing w:val="-8"/>
              <w:sz w:val="24"/>
              <w:szCs w:val="24"/>
              <w:u w:val="none"/>
              <w:lang w:eastAsia="zh-CN"/>
            </w:rPr>
            <w:t>6.1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_Toc17446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14</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4F6629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_Toc15919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6.2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_Toc15919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14</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28BF84F">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_Toc12820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 出行与无障碍</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_Toc12820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14</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E45CA03">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_Toc25753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eastAsia="宋体" w:cs="Times New Roman"/>
              <w:sz w:val="24"/>
              <w:szCs w:val="24"/>
              <w:u w:val="none"/>
              <w:lang w:eastAsia="zh-CN"/>
            </w:rPr>
            <w:t>Ⅱ</w:t>
          </w:r>
          <w:r>
            <w:rPr>
              <w:rFonts w:hint="default" w:ascii="Times New Roman" w:hAnsi="Times New Roman" w:cs="Times New Roman"/>
              <w:sz w:val="24"/>
              <w:szCs w:val="24"/>
              <w:u w:val="none"/>
              <w:lang w:eastAsia="zh-CN"/>
            </w:rPr>
            <w:t xml:space="preserve"> 服务设施</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_Toc25753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6052958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_Toc17891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eastAsia="宋体" w:cs="Times New Roman"/>
              <w:sz w:val="24"/>
              <w:szCs w:val="24"/>
              <w:u w:val="none"/>
              <w:lang w:eastAsia="zh-CN"/>
            </w:rPr>
            <w:t>Ⅲ</w:t>
          </w:r>
          <w:r>
            <w:rPr>
              <w:rFonts w:hint="default" w:ascii="Times New Roman" w:hAnsi="Times New Roman" w:cs="Times New Roman"/>
              <w:sz w:val="24"/>
              <w:szCs w:val="24"/>
              <w:u w:val="none"/>
              <w:lang w:eastAsia="zh-CN"/>
            </w:rPr>
            <w:t xml:space="preserve"> 智慧运行</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_Toc17891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16</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1760DF9">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_Toc3368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IV 运营管理</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_Toc3368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16</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C5011E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_Toc13536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7 资源节约</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_Toc13536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18</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9CCC57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_Toc18513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7.1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_Toc18513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18</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931757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_Toc9375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7.2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_Toc9375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19</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1138B31">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_Toc26758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 节地与土地利用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_Toc26758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19</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11D37F2">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_Toc31819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eastAsia="宋体" w:cs="Times New Roman"/>
              <w:sz w:val="24"/>
              <w:szCs w:val="24"/>
              <w:u w:val="none"/>
              <w:lang w:eastAsia="zh-CN"/>
            </w:rPr>
            <w:t>Ⅱ</w:t>
          </w:r>
          <w:r>
            <w:rPr>
              <w:rFonts w:hint="default" w:ascii="Times New Roman" w:hAnsi="Times New Roman" w:cs="Times New Roman"/>
              <w:sz w:val="24"/>
              <w:szCs w:val="24"/>
              <w:u w:val="none"/>
              <w:lang w:eastAsia="zh-CN"/>
            </w:rPr>
            <w:t xml:space="preserve"> 节能与能源利用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_Toc31819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20</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6A88A7C">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_Toc9403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eastAsia="宋体" w:cs="Times New Roman"/>
              <w:sz w:val="24"/>
              <w:szCs w:val="24"/>
              <w:u w:val="none"/>
              <w:lang w:eastAsia="zh-CN"/>
            </w:rPr>
            <w:t>Ⅲ</w:t>
          </w:r>
          <w:r>
            <w:rPr>
              <w:rFonts w:hint="default" w:ascii="Times New Roman" w:hAnsi="Times New Roman" w:cs="Times New Roman"/>
              <w:sz w:val="24"/>
              <w:szCs w:val="24"/>
              <w:u w:val="none"/>
              <w:lang w:eastAsia="zh-CN"/>
            </w:rPr>
            <w:t xml:space="preserve"> 节水与水资源利用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_Toc9403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23</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15C3614">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_Toc14749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IV 节材与绿色建材</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_Toc14749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23</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6B8500E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_Toc25619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8 环境宜居</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_Toc25619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A8A8BC2">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_Toc11853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8.1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_Toc11853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BB65839">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_Toc9216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8.2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_Toc9216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98D907F">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_Toc29236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 场地生态与景观</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_Toc29236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67A893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_Toc13405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eastAsia="宋体" w:cs="Times New Roman"/>
              <w:sz w:val="24"/>
              <w:szCs w:val="24"/>
              <w:u w:val="none"/>
              <w:lang w:eastAsia="zh-CN"/>
            </w:rPr>
            <w:t>Ⅱ</w:t>
          </w:r>
          <w:r>
            <w:rPr>
              <w:rFonts w:hint="default" w:ascii="Times New Roman" w:hAnsi="Times New Roman" w:cs="Times New Roman"/>
              <w:sz w:val="24"/>
              <w:szCs w:val="24"/>
              <w:u w:val="none"/>
              <w:lang w:eastAsia="zh-CN"/>
            </w:rPr>
            <w:t xml:space="preserve"> 室外物理环境</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_Toc13405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27</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553666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_Toc30601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9 提高与创新</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_Toc30601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29</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5A51CF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_Toc8514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9.1 一般规定</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_Toc8514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29</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6B30EE2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_Toc22992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9.2 加分项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_Toc22992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29</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131FD5E9">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_Toc8363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本标准用词说明</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_Toc8363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32</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71F54C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_Toc1398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引用标准名录</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_Toc1398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33</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E383DB1">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_Toc18988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条 文 说 明</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_Toc18988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7FBD0C7E">
          <w:pPr>
            <w:autoSpaceDE w:val="0"/>
            <w:autoSpaceDN w:val="0"/>
            <w:spacing w:line="440" w:lineRule="exact"/>
            <w:jc w:val="left"/>
            <w:rPr>
              <w:rFonts w:hint="default" w:ascii="Times New Roman" w:hAnsi="Times New Roman" w:cs="Times New Roman" w:eastAsiaTheme="minorEastAsia"/>
              <w:color w:val="000000" w:themeColor="text1"/>
              <w:kern w:val="0"/>
              <w:sz w:val="21"/>
              <w:szCs w:val="22"/>
              <w:u w:val="none"/>
              <w:lang w:val="zh-CN" w:eastAsia="zh-CN" w:bidi="zh-CN"/>
              <w14:textFill>
                <w14:solidFill>
                  <w14:schemeClr w14:val="tx1"/>
                </w14:solidFill>
              </w14:textFill>
            </w:rPr>
          </w:pPr>
          <w:r>
            <w:rPr>
              <w:rFonts w:hint="default" w:ascii="Times New Roman" w:hAnsi="Times New Roman" w:cs="Times New Roman"/>
              <w:color w:val="000000" w:themeColor="text1"/>
              <w:kern w:val="0"/>
              <w:u w:val="none"/>
              <w:lang w:val="zh-CN" w:bidi="zh-CN"/>
              <w14:textFill>
                <w14:solidFill>
                  <w14:schemeClr w14:val="tx1"/>
                </w14:solidFill>
              </w14:textFill>
            </w:rPr>
            <w:fldChar w:fldCharType="end"/>
          </w:r>
        </w:p>
      </w:sdtContent>
    </w:sdt>
    <w:p w14:paraId="0C65D142">
      <w:pPr>
        <w:autoSpaceDE w:val="0"/>
        <w:autoSpaceDN w:val="0"/>
        <w:spacing w:line="440" w:lineRule="exact"/>
        <w:jc w:val="left"/>
        <w:rPr>
          <w:rFonts w:hint="default" w:ascii="Times New Roman" w:hAnsi="Times New Roman" w:cs="Times New Roman" w:eastAsiaTheme="minorEastAsia"/>
          <w:color w:val="000000" w:themeColor="text1"/>
          <w:kern w:val="0"/>
          <w:sz w:val="21"/>
          <w:szCs w:val="22"/>
          <w:u w:val="none"/>
          <w:lang w:val="zh-CN" w:eastAsia="zh-CN" w:bidi="zh-CN"/>
          <w14:textFill>
            <w14:solidFill>
              <w14:schemeClr w14:val="tx1"/>
            </w14:solidFill>
          </w14:textFill>
        </w:rPr>
      </w:pPr>
    </w:p>
    <w:p w14:paraId="764B30FC">
      <w:pPr>
        <w:autoSpaceDE w:val="0"/>
        <w:autoSpaceDN w:val="0"/>
        <w:spacing w:line="440" w:lineRule="exact"/>
        <w:jc w:val="left"/>
        <w:rPr>
          <w:rFonts w:hint="default" w:ascii="Times New Roman" w:hAnsi="Times New Roman" w:cs="Times New Roman"/>
          <w:b/>
          <w:color w:val="000000" w:themeColor="text1"/>
          <w:kern w:val="0"/>
          <w:sz w:val="24"/>
          <w:u w:val="none"/>
          <w:lang w:val="zh-CN" w:bidi="zh-CN"/>
          <w14:textFill>
            <w14:solidFill>
              <w14:schemeClr w14:val="tx1"/>
            </w14:solidFill>
          </w14:textFill>
        </w:rPr>
      </w:pPr>
    </w:p>
    <w:p w14:paraId="088F6805">
      <w:pPr>
        <w:autoSpaceDE w:val="0"/>
        <w:autoSpaceDN w:val="0"/>
        <w:spacing w:line="440" w:lineRule="exact"/>
        <w:jc w:val="left"/>
        <w:rPr>
          <w:rFonts w:hint="default" w:ascii="Times New Roman" w:hAnsi="Times New Roman" w:cs="Times New Roman"/>
          <w:b/>
          <w:color w:val="000000" w:themeColor="text1"/>
          <w:kern w:val="0"/>
          <w:sz w:val="24"/>
          <w:u w:val="none"/>
          <w:lang w:val="zh-CN" w:bidi="zh-CN"/>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40692EA5">
      <w:pPr>
        <w:spacing w:line="300" w:lineRule="auto"/>
        <w:jc w:val="center"/>
        <w:rPr>
          <w:rFonts w:hint="default" w:ascii="Times New Roman" w:hAnsi="Times New Roman" w:cs="Times New Roman"/>
          <w:b w:val="0"/>
          <w:bCs w:val="0"/>
          <w:sz w:val="36"/>
          <w:szCs w:val="36"/>
          <w:u w:val="none"/>
        </w:rPr>
      </w:pPr>
      <w:r>
        <w:rPr>
          <w:rFonts w:hint="default" w:ascii="Times New Roman" w:hAnsi="Times New Roman" w:cs="Times New Roman"/>
          <w:b w:val="0"/>
          <w:bCs w:val="0"/>
          <w:sz w:val="28"/>
          <w:szCs w:val="28"/>
          <w:u w:val="none"/>
        </w:rPr>
        <w:t xml:space="preserve"> </w:t>
      </w:r>
      <w:r>
        <w:rPr>
          <w:rFonts w:hint="default" w:ascii="Times New Roman" w:hAnsi="Times New Roman" w:cs="Times New Roman"/>
          <w:b w:val="0"/>
          <w:bCs w:val="0"/>
          <w:sz w:val="36"/>
          <w:szCs w:val="36"/>
          <w:u w:val="none"/>
        </w:rPr>
        <w:t>Contents</w:t>
      </w:r>
    </w:p>
    <w:p w14:paraId="267DB6DE">
      <w:pPr>
        <w:rPr>
          <w:rFonts w:hint="default" w:ascii="Times New Roman" w:hAnsi="Times New Roman" w:cs="Times New Roman"/>
          <w:u w:val="none"/>
        </w:rPr>
      </w:pPr>
    </w:p>
    <w:p w14:paraId="4481CB0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TOC \o "1-3" \h \z \u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_Toc29009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 General Provisions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_Toc29009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05CCD0D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_Toc20359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 Terms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_Toc20359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68028C89">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_Toc20358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 Basic Requirements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_Toc20358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53793B0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_Toc17360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lang w:val="en-US" w:eastAsia="zh-CN"/>
        </w:rPr>
        <w:t xml:space="preserve">3.1 </w:t>
      </w:r>
      <w:r>
        <w:rPr>
          <w:rFonts w:hint="default" w:ascii="Times New Roman" w:hAnsi="Times New Roman" w:eastAsia="黑体" w:cs="Times New Roman"/>
          <w:kern w:val="2"/>
          <w:sz w:val="24"/>
          <w:szCs w:val="24"/>
          <w:u w:val="none"/>
        </w:rPr>
        <w:t>General Requirements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_Toc17360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259AA6BA">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_Toc32144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bCs/>
          <w:kern w:val="2"/>
          <w:sz w:val="24"/>
          <w:szCs w:val="24"/>
          <w:u w:val="none"/>
          <w:lang w:val="en-US" w:eastAsia="zh-CN"/>
        </w:rPr>
        <w:t>3.2</w:t>
      </w:r>
      <w:r>
        <w:rPr>
          <w:rFonts w:hint="default" w:ascii="Times New Roman" w:hAnsi="Times New Roman" w:eastAsia="黑体" w:cs="Times New Roman"/>
          <w:bCs/>
          <w:kern w:val="2"/>
          <w:sz w:val="24"/>
          <w:szCs w:val="24"/>
          <w:u w:val="none"/>
        </w:rPr>
        <w:t xml:space="preserve"> </w:t>
      </w:r>
      <w:r>
        <w:rPr>
          <w:rFonts w:hint="default" w:ascii="Times New Roman" w:hAnsi="Times New Roman" w:eastAsia="黑体" w:cs="Times New Roman"/>
          <w:bCs/>
          <w:kern w:val="2"/>
          <w:sz w:val="24"/>
          <w:szCs w:val="24"/>
          <w:u w:val="none"/>
          <w:lang w:val="en-US" w:eastAsia="zh-CN"/>
        </w:rPr>
        <w:t xml:space="preserve"> </w:t>
      </w:r>
      <w:r>
        <w:rPr>
          <w:rFonts w:hint="default" w:ascii="Times New Roman" w:hAnsi="Times New Roman" w:eastAsia="黑体" w:cs="Times New Roman"/>
          <w:bCs/>
          <w:kern w:val="2"/>
          <w:sz w:val="24"/>
          <w:szCs w:val="24"/>
          <w:u w:val="none"/>
          <w:lang w:eastAsia="zh-CN"/>
        </w:rPr>
        <w:t>Assessment and Rating</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_Toc32144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3896FA1B">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_Toc29223 </w:instrText>
      </w:r>
      <w:r>
        <w:rPr>
          <w:rFonts w:hint="default" w:ascii="Times New Roman" w:hAnsi="Times New Roman" w:cs="Times New Roman"/>
          <w:sz w:val="24"/>
          <w:szCs w:val="24"/>
          <w:u w:val="none"/>
        </w:rPr>
        <w:fldChar w:fldCharType="separate"/>
      </w:r>
      <w:r>
        <w:rPr>
          <w:rFonts w:hint="default" w:ascii="Times New Roman" w:hAnsi="Times New Roman" w:eastAsia="宋体" w:cs="Times New Roman"/>
          <w:bCs/>
          <w:sz w:val="24"/>
          <w:szCs w:val="24"/>
          <w:u w:val="none"/>
          <w:lang w:eastAsia="zh-CN"/>
        </w:rPr>
        <w:t>4 Safety and Durability</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_Toc29223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4364C8FD">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_Toc15822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rPr>
        <w:t>4.1</w:t>
      </w:r>
      <w:r>
        <w:rPr>
          <w:rFonts w:hint="default" w:ascii="Times New Roman" w:hAnsi="Times New Roman" w:eastAsia="黑体" w:cs="Times New Roman"/>
          <w:bCs/>
          <w:kern w:val="2"/>
          <w:sz w:val="24"/>
          <w:szCs w:val="24"/>
          <w:u w:val="none"/>
        </w:rPr>
        <w:t xml:space="preserve"> </w:t>
      </w:r>
      <w:r>
        <w:rPr>
          <w:rFonts w:hint="default" w:ascii="Times New Roman" w:hAnsi="Times New Roman" w:eastAsia="黑体" w:cs="Times New Roman"/>
          <w:bCs/>
          <w:kern w:val="2"/>
          <w:sz w:val="24"/>
          <w:szCs w:val="24"/>
          <w:u w:val="none"/>
          <w:lang w:eastAsia="zh-CN"/>
        </w:rPr>
        <w:t>Prerequisite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_Toc15822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3E050A67">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_Toc29126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rPr>
        <w:t>4.2 Scoring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_Toc29126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123D6B5D">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_Toc6019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 xml:space="preserve">I </w:t>
      </w:r>
      <w:r>
        <w:rPr>
          <w:rFonts w:hint="eastAsia" w:ascii="Times New Roman" w:hAnsi="Times New Roman" w:cs="Times New Roman"/>
          <w:bCs/>
          <w:snapToGrid w:val="0"/>
          <w:kern w:val="0"/>
          <w:sz w:val="24"/>
          <w:szCs w:val="24"/>
          <w:u w:val="none"/>
          <w:lang w:val="en-US" w:eastAsia="zh-CN"/>
        </w:rPr>
        <w:t xml:space="preserve"> </w:t>
      </w:r>
      <w:r>
        <w:rPr>
          <w:rFonts w:hint="default" w:ascii="Times New Roman" w:hAnsi="Times New Roman" w:cs="Times New Roman" w:eastAsiaTheme="minorEastAsia"/>
          <w:bCs/>
          <w:snapToGrid w:val="0"/>
          <w:kern w:val="0"/>
          <w:sz w:val="24"/>
          <w:szCs w:val="24"/>
          <w:u w:val="none"/>
          <w:lang w:eastAsia="zh-CN"/>
        </w:rPr>
        <w:t>Safety</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_Toc6019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3CD927FF">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_Toc3601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 xml:space="preserve">Ⅱ </w:t>
      </w:r>
      <w:r>
        <w:rPr>
          <w:rFonts w:hint="eastAsia" w:ascii="Times New Roman" w:hAnsi="Times New Roman" w:cs="Times New Roman"/>
          <w:bCs/>
          <w:snapToGrid w:val="0"/>
          <w:kern w:val="0"/>
          <w:sz w:val="24"/>
          <w:szCs w:val="24"/>
          <w:u w:val="none"/>
          <w:lang w:val="en-US" w:eastAsia="zh-CN"/>
        </w:rPr>
        <w:t xml:space="preserve"> </w:t>
      </w:r>
      <w:r>
        <w:rPr>
          <w:rFonts w:hint="default" w:ascii="Times New Roman" w:hAnsi="Times New Roman" w:cs="Times New Roman" w:eastAsiaTheme="minorEastAsia"/>
          <w:bCs/>
          <w:snapToGrid w:val="0"/>
          <w:kern w:val="0"/>
          <w:sz w:val="24"/>
          <w:szCs w:val="24"/>
          <w:u w:val="none"/>
          <w:lang w:eastAsia="zh-CN"/>
        </w:rPr>
        <w:t>Durability</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_Toc3601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7</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2FD0FB2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_Toc11527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5 Health and Comfort</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_Toc11527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9</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141B8AA2">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_Toc23161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rPr>
        <w:t>5.1 Prerequisite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_Toc23161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9</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205D3CC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_Toc15512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rPr>
        <w:t>5.2 Scoring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_Toc15512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10</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11BEC49F">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_Toc31370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I  Indoor Air Quality</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_Toc31370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10</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32C77832">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_Toc26803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 xml:space="preserve">Ⅱ </w:t>
      </w:r>
      <w:r>
        <w:rPr>
          <w:rFonts w:hint="eastAsia" w:ascii="Times New Roman" w:hAnsi="Times New Roman" w:cs="Times New Roman"/>
          <w:bCs/>
          <w:snapToGrid w:val="0"/>
          <w:kern w:val="0"/>
          <w:sz w:val="24"/>
          <w:szCs w:val="24"/>
          <w:u w:val="none"/>
          <w:lang w:val="en-US" w:eastAsia="zh-CN"/>
        </w:rPr>
        <w:t xml:space="preserve"> </w:t>
      </w:r>
      <w:r>
        <w:rPr>
          <w:rFonts w:hint="default" w:ascii="Times New Roman" w:hAnsi="Times New Roman" w:cs="Times New Roman" w:eastAsiaTheme="minorEastAsia"/>
          <w:bCs/>
          <w:snapToGrid w:val="0"/>
          <w:kern w:val="0"/>
          <w:sz w:val="24"/>
          <w:szCs w:val="24"/>
          <w:u w:val="none"/>
          <w:lang w:eastAsia="zh-CN"/>
        </w:rPr>
        <w:t>Water Quality</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_Toc26803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10</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284BC56D">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_Toc26477 </w:instrText>
      </w:r>
      <w:r>
        <w:rPr>
          <w:rFonts w:hint="default" w:ascii="Times New Roman" w:hAnsi="Times New Roman" w:cs="Times New Roman"/>
          <w:sz w:val="24"/>
          <w:szCs w:val="24"/>
          <w:u w:val="none"/>
        </w:rPr>
        <w:fldChar w:fldCharType="separate"/>
      </w:r>
      <w:r>
        <w:rPr>
          <w:rFonts w:hint="default" w:ascii="Times New Roman" w:hAnsi="Times New Roman" w:eastAsia="宋体" w:cs="Times New Roman"/>
          <w:spacing w:val="3"/>
          <w:sz w:val="24"/>
          <w:szCs w:val="24"/>
          <w:u w:val="none"/>
          <w:lang w:eastAsia="zh-CN"/>
        </w:rPr>
        <w:t>Ⅲ</w:t>
      </w:r>
      <w:r>
        <w:rPr>
          <w:rFonts w:hint="default" w:ascii="Times New Roman" w:hAnsi="Times New Roman" w:cs="Times New Roman" w:eastAsiaTheme="minorEastAsia"/>
          <w:bCs/>
          <w:snapToGrid w:val="0"/>
          <w:kern w:val="0"/>
          <w:sz w:val="24"/>
          <w:szCs w:val="24"/>
          <w:u w:val="none"/>
          <w:lang w:eastAsia="zh-CN"/>
        </w:rPr>
        <w:t xml:space="preserve">  Sound and Daylighting</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_Toc26477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11</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2CE0994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_Toc3089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 xml:space="preserve">IV </w:t>
      </w:r>
      <w:r>
        <w:rPr>
          <w:rFonts w:hint="default" w:ascii="Times New Roman" w:hAnsi="Times New Roman" w:cs="Times New Roman" w:eastAsiaTheme="minorEastAsia"/>
          <w:bCs/>
          <w:snapToGrid w:val="0"/>
          <w:kern w:val="0"/>
          <w:sz w:val="24"/>
          <w:szCs w:val="24"/>
          <w:u w:val="none"/>
          <w:lang w:val="en-US" w:eastAsia="zh-CN"/>
        </w:rPr>
        <w:t xml:space="preserve"> </w:t>
      </w:r>
      <w:r>
        <w:rPr>
          <w:rFonts w:hint="default" w:ascii="Times New Roman" w:hAnsi="Times New Roman" w:cs="Times New Roman" w:eastAsiaTheme="minorEastAsia"/>
          <w:bCs/>
          <w:snapToGrid w:val="0"/>
          <w:kern w:val="0"/>
          <w:sz w:val="24"/>
          <w:szCs w:val="24"/>
          <w:u w:val="none"/>
          <w:lang w:eastAsia="zh-CN"/>
        </w:rPr>
        <w:t>Indoor Thermal Environment</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_Toc3089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12</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2312F6C1">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_Toc1629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 Occupant Convenience</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_Toc1629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14</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179AFA96">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_Toc16067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rPr>
        <w:t>6.1 Prerequisite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_Toc16067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14</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3DD785C6">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_Toc16352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rPr>
        <w:t>6.2 Scoring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_Toc16352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14</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0CE7E1F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_Toc7431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I  Transit and Accessibility</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_Toc7431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14</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65F6A403">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_Toc1485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Ⅱ  Service Facility</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_Toc1485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15</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766EBD77">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_Toc9659 </w:instrText>
      </w:r>
      <w:r>
        <w:rPr>
          <w:rFonts w:hint="default" w:ascii="Times New Roman" w:hAnsi="Times New Roman" w:cs="Times New Roman"/>
          <w:sz w:val="24"/>
          <w:szCs w:val="24"/>
          <w:u w:val="none"/>
        </w:rPr>
        <w:fldChar w:fldCharType="separate"/>
      </w:r>
      <w:r>
        <w:rPr>
          <w:rFonts w:hint="default" w:ascii="Times New Roman" w:hAnsi="Times New Roman" w:eastAsia="宋体" w:cs="Times New Roman"/>
          <w:spacing w:val="3"/>
          <w:sz w:val="24"/>
          <w:szCs w:val="24"/>
          <w:u w:val="none"/>
          <w:lang w:eastAsia="zh-CN"/>
        </w:rPr>
        <w:t>Ⅲ</w:t>
      </w:r>
      <w:r>
        <w:rPr>
          <w:rFonts w:hint="default" w:ascii="Times New Roman" w:hAnsi="Times New Roman" w:cs="Times New Roman" w:eastAsiaTheme="minorEastAsia"/>
          <w:bCs/>
          <w:snapToGrid w:val="0"/>
          <w:kern w:val="0"/>
          <w:sz w:val="24"/>
          <w:szCs w:val="24"/>
          <w:u w:val="none"/>
          <w:lang w:eastAsia="zh-CN"/>
        </w:rPr>
        <w:t xml:space="preserve">  Intelligent Operation</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_Toc9659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16</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5DD59BC2">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_Toc26203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IV  Operation Management</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_Toc26203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16</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6C4EE55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_Toc30126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7 Resources Saving</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_Toc30126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18</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1287B118">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_Toc31951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lang w:val="en-US" w:eastAsia="zh-CN"/>
        </w:rPr>
        <w:t>7</w:t>
      </w:r>
      <w:r>
        <w:rPr>
          <w:rFonts w:hint="default" w:ascii="Times New Roman" w:hAnsi="Times New Roman" w:eastAsia="黑体" w:cs="Times New Roman"/>
          <w:kern w:val="2"/>
          <w:sz w:val="24"/>
          <w:szCs w:val="24"/>
          <w:u w:val="none"/>
        </w:rPr>
        <w:t>.1 Prerequisite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_Toc31951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18</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1E0FD6ED">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_Toc3602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lang w:val="en-US" w:eastAsia="zh-CN"/>
        </w:rPr>
        <w:t>7</w:t>
      </w:r>
      <w:r>
        <w:rPr>
          <w:rFonts w:hint="default" w:ascii="Times New Roman" w:hAnsi="Times New Roman" w:eastAsia="黑体" w:cs="Times New Roman"/>
          <w:kern w:val="2"/>
          <w:sz w:val="24"/>
          <w:szCs w:val="24"/>
          <w:u w:val="none"/>
        </w:rPr>
        <w:t>.2 Scoring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_Toc3602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19</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332AA13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_Toc21640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I  Land Saving and Land Utilization</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_Toc21640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19</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736CC726">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_Toc2010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Ⅱ</w:t>
      </w:r>
      <w:r>
        <w:rPr>
          <w:rFonts w:hint="eastAsia" w:ascii="Times New Roman" w:hAnsi="Times New Roman" w:cs="Times New Roman"/>
          <w:bCs/>
          <w:snapToGrid w:val="0"/>
          <w:kern w:val="0"/>
          <w:sz w:val="24"/>
          <w:szCs w:val="24"/>
          <w:u w:val="none"/>
          <w:lang w:val="en-US" w:eastAsia="zh-CN"/>
        </w:rPr>
        <w:t xml:space="preserve"> </w:t>
      </w:r>
      <w:r>
        <w:rPr>
          <w:rFonts w:hint="default" w:ascii="Times New Roman" w:hAnsi="Times New Roman" w:cs="Times New Roman" w:eastAsiaTheme="minorEastAsia"/>
          <w:bCs/>
          <w:snapToGrid w:val="0"/>
          <w:kern w:val="0"/>
          <w:sz w:val="24"/>
          <w:szCs w:val="24"/>
          <w:u w:val="none"/>
          <w:lang w:eastAsia="zh-CN"/>
        </w:rPr>
        <w:t xml:space="preserve"> Energy Saving and Energy Resources Utilization</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_Toc2010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20</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62BED09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_Toc14710 </w:instrText>
      </w:r>
      <w:r>
        <w:rPr>
          <w:rFonts w:hint="default" w:ascii="Times New Roman" w:hAnsi="Times New Roman" w:cs="Times New Roman"/>
          <w:sz w:val="24"/>
          <w:szCs w:val="24"/>
          <w:u w:val="none"/>
        </w:rPr>
        <w:fldChar w:fldCharType="separate"/>
      </w:r>
      <w:r>
        <w:rPr>
          <w:rFonts w:hint="default" w:ascii="Times New Roman" w:hAnsi="Times New Roman" w:eastAsia="宋体" w:cs="Times New Roman"/>
          <w:spacing w:val="3"/>
          <w:sz w:val="24"/>
          <w:szCs w:val="24"/>
          <w:u w:val="none"/>
          <w:lang w:eastAsia="zh-CN"/>
        </w:rPr>
        <w:t>Ⅲ</w:t>
      </w:r>
      <w:r>
        <w:rPr>
          <w:rFonts w:hint="default" w:ascii="Times New Roman" w:hAnsi="Times New Roman" w:cs="Times New Roman" w:eastAsiaTheme="minorEastAsia"/>
          <w:bCs/>
          <w:snapToGrid w:val="0"/>
          <w:kern w:val="0"/>
          <w:sz w:val="24"/>
          <w:szCs w:val="24"/>
          <w:u w:val="none"/>
          <w:lang w:eastAsia="zh-CN"/>
        </w:rPr>
        <w:t xml:space="preserve">  Water Saving and Water Resource Utilization</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_Toc14710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23</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5399CF5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_Toc25303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IV  Material Saving and Green Materials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_Toc25303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23</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74D8531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_Toc2371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lang w:val="en-US" w:eastAsia="zh-CN"/>
        </w:rPr>
        <w:t>8</w:t>
      </w:r>
      <w:r>
        <w:rPr>
          <w:rFonts w:hint="default" w:ascii="Times New Roman" w:hAnsi="Times New Roman" w:cs="Times New Roman"/>
          <w:sz w:val="24"/>
          <w:szCs w:val="24"/>
          <w:u w:val="none"/>
        </w:rPr>
        <w:t xml:space="preserve"> Environment Livability</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_Toc2371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25</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0705A82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_Toc22210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lang w:val="en-US" w:eastAsia="zh-CN"/>
        </w:rPr>
        <w:t>8</w:t>
      </w:r>
      <w:r>
        <w:rPr>
          <w:rFonts w:hint="default" w:ascii="Times New Roman" w:hAnsi="Times New Roman" w:eastAsia="黑体" w:cs="Times New Roman"/>
          <w:kern w:val="2"/>
          <w:sz w:val="24"/>
          <w:szCs w:val="24"/>
          <w:u w:val="none"/>
        </w:rPr>
        <w:t>.1 Prerequisite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_Toc22210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25</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7CDA202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_Toc29359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lang w:val="en-US" w:eastAsia="zh-CN"/>
        </w:rPr>
        <w:t>8</w:t>
      </w:r>
      <w:r>
        <w:rPr>
          <w:rFonts w:hint="default" w:ascii="Times New Roman" w:hAnsi="Times New Roman" w:eastAsia="黑体" w:cs="Times New Roman"/>
          <w:kern w:val="2"/>
          <w:sz w:val="24"/>
          <w:szCs w:val="24"/>
          <w:u w:val="none"/>
        </w:rPr>
        <w:t>.2 Scoring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_Toc29359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25</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5348B00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_Toc32155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 xml:space="preserve">I </w:t>
      </w:r>
      <w:r>
        <w:rPr>
          <w:rFonts w:hint="default" w:ascii="Times New Roman" w:hAnsi="Times New Roman" w:cs="Times New Roman" w:eastAsiaTheme="minorEastAsia"/>
          <w:bCs/>
          <w:snapToGrid w:val="0"/>
          <w:kern w:val="0"/>
          <w:sz w:val="24"/>
          <w:szCs w:val="24"/>
          <w:u w:val="none"/>
          <w:lang w:val="en-US" w:eastAsia="zh-CN"/>
        </w:rPr>
        <w:t xml:space="preserve"> </w:t>
      </w:r>
      <w:r>
        <w:rPr>
          <w:rFonts w:hint="default" w:ascii="Times New Roman" w:hAnsi="Times New Roman" w:cs="Times New Roman" w:eastAsiaTheme="minorEastAsia"/>
          <w:bCs/>
          <w:snapToGrid w:val="0"/>
          <w:kern w:val="0"/>
          <w:sz w:val="24"/>
          <w:szCs w:val="24"/>
          <w:u w:val="none"/>
          <w:lang w:eastAsia="zh-CN"/>
        </w:rPr>
        <w:t xml:space="preserve">Site Ecology and Landscape </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_Toc32155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25</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7691CAD2">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_Toc15603 </w:instrText>
      </w:r>
      <w:r>
        <w:rPr>
          <w:rFonts w:hint="default" w:ascii="Times New Roman" w:hAnsi="Times New Roman" w:cs="Times New Roman"/>
          <w:sz w:val="24"/>
          <w:szCs w:val="24"/>
          <w:u w:val="none"/>
        </w:rPr>
        <w:fldChar w:fldCharType="separate"/>
      </w:r>
      <w:r>
        <w:rPr>
          <w:rFonts w:hint="default" w:ascii="Times New Roman" w:hAnsi="Times New Roman" w:cs="Times New Roman" w:eastAsiaTheme="minorEastAsia"/>
          <w:bCs/>
          <w:snapToGrid w:val="0"/>
          <w:kern w:val="0"/>
          <w:sz w:val="24"/>
          <w:szCs w:val="24"/>
          <w:u w:val="none"/>
          <w:lang w:eastAsia="zh-CN"/>
        </w:rPr>
        <w:t xml:space="preserve">Ⅱ </w:t>
      </w:r>
      <w:r>
        <w:rPr>
          <w:rFonts w:hint="eastAsia" w:ascii="Times New Roman" w:hAnsi="Times New Roman" w:cs="Times New Roman"/>
          <w:bCs/>
          <w:snapToGrid w:val="0"/>
          <w:kern w:val="0"/>
          <w:sz w:val="24"/>
          <w:szCs w:val="24"/>
          <w:u w:val="none"/>
          <w:lang w:val="en-US" w:eastAsia="zh-CN"/>
        </w:rPr>
        <w:t xml:space="preserve"> </w:t>
      </w:r>
      <w:r>
        <w:rPr>
          <w:rFonts w:hint="default" w:ascii="Times New Roman" w:hAnsi="Times New Roman" w:cs="Times New Roman" w:eastAsiaTheme="minorEastAsia"/>
          <w:bCs/>
          <w:snapToGrid w:val="0"/>
          <w:kern w:val="0"/>
          <w:sz w:val="24"/>
          <w:szCs w:val="24"/>
          <w:u w:val="none"/>
          <w:lang w:eastAsia="zh-CN"/>
        </w:rPr>
        <w:t>Outdoor Physical Environmen</w:t>
      </w:r>
      <w:r>
        <w:rPr>
          <w:rFonts w:hint="default" w:ascii="Times New Roman" w:hAnsi="Times New Roman" w:cs="Times New Roman" w:eastAsiaTheme="minorEastAsia"/>
          <w:bCs/>
          <w:snapToGrid w:val="0"/>
          <w:kern w:val="0"/>
          <w:sz w:val="24"/>
          <w:szCs w:val="24"/>
          <w:u w:val="none"/>
          <w:lang w:val="en-US" w:eastAsia="zh-CN"/>
        </w:rPr>
        <w:t>t</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_Toc15603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27</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4586898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_Toc10756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lang w:val="en-US" w:eastAsia="zh-CN"/>
        </w:rPr>
        <w:t>9</w:t>
      </w:r>
      <w:r>
        <w:rPr>
          <w:rFonts w:hint="default" w:ascii="Times New Roman" w:hAnsi="Times New Roman" w:cs="Times New Roman"/>
          <w:sz w:val="24"/>
          <w:szCs w:val="24"/>
          <w:u w:val="none"/>
        </w:rPr>
        <w:t xml:space="preserve"> Promotion and Innovation</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_Toc10756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29</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73B9A3CC">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_Toc16174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lang w:val="en-US" w:eastAsia="zh-CN"/>
        </w:rPr>
        <w:t>9</w:t>
      </w:r>
      <w:r>
        <w:rPr>
          <w:rFonts w:hint="default" w:ascii="Times New Roman" w:hAnsi="Times New Roman" w:eastAsia="黑体" w:cs="Times New Roman"/>
          <w:kern w:val="2"/>
          <w:sz w:val="24"/>
          <w:szCs w:val="24"/>
          <w:u w:val="none"/>
        </w:rPr>
        <w:t>.1 General Requirements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_Toc16174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29</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0BF69A58">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_Toc4490 </w:instrText>
      </w:r>
      <w:r>
        <w:rPr>
          <w:rFonts w:hint="default" w:ascii="Times New Roman" w:hAnsi="Times New Roman" w:cs="Times New Roman"/>
          <w:sz w:val="24"/>
          <w:szCs w:val="24"/>
          <w:u w:val="none"/>
        </w:rPr>
        <w:fldChar w:fldCharType="separate"/>
      </w:r>
      <w:r>
        <w:rPr>
          <w:rFonts w:hint="default" w:ascii="Times New Roman" w:hAnsi="Times New Roman" w:eastAsia="黑体" w:cs="Times New Roman"/>
          <w:kern w:val="2"/>
          <w:sz w:val="24"/>
          <w:szCs w:val="24"/>
          <w:u w:val="none"/>
          <w:lang w:val="en-US" w:eastAsia="zh-CN"/>
        </w:rPr>
        <w:t>9</w:t>
      </w:r>
      <w:r>
        <w:rPr>
          <w:rFonts w:hint="default" w:ascii="Times New Roman" w:hAnsi="Times New Roman" w:eastAsia="黑体" w:cs="Times New Roman"/>
          <w:kern w:val="2"/>
          <w:sz w:val="24"/>
          <w:szCs w:val="24"/>
          <w:u w:val="none"/>
        </w:rPr>
        <w:t>.2 Bonus Items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_Toc4490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29</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5BEF711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_Toc12315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Explanation of Wording in This Standard</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_Toc12315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32</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0578A2A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_Toc29162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List of Quoted Standards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_Toc29162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33</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2817294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u w:val="none"/>
        </w:rPr>
      </w:pP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\l _Toc30888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Addition: Explanation of Provisions</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_Toc30888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35</w:t>
      </w:r>
      <w:r>
        <w:rPr>
          <w:rFonts w:hint="default" w:ascii="Times New Roman" w:hAnsi="Times New Roman" w:cs="Times New Roman"/>
          <w:sz w:val="24"/>
          <w:szCs w:val="24"/>
          <w:u w:val="none"/>
        </w:rPr>
        <w:fldChar w:fldCharType="end"/>
      </w:r>
      <w:r>
        <w:rPr>
          <w:rFonts w:hint="default" w:ascii="Times New Roman" w:hAnsi="Times New Roman" w:cs="Times New Roman"/>
          <w:sz w:val="24"/>
          <w:szCs w:val="24"/>
          <w:u w:val="none"/>
        </w:rPr>
        <w:fldChar w:fldCharType="end"/>
      </w:r>
    </w:p>
    <w:p w14:paraId="18E35B14">
      <w:pPr>
        <w:autoSpaceDE w:val="0"/>
        <w:autoSpaceDN w:val="0"/>
        <w:spacing w:line="440" w:lineRule="exact"/>
        <w:jc w:val="left"/>
        <w:rPr>
          <w:rFonts w:hint="default" w:ascii="Times New Roman" w:hAnsi="Times New Roman" w:cs="Times New Roman"/>
          <w:b/>
          <w:color w:val="000000" w:themeColor="text1"/>
          <w:kern w:val="0"/>
          <w:sz w:val="24"/>
          <w:u w:val="none"/>
          <w:lang w:val="zh-CN" w:bidi="zh-CN"/>
          <w14:textFill>
            <w14:solidFill>
              <w14:schemeClr w14:val="tx1"/>
            </w14:solidFill>
          </w14:textFill>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cs="Times New Roman"/>
          <w:szCs w:val="24"/>
          <w:u w:val="none"/>
        </w:rPr>
        <w:fldChar w:fldCharType="end"/>
      </w:r>
    </w:p>
    <w:p w14:paraId="63A91009">
      <w:pPr>
        <w:autoSpaceDE w:val="0"/>
        <w:autoSpaceDN w:val="0"/>
        <w:spacing w:line="440" w:lineRule="exact"/>
        <w:jc w:val="left"/>
        <w:rPr>
          <w:rFonts w:hint="default" w:ascii="Times New Roman" w:hAnsi="Times New Roman" w:cs="Times New Roman"/>
          <w:b/>
          <w:color w:val="000000" w:themeColor="text1"/>
          <w:kern w:val="0"/>
          <w:sz w:val="24"/>
          <w:u w:val="none"/>
          <w:lang w:val="zh-CN" w:bidi="zh-CN"/>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p>
    <w:p w14:paraId="5251117B">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6" w:name="_Toc16545"/>
      <w:bookmarkStart w:id="7" w:name="_Toc204247701"/>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1 总  则</w:t>
      </w:r>
      <w:bookmarkEnd w:id="6"/>
      <w:bookmarkEnd w:id="7"/>
    </w:p>
    <w:p w14:paraId="6F4BED57">
      <w:pPr>
        <w:spacing w:before="61" w:line="360" w:lineRule="auto"/>
        <w:ind w:right="6"/>
        <w:rPr>
          <w:rFonts w:hint="default" w:ascii="Times New Roman" w:hAnsi="Times New Roman" w:cs="Times New Roman"/>
          <w:color w:val="000000" w:themeColor="text1"/>
          <w:spacing w:val="-1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1.0.1</w:t>
      </w:r>
      <w:r>
        <w:rPr>
          <w:rFonts w:hint="default" w:ascii="Times New Roman" w:hAnsi="Times New Roman" w:cs="Times New Roman"/>
          <w:color w:val="000000" w:themeColor="text1"/>
          <w:spacing w:val="-12"/>
          <w:sz w:val="24"/>
          <w:szCs w:val="24"/>
          <w:u w:val="none"/>
          <w14:textFill>
            <w14:solidFill>
              <w14:schemeClr w14:val="tx1"/>
            </w14:solidFill>
          </w14:textFill>
        </w:rPr>
        <w:t xml:space="preserve">  为贯彻落实绿色发展理念，推进绿色建筑高质量发展，节约资源，保护环境，满足人民日益增长的美好生活需要，制定本标准。</w:t>
      </w:r>
    </w:p>
    <w:p w14:paraId="5FA121BA">
      <w:pPr>
        <w:spacing w:before="61" w:line="360" w:lineRule="auto"/>
        <w:ind w:right="6"/>
        <w:rPr>
          <w:rFonts w:hint="default" w:ascii="Times New Roman" w:hAnsi="Times New Roman" w:cs="Times New Roman"/>
          <w:color w:val="000000" w:themeColor="text1"/>
          <w:spacing w:val="-1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1.0.2</w:t>
      </w:r>
      <w:r>
        <w:rPr>
          <w:rFonts w:hint="default" w:ascii="Times New Roman" w:hAnsi="Times New Roman" w:cs="Times New Roman"/>
          <w:color w:val="000000" w:themeColor="text1"/>
          <w:spacing w:val="-12"/>
          <w:sz w:val="24"/>
          <w:szCs w:val="24"/>
          <w:u w:val="none"/>
          <w14:textFill>
            <w14:solidFill>
              <w14:schemeClr w14:val="tx1"/>
            </w14:solidFill>
          </w14:textFill>
        </w:rPr>
        <w:t xml:space="preserve">  标准适用于民用建筑绿色性能的评价。</w:t>
      </w:r>
    </w:p>
    <w:p w14:paraId="05C306B9">
      <w:pPr>
        <w:spacing w:before="61" w:line="360" w:lineRule="auto"/>
        <w:ind w:right="6"/>
        <w:rPr>
          <w:rFonts w:hint="default" w:ascii="Times New Roman" w:hAnsi="Times New Roman" w:cs="Times New Roman"/>
          <w:color w:val="000000" w:themeColor="text1"/>
          <w:spacing w:val="-1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1.0.3</w:t>
      </w:r>
      <w:r>
        <w:rPr>
          <w:rFonts w:hint="default" w:ascii="Times New Roman" w:hAnsi="Times New Roman" w:cs="Times New Roman"/>
          <w:color w:val="000000" w:themeColor="text1"/>
          <w:spacing w:val="-12"/>
          <w:sz w:val="24"/>
          <w:szCs w:val="24"/>
          <w:u w:val="none"/>
          <w14:textFill>
            <w14:solidFill>
              <w14:schemeClr w14:val="tx1"/>
            </w14:solidFill>
          </w14:textFill>
        </w:rPr>
        <w:t xml:space="preserve">  绿色建筑评价应遵循因地制宜的原则，结合云南省的气候、环境、资源、经济和文化等特点，对建筑全寿命期内的安全耐久、健康舒适、生活便利、资源节约、环境宜居等性能 进行综合评价。</w:t>
      </w:r>
    </w:p>
    <w:p w14:paraId="544C4AC1">
      <w:pPr>
        <w:spacing w:before="61" w:line="360" w:lineRule="auto"/>
        <w:ind w:right="6"/>
        <w:rPr>
          <w:rFonts w:hint="default" w:ascii="Times New Roman" w:hAnsi="Times New Roman" w:cs="Times New Roman"/>
          <w:color w:val="000000" w:themeColor="text1"/>
          <w:spacing w:val="-1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1.0.4 </w:t>
      </w:r>
      <w:r>
        <w:rPr>
          <w:rFonts w:hint="default" w:ascii="Times New Roman" w:hAnsi="Times New Roman" w:cs="Times New Roman"/>
          <w:color w:val="000000" w:themeColor="text1"/>
          <w:spacing w:val="-12"/>
          <w:sz w:val="24"/>
          <w:szCs w:val="24"/>
          <w:u w:val="none"/>
          <w14:textFill>
            <w14:solidFill>
              <w14:schemeClr w14:val="tx1"/>
            </w14:solidFill>
          </w14:textFill>
        </w:rPr>
        <w:t xml:space="preserve"> 价绿色建筑时，应依据因地制宜的原则，结合云南山多地少、民族众多、地震多发、气候多样、太阳能综合利用条件优越、紫外线辐射强度高等特点进行评价。</w:t>
      </w:r>
    </w:p>
    <w:p w14:paraId="4624173F">
      <w:pPr>
        <w:autoSpaceDE w:val="0"/>
        <w:autoSpaceDN w:val="0"/>
        <w:spacing w:line="440" w:lineRule="exact"/>
        <w:jc w:val="left"/>
        <w:rPr>
          <w:rFonts w:hint="default" w:ascii="Times New Roman" w:hAnsi="Times New Roman" w:cs="Times New Roman"/>
          <w:color w:val="000000" w:themeColor="text1"/>
          <w:spacing w:val="-1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1.0.5</w:t>
      </w:r>
      <w:r>
        <w:rPr>
          <w:rFonts w:hint="default" w:ascii="Times New Roman" w:hAnsi="Times New Roman" w:cs="Times New Roman"/>
          <w:color w:val="000000" w:themeColor="text1"/>
          <w:spacing w:val="-12"/>
          <w:sz w:val="24"/>
          <w:szCs w:val="24"/>
          <w:u w:val="none"/>
          <w14:textFill>
            <w14:solidFill>
              <w14:schemeClr w14:val="tx1"/>
            </w14:solidFill>
          </w14:textFill>
        </w:rPr>
        <w:t xml:space="preserve">  绿色建筑的评价除应符合本标准的规定外，尚应符合国 家现行有关标准的规定。</w:t>
      </w:r>
      <w:r>
        <w:rPr>
          <w:rFonts w:hint="default" w:ascii="Times New Roman" w:hAnsi="Times New Roman" w:cs="Times New Roman"/>
          <w:color w:val="000000" w:themeColor="text1"/>
          <w:spacing w:val="-12"/>
          <w:sz w:val="24"/>
          <w:szCs w:val="24"/>
          <w:u w:val="none"/>
          <w14:textFill>
            <w14:solidFill>
              <w14:schemeClr w14:val="tx1"/>
            </w14:solidFill>
          </w14:textFill>
        </w:rPr>
        <w:br w:type="page"/>
      </w:r>
    </w:p>
    <w:p w14:paraId="2FFC3AC1">
      <w:pPr>
        <w:autoSpaceDE w:val="0"/>
        <w:autoSpaceDN w:val="0"/>
        <w:spacing w:line="440" w:lineRule="exact"/>
        <w:jc w:val="left"/>
        <w:rPr>
          <w:rFonts w:hint="default" w:ascii="Times New Roman" w:hAnsi="Times New Roman" w:cs="Times New Roman"/>
          <w:color w:val="000000" w:themeColor="text1"/>
          <w:spacing w:val="-12"/>
          <w:sz w:val="24"/>
          <w:szCs w:val="24"/>
          <w:u w:val="none"/>
          <w14:textFill>
            <w14:solidFill>
              <w14:schemeClr w14:val="tx1"/>
            </w14:solidFill>
          </w14:textFill>
        </w:rPr>
        <w:sectPr>
          <w:footerReference r:id="rId8" w:type="default"/>
          <w:type w:val="continuous"/>
          <w:pgSz w:w="11906" w:h="16838"/>
          <w:pgMar w:top="1440" w:right="1800" w:bottom="1440" w:left="1800" w:header="851" w:footer="992" w:gutter="0"/>
          <w:pgNumType w:fmt="decimal"/>
          <w:cols w:space="425" w:num="1"/>
          <w:docGrid w:type="lines" w:linePitch="312" w:charSpace="0"/>
        </w:sectPr>
      </w:pPr>
    </w:p>
    <w:p w14:paraId="71A8832D">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8" w:name="_Toc26219"/>
      <w:bookmarkStart w:id="9" w:name="_Toc204247702"/>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2 术  语</w:t>
      </w:r>
      <w:bookmarkEnd w:id="8"/>
      <w:bookmarkEnd w:id="9"/>
    </w:p>
    <w:p w14:paraId="29234287">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2.0.1</w:t>
      </w:r>
      <w:r>
        <w:rPr>
          <w:rFonts w:hint="default" w:ascii="Times New Roman" w:hAnsi="Times New Roman" w:cs="Times New Roman"/>
          <w:bCs/>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绿色建筑</w:t>
      </w:r>
      <w:r>
        <w:rPr>
          <w:rFonts w:hint="default" w:ascii="Times New Roman" w:hAnsi="Times New Roman" w:cs="Times New Roman"/>
          <w:color w:val="000000" w:themeColor="text1"/>
          <w:spacing w:val="8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green</w:t>
      </w:r>
      <w:r>
        <w:rPr>
          <w:rFonts w:hint="default" w:ascii="Times New Roman" w:hAnsi="Times New Roman" w:cs="Times New Roman"/>
          <w:color w:val="000000" w:themeColor="text1"/>
          <w:spacing w:val="3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building</w:t>
      </w:r>
    </w:p>
    <w:p w14:paraId="12857CD6">
      <w:pPr>
        <w:spacing w:line="360" w:lineRule="auto"/>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pacing w:val="-12"/>
          <w:sz w:val="24"/>
          <w:szCs w:val="24"/>
          <w:u w:val="none"/>
          <w14:textFill>
            <w14:solidFill>
              <w14:schemeClr w14:val="tx1"/>
            </w14:solidFill>
          </w14:textFill>
        </w:rPr>
        <w:t>在全寿命期内，节约资源、保护环境、减少污染，为人们提</w:t>
      </w:r>
      <w:r>
        <w:rPr>
          <w:rFonts w:hint="default" w:ascii="Times New Roman" w:hAnsi="Times New Roman" w:cs="Times New Roman"/>
          <w:color w:val="000000" w:themeColor="text1"/>
          <w:spacing w:val="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2"/>
          <w:sz w:val="24"/>
          <w:szCs w:val="24"/>
          <w:u w:val="none"/>
          <w14:textFill>
            <w14:solidFill>
              <w14:schemeClr w14:val="tx1"/>
            </w14:solidFill>
          </w14:textFill>
        </w:rPr>
        <w:t>供健康、适用、高效的使用空间，最大限度地实现人与自然和谐</w:t>
      </w:r>
      <w:r>
        <w:rPr>
          <w:rFonts w:hint="default" w:ascii="Times New Roman" w:hAnsi="Times New Roman" w:cs="Times New Roman"/>
          <w:color w:val="000000" w:themeColor="text1"/>
          <w:spacing w:val="1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3"/>
          <w:sz w:val="24"/>
          <w:szCs w:val="24"/>
          <w:u w:val="none"/>
          <w14:textFill>
            <w14:solidFill>
              <w14:schemeClr w14:val="tx1"/>
            </w14:solidFill>
          </w14:textFill>
        </w:rPr>
        <w:t>共生的高质量建筑。</w:t>
      </w:r>
    </w:p>
    <w:p w14:paraId="16C72F3D">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2.0.2 </w:t>
      </w:r>
      <w:r>
        <w:rPr>
          <w:rFonts w:hint="default" w:ascii="Times New Roman" w:hAnsi="Times New Roman" w:cs="Times New Roman"/>
          <w:bCs/>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绿色性能</w:t>
      </w:r>
      <w:r>
        <w:rPr>
          <w:rFonts w:hint="default" w:ascii="Times New Roman" w:hAnsi="Times New Roman" w:cs="Times New Roman"/>
          <w:color w:val="000000" w:themeColor="text1"/>
          <w:spacing w:val="7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green</w:t>
      </w:r>
      <w:r>
        <w:rPr>
          <w:rFonts w:hint="default" w:ascii="Times New Roman" w:hAnsi="Times New Roman" w:cs="Times New Roman"/>
          <w:color w:val="000000" w:themeColor="text1"/>
          <w:spacing w:val="28"/>
          <w:w w:val="10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performance</w:t>
      </w:r>
    </w:p>
    <w:p w14:paraId="53067876">
      <w:pPr>
        <w:spacing w:line="360" w:lineRule="auto"/>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pacing w:val="1"/>
          <w:sz w:val="24"/>
          <w:szCs w:val="24"/>
          <w:u w:val="none"/>
          <w14:textFill>
            <w14:solidFill>
              <w14:schemeClr w14:val="tx1"/>
            </w14:solidFill>
          </w14:textFill>
        </w:rPr>
        <w:t>涉及建筑安全耐久、健康舒适、生活便利、资源节约（节</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地、节能、节水、节材</w:t>
      </w:r>
      <w:r>
        <w:rPr>
          <w:rFonts w:hint="default" w:ascii="Times New Roman" w:hAnsi="Times New Roman" w:cs="Times New Roman"/>
          <w:color w:val="000000" w:themeColor="text1"/>
          <w:spacing w:val="1"/>
          <w:sz w:val="24"/>
          <w:szCs w:val="24"/>
          <w:u w:val="none"/>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和环境宜居等方面的综合</w:t>
      </w:r>
      <w:r>
        <w:rPr>
          <w:rFonts w:hint="default" w:ascii="Times New Roman" w:hAnsi="Times New Roman" w:cs="Times New Roman"/>
          <w:color w:val="000000" w:themeColor="text1"/>
          <w:spacing w:val="-9"/>
          <w:sz w:val="24"/>
          <w:szCs w:val="24"/>
          <w:u w:val="none"/>
          <w14:textFill>
            <w14:solidFill>
              <w14:schemeClr w14:val="tx1"/>
            </w14:solidFill>
          </w14:textFill>
        </w:rPr>
        <w:t>性能。</w:t>
      </w:r>
    </w:p>
    <w:p w14:paraId="50F6432A">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2.0.3</w:t>
      </w:r>
      <w:r>
        <w:rPr>
          <w:rFonts w:hint="default" w:ascii="Times New Roman" w:hAnsi="Times New Roman" w:cs="Times New Roman"/>
          <w:bCs/>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全装修</w:t>
      </w:r>
      <w:r>
        <w:rPr>
          <w:rFonts w:hint="default" w:ascii="Times New Roman" w:hAnsi="Times New Roman" w:cs="Times New Roman"/>
          <w:color w:val="000000" w:themeColor="text1"/>
          <w:spacing w:val="6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decorated</w:t>
      </w:r>
    </w:p>
    <w:p w14:paraId="5424D486">
      <w:pPr>
        <w:spacing w:line="360" w:lineRule="auto"/>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pacing w:val="-12"/>
          <w:sz w:val="24"/>
          <w:szCs w:val="24"/>
          <w:u w:val="none"/>
          <w14:textFill>
            <w14:solidFill>
              <w14:schemeClr w14:val="tx1"/>
            </w14:solidFill>
          </w14:textFill>
        </w:rPr>
        <w:t>在交付前，住宅建筑内部墙面、顶面、地面全部铺贴、粉刷</w:t>
      </w:r>
      <w:r>
        <w:rPr>
          <w:rFonts w:hint="default" w:ascii="Times New Roman" w:hAnsi="Times New Roman" w:cs="Times New Roman"/>
          <w:color w:val="000000" w:themeColor="text1"/>
          <w:spacing w:val="1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2"/>
          <w:sz w:val="24"/>
          <w:szCs w:val="24"/>
          <w:u w:val="none"/>
          <w14:textFill>
            <w14:solidFill>
              <w14:schemeClr w14:val="tx1"/>
            </w14:solidFill>
          </w14:textFill>
        </w:rPr>
        <w:t>完成，门窗、固定家具、设备管线、开关插座及厨房、</w:t>
      </w:r>
      <w:r>
        <w:rPr>
          <w:rFonts w:hint="default" w:ascii="Times New Roman" w:hAnsi="Times New Roman" w:cs="Times New Roman"/>
          <w:color w:val="000000" w:themeColor="text1"/>
          <w:spacing w:val="-13"/>
          <w:sz w:val="24"/>
          <w:szCs w:val="24"/>
          <w:u w:val="none"/>
          <w14:textFill>
            <w14:solidFill>
              <w14:schemeClr w14:val="tx1"/>
            </w14:solidFill>
          </w14:textFill>
        </w:rPr>
        <w:t>卫生间固定设施安装到位；公共建筑公共区域的固定面全部铺贴、粉刷完</w:t>
      </w:r>
      <w:r>
        <w:rPr>
          <w:rFonts w:hint="default" w:ascii="Times New Roman" w:hAnsi="Times New Roman" w:cs="Times New Roman"/>
          <w:color w:val="000000" w:themeColor="text1"/>
          <w:spacing w:val="1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4"/>
          <w:sz w:val="24"/>
          <w:szCs w:val="24"/>
          <w:u w:val="none"/>
          <w14:textFill>
            <w14:solidFill>
              <w14:schemeClr w14:val="tx1"/>
            </w14:solidFill>
          </w14:textFill>
        </w:rPr>
        <w:t>成，水、暖、电、通风等基本设备全部安装到位。</w:t>
      </w:r>
    </w:p>
    <w:p w14:paraId="4A3E46FF">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2.0.4</w:t>
      </w:r>
      <w:r>
        <w:rPr>
          <w:rFonts w:hint="default" w:ascii="Times New Roman" w:hAnsi="Times New Roman" w:cs="Times New Roman"/>
          <w:bCs/>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热岛强度</w:t>
      </w:r>
      <w:r>
        <w:rPr>
          <w:rFonts w:hint="default" w:ascii="Times New Roman" w:hAnsi="Times New Roman" w:cs="Times New Roman"/>
          <w:color w:val="000000" w:themeColor="text1"/>
          <w:spacing w:val="6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heat</w:t>
      </w:r>
      <w:r>
        <w:rPr>
          <w:rFonts w:hint="default" w:ascii="Times New Roman" w:hAnsi="Times New Roman" w:cs="Times New Roman"/>
          <w:color w:val="000000" w:themeColor="text1"/>
          <w:spacing w:val="4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island</w:t>
      </w:r>
      <w:r>
        <w:rPr>
          <w:rFonts w:hint="default" w:ascii="Times New Roman" w:hAnsi="Times New Roman" w:cs="Times New Roman"/>
          <w:color w:val="000000" w:themeColor="text1"/>
          <w:spacing w:val="43"/>
          <w:w w:val="10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intensity</w:t>
      </w:r>
    </w:p>
    <w:p w14:paraId="54921625">
      <w:pPr>
        <w:spacing w:line="360" w:lineRule="auto"/>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pacing w:val="-13"/>
          <w:sz w:val="24"/>
          <w:szCs w:val="24"/>
          <w:u w:val="none"/>
          <w14:textFill>
            <w14:solidFill>
              <w14:schemeClr w14:val="tx1"/>
            </w14:solidFill>
          </w14:textFill>
        </w:rPr>
        <w:t>城市内一个区域的气温与郊区气温的差别，用二者代表性测点气温的差值表示，是城市热岛效应的表征参数。</w:t>
      </w:r>
    </w:p>
    <w:p w14:paraId="51CF11A5">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2.0.5</w:t>
      </w:r>
      <w:r>
        <w:rPr>
          <w:rFonts w:hint="default" w:ascii="Times New Roman" w:hAnsi="Times New Roman" w:cs="Times New Roman"/>
          <w:bCs/>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绿色建材</w:t>
      </w:r>
      <w:r>
        <w:rPr>
          <w:rFonts w:hint="default" w:ascii="Times New Roman" w:hAnsi="Times New Roman" w:cs="Times New Roman"/>
          <w:color w:val="000000" w:themeColor="text1"/>
          <w:spacing w:val="7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green</w:t>
      </w:r>
      <w:r>
        <w:rPr>
          <w:rFonts w:hint="default" w:ascii="Times New Roman" w:hAnsi="Times New Roman" w:cs="Times New Roman"/>
          <w:color w:val="000000" w:themeColor="text1"/>
          <w:spacing w:val="20"/>
          <w:w w:val="10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building</w:t>
      </w:r>
      <w:r>
        <w:rPr>
          <w:rFonts w:hint="default" w:ascii="Times New Roman" w:hAnsi="Times New Roman" w:cs="Times New Roman"/>
          <w:color w:val="000000" w:themeColor="text1"/>
          <w:spacing w:val="2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material</w:t>
      </w:r>
    </w:p>
    <w:p w14:paraId="01F77570">
      <w:pPr>
        <w:spacing w:line="360" w:lineRule="auto"/>
        <w:ind w:firstLine="420"/>
        <w:rPr>
          <w:rFonts w:hint="default" w:ascii="Times New Roman" w:hAnsi="Times New Roman" w:cs="Times New Roman"/>
          <w:color w:val="000000" w:themeColor="text1"/>
          <w:spacing w:val="-9"/>
          <w:sz w:val="24"/>
          <w:szCs w:val="24"/>
          <w:u w:val="none"/>
          <w14:textFill>
            <w14:solidFill>
              <w14:schemeClr w14:val="tx1"/>
            </w14:solidFill>
          </w14:textFill>
        </w:rPr>
      </w:pPr>
      <w:r>
        <w:rPr>
          <w:rFonts w:hint="default" w:ascii="Times New Roman" w:hAnsi="Times New Roman" w:cs="Times New Roman"/>
          <w:color w:val="000000" w:themeColor="text1"/>
          <w:spacing w:val="-5"/>
          <w:sz w:val="24"/>
          <w:szCs w:val="24"/>
          <w:u w:val="none"/>
          <w14:textFill>
            <w14:solidFill>
              <w14:schemeClr w14:val="tx1"/>
            </w14:solidFill>
          </w14:textFill>
        </w:rPr>
        <w:t>在全寿命期内可减少对资源的消耗、减轻对生态环境的影</w:t>
      </w:r>
      <w:r>
        <w:rPr>
          <w:rFonts w:hint="default" w:ascii="Times New Roman" w:hAnsi="Times New Roman" w:cs="Times New Roman"/>
          <w:color w:val="000000" w:themeColor="text1"/>
          <w:spacing w:val="1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5"/>
          <w:sz w:val="24"/>
          <w:szCs w:val="24"/>
          <w:u w:val="none"/>
          <w14:textFill>
            <w14:solidFill>
              <w14:schemeClr w14:val="tx1"/>
            </w14:solidFill>
          </w14:textFill>
        </w:rPr>
        <w:t>响，具有节能、减排、安全、健康、便利和可循环特征的建材</w:t>
      </w:r>
      <w:r>
        <w:rPr>
          <w:rFonts w:hint="default" w:ascii="Times New Roman" w:hAnsi="Times New Roman" w:cs="Times New Roman"/>
          <w:color w:val="000000" w:themeColor="text1"/>
          <w:spacing w:val="-9"/>
          <w:sz w:val="24"/>
          <w:szCs w:val="24"/>
          <w:u w:val="none"/>
          <w14:textFill>
            <w14:solidFill>
              <w14:schemeClr w14:val="tx1"/>
            </w14:solidFill>
          </w14:textFill>
        </w:rPr>
        <w:t>产品。</w:t>
      </w:r>
      <w:r>
        <w:rPr>
          <w:rFonts w:hint="default" w:ascii="Times New Roman" w:hAnsi="Times New Roman" w:cs="Times New Roman"/>
          <w:color w:val="000000" w:themeColor="text1"/>
          <w:spacing w:val="-9"/>
          <w:sz w:val="24"/>
          <w:szCs w:val="24"/>
          <w:u w:val="none"/>
          <w14:textFill>
            <w14:solidFill>
              <w14:schemeClr w14:val="tx1"/>
            </w14:solidFill>
          </w14:textFill>
        </w:rPr>
        <w:br w:type="page"/>
      </w:r>
    </w:p>
    <w:p w14:paraId="24F4D3B7">
      <w:pPr>
        <w:spacing w:line="360" w:lineRule="auto"/>
        <w:ind w:firstLine="420"/>
        <w:rPr>
          <w:rFonts w:hint="default" w:ascii="Times New Roman" w:hAnsi="Times New Roman" w:cs="Times New Roman"/>
          <w:color w:val="000000" w:themeColor="text1"/>
          <w:spacing w:val="-9"/>
          <w:sz w:val="24"/>
          <w:szCs w:val="24"/>
          <w:u w:val="none"/>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14:paraId="62980BC9">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0" w:name="_Toc204247703"/>
      <w:bookmarkStart w:id="11" w:name="_Toc15549"/>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3 基本规定</w:t>
      </w:r>
      <w:bookmarkEnd w:id="10"/>
      <w:bookmarkEnd w:id="11"/>
    </w:p>
    <w:p w14:paraId="5946887A">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2" w:name="bookmark5"/>
      <w:bookmarkEnd w:id="12"/>
      <w:bookmarkStart w:id="13" w:name="_Toc9574"/>
      <w:bookmarkStart w:id="14" w:name="_Toc204247704"/>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3.1 一般规定</w:t>
      </w:r>
      <w:bookmarkEnd w:id="13"/>
      <w:bookmarkEnd w:id="14"/>
    </w:p>
    <w:p w14:paraId="249DBA0B">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3.1.1</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绿色建筑评价应以单栋建筑或建筑群为评价对象。评价</w:t>
      </w:r>
      <w:r>
        <w:rPr>
          <w:rFonts w:hint="default" w:ascii="Times New Roman" w:hAnsi="Times New Roman" w:cs="Times New Roman"/>
          <w:color w:val="000000" w:themeColor="text1"/>
          <w:spacing w:val="-11"/>
          <w:sz w:val="24"/>
          <w:szCs w:val="24"/>
          <w:u w:val="none"/>
          <w14:textFill>
            <w14:solidFill>
              <w14:schemeClr w14:val="tx1"/>
            </w14:solidFill>
          </w14:textFill>
        </w:rPr>
        <w:t>对象应落实并深化上位法定规划及相关专项规划提出的绿色发展要求；涉及系统性、整体性的指标，应基于建筑所属工程项目的</w:t>
      </w:r>
      <w:r>
        <w:rPr>
          <w:rFonts w:hint="default" w:ascii="Times New Roman" w:hAnsi="Times New Roman" w:cs="Times New Roman"/>
          <w:color w:val="000000" w:themeColor="text1"/>
          <w:spacing w:val="-14"/>
          <w:sz w:val="24"/>
          <w:szCs w:val="24"/>
          <w:u w:val="none"/>
          <w14:textFill>
            <w14:solidFill>
              <w14:schemeClr w14:val="tx1"/>
            </w14:solidFill>
          </w14:textFill>
        </w:rPr>
        <w:t>总体进行评价。</w:t>
      </w:r>
    </w:p>
    <w:p w14:paraId="21192D95">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3.1.2</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绿色建筑评价应在建筑工程竣工后进行，绿色建筑预评</w:t>
      </w:r>
      <w:r>
        <w:rPr>
          <w:rFonts w:hint="default" w:ascii="Times New Roman" w:hAnsi="Times New Roman" w:cs="Times New Roman"/>
          <w:color w:val="000000" w:themeColor="text1"/>
          <w:spacing w:val="-9"/>
          <w:sz w:val="24"/>
          <w:szCs w:val="24"/>
          <w:u w:val="none"/>
          <w14:textFill>
            <w14:solidFill>
              <w14:schemeClr w14:val="tx1"/>
            </w14:solidFill>
          </w14:textFill>
        </w:rPr>
        <w:t>价应在建筑工程施工图设计完成后进行。</w:t>
      </w:r>
    </w:p>
    <w:p w14:paraId="2CEDEE2A">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3.1.3</w:t>
      </w:r>
      <w:r>
        <w:rPr>
          <w:rFonts w:hint="default" w:ascii="Times New Roman" w:hAnsi="Times New Roman" w:cs="Times New Roman"/>
          <w:color w:val="000000" w:themeColor="text1"/>
          <w:spacing w:val="-10"/>
          <w:sz w:val="24"/>
          <w:szCs w:val="24"/>
          <w:u w:val="none"/>
          <w14:textFill>
            <w14:solidFill>
              <w14:schemeClr w14:val="tx1"/>
            </w14:solidFill>
          </w14:textFill>
        </w:rPr>
        <w:t xml:space="preserve">  申请评价方应对参评建筑进行全寿命期技术</w:t>
      </w:r>
      <w:r>
        <w:rPr>
          <w:rFonts w:hint="default" w:ascii="Times New Roman" w:hAnsi="Times New Roman" w:cs="Times New Roman"/>
          <w:color w:val="000000" w:themeColor="text1"/>
          <w:spacing w:val="-11"/>
          <w:sz w:val="24"/>
          <w:szCs w:val="24"/>
          <w:u w:val="none"/>
          <w14:textFill>
            <w14:solidFill>
              <w14:schemeClr w14:val="tx1"/>
            </w14:solidFill>
          </w14:textFill>
        </w:rPr>
        <w:t>和经济分析，选用适宜技术、设备和材料，对规划、设计、施工、运行阶段进行全过程控制，并应在评价时提交相应分析、测试报告和相关文件。申请评价方应对所提交资料的真实性和完整性负责。</w:t>
      </w:r>
    </w:p>
    <w:p w14:paraId="67F0F469">
      <w:pPr>
        <w:spacing w:line="360" w:lineRule="auto"/>
        <w:rPr>
          <w:rFonts w:hint="default" w:ascii="Times New Roman" w:hAnsi="Times New Roman" w:cs="Times New Roman"/>
          <w:color w:val="000000" w:themeColor="text1"/>
          <w:spacing w:val="-1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3.1.4</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评价机构应对申请评价方提交的分析、测试报告和</w:t>
      </w:r>
      <w:r>
        <w:rPr>
          <w:rFonts w:hint="default" w:ascii="Times New Roman" w:hAnsi="Times New Roman" w:cs="Times New Roman"/>
          <w:color w:val="000000" w:themeColor="text1"/>
          <w:spacing w:val="-7"/>
          <w:sz w:val="24"/>
          <w:szCs w:val="24"/>
          <w:u w:val="none"/>
          <w14:textFill>
            <w14:solidFill>
              <w14:schemeClr w14:val="tx1"/>
            </w14:solidFill>
          </w14:textFill>
        </w:rPr>
        <w:t>相关</w:t>
      </w:r>
      <w:r>
        <w:rPr>
          <w:rFonts w:hint="default" w:ascii="Times New Roman" w:hAnsi="Times New Roman" w:cs="Times New Roman"/>
          <w:color w:val="000000" w:themeColor="text1"/>
          <w:spacing w:val="-12"/>
          <w:sz w:val="24"/>
          <w:szCs w:val="24"/>
          <w:u w:val="none"/>
          <w14:textFill>
            <w14:solidFill>
              <w14:schemeClr w14:val="tx1"/>
            </w14:solidFill>
          </w14:textFill>
        </w:rPr>
        <w:t>文件进行审查，出具评价报告，确定等级。</w:t>
      </w:r>
    </w:p>
    <w:p w14:paraId="38121BAA">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3.1.5</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申请绿色金融服务的建筑项目，</w:t>
      </w:r>
      <w:r>
        <w:rPr>
          <w:rFonts w:hint="default" w:ascii="Times New Roman" w:hAnsi="Times New Roman" w:cs="Times New Roman"/>
          <w:color w:val="000000" w:themeColor="text1"/>
          <w:spacing w:val="-7"/>
          <w:sz w:val="24"/>
          <w:szCs w:val="24"/>
          <w:u w:val="none"/>
          <w14:textFill>
            <w14:solidFill>
              <w14:schemeClr w14:val="tx1"/>
            </w14:solidFill>
          </w14:textFill>
        </w:rPr>
        <w:t>应对节能措施、节水措</w:t>
      </w:r>
      <w:r>
        <w:rPr>
          <w:rFonts w:hint="default" w:ascii="Times New Roman" w:hAnsi="Times New Roman" w:cs="Times New Roman"/>
          <w:color w:val="000000" w:themeColor="text1"/>
          <w:spacing w:val="-11"/>
          <w:sz w:val="24"/>
          <w:szCs w:val="24"/>
          <w:u w:val="none"/>
          <w14:textFill>
            <w14:solidFill>
              <w14:schemeClr w14:val="tx1"/>
            </w14:solidFill>
          </w14:textFill>
        </w:rPr>
        <w:t>施、建筑能耗和碳排放等进行计算和说明，应形成专项报告，并按照相关文件要求在项目施工图审查合格后进行绿色建筑预评价，项目竣工验收后进行标识评价。</w:t>
      </w:r>
    </w:p>
    <w:p w14:paraId="47D6EB12">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3.1.6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绿色建筑应在施工图设计阶段提供绿色建筑设计专篇，在交付时提供绿色建筑使用说明书。</w:t>
      </w:r>
    </w:p>
    <w:p w14:paraId="49BD5795">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5" w:name="_Toc8323"/>
      <w:bookmarkStart w:id="16" w:name="_Toc204247705"/>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3.2 评价与等级划分</w:t>
      </w:r>
      <w:bookmarkEnd w:id="15"/>
      <w:bookmarkEnd w:id="16"/>
    </w:p>
    <w:p w14:paraId="4EC0FAF0">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3.2.1 </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11"/>
          <w:sz w:val="24"/>
          <w:szCs w:val="24"/>
          <w:u w:val="none"/>
          <w14:textFill>
            <w14:solidFill>
              <w14:schemeClr w14:val="tx1"/>
            </w14:solidFill>
          </w14:textFill>
        </w:rPr>
        <w:t>绿色建筑评价指标体系应由安全耐久、健康舒适、生活 便利、资源节约、环境宜居5类指标组成，且每类指标均包括控 制项和评分项；评价指标体系还统一设置加分项。</w:t>
      </w:r>
    </w:p>
    <w:p w14:paraId="1CEDB32B">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3.2.2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控制项的评定结果应为达标或不达标；评分项和加分项 的评定结果应为分值。</w:t>
      </w:r>
    </w:p>
    <w:p w14:paraId="5A96B03F">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3.2.3</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w:t>
      </w:r>
      <w:r>
        <w:rPr>
          <w:rFonts w:hint="eastAsia" w:ascii="Times New Roman" w:hAnsi="Times New Roman" w:cs="Times New Roman"/>
          <w:color w:val="000000" w:themeColor="text1"/>
          <w:spacing w:val="-11"/>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11"/>
          <w:sz w:val="24"/>
          <w:szCs w:val="24"/>
          <w:u w:val="none"/>
          <w14:textFill>
            <w14:solidFill>
              <w14:schemeClr w14:val="tx1"/>
            </w14:solidFill>
          </w14:textFill>
        </w:rPr>
        <w:t>对于多功能的综合性单体建筑，应按本标准全部评价条文逐条对适用的区域进行评价，确定各评价条文的得分。</w:t>
      </w:r>
    </w:p>
    <w:p w14:paraId="1490840C">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3.2.4</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绿色建筑评价的分值设定应符合表3.2.4的规定。</w:t>
      </w:r>
    </w:p>
    <w:p w14:paraId="1E928A1D">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p>
    <w:p w14:paraId="74005C47">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p>
    <w:p w14:paraId="093A22B4">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p>
    <w:p w14:paraId="19E43449">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p>
    <w:p w14:paraId="438B3BE2">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表3.2.4   绿色建筑评价分值</w:t>
      </w:r>
    </w:p>
    <w:tbl>
      <w:tblPr>
        <w:tblStyle w:val="14"/>
        <w:tblW w:w="503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3"/>
        <w:gridCol w:w="1312"/>
        <w:gridCol w:w="1018"/>
        <w:gridCol w:w="1042"/>
        <w:gridCol w:w="998"/>
        <w:gridCol w:w="1018"/>
        <w:gridCol w:w="1022"/>
        <w:gridCol w:w="1164"/>
      </w:tblGrid>
      <w:tr w14:paraId="187D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590" w:type="pct"/>
            <w:vMerge w:val="restart"/>
            <w:tcBorders>
              <w:bottom w:val="nil"/>
            </w:tcBorders>
            <w:vAlign w:val="center"/>
          </w:tcPr>
          <w:p w14:paraId="270CA04B">
            <w:pPr>
              <w:jc w:val="center"/>
              <w:rPr>
                <w:rFonts w:hint="default" w:ascii="Times New Roman" w:hAnsi="Times New Roman" w:cs="Times New Roman"/>
                <w:color w:val="000000" w:themeColor="text1"/>
                <w:szCs w:val="21"/>
                <w:u w:val="none"/>
                <w14:textFill>
                  <w14:solidFill>
                    <w14:schemeClr w14:val="tx1"/>
                  </w14:solidFill>
                </w14:textFill>
              </w:rPr>
            </w:pPr>
          </w:p>
        </w:tc>
        <w:tc>
          <w:tcPr>
            <w:tcW w:w="764" w:type="pct"/>
            <w:vMerge w:val="restart"/>
            <w:tcBorders>
              <w:bottom w:val="nil"/>
            </w:tcBorders>
            <w:vAlign w:val="center"/>
          </w:tcPr>
          <w:p w14:paraId="500ED92C">
            <w:pPr>
              <w:pStyle w:val="24"/>
              <w:ind w:left="71" w:right="83" w:firstLine="79"/>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控制项</w:t>
            </w:r>
          </w:p>
          <w:p w14:paraId="1192E73D">
            <w:pPr>
              <w:pStyle w:val="24"/>
              <w:ind w:left="71" w:right="83" w:firstLine="79"/>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基础分值</w:t>
            </w:r>
          </w:p>
        </w:tc>
        <w:tc>
          <w:tcPr>
            <w:tcW w:w="2969" w:type="pct"/>
            <w:gridSpan w:val="5"/>
            <w:vAlign w:val="center"/>
          </w:tcPr>
          <w:p w14:paraId="14E285A1">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评分项满分值</w:t>
            </w:r>
          </w:p>
        </w:tc>
        <w:tc>
          <w:tcPr>
            <w:tcW w:w="677" w:type="pct"/>
            <w:vMerge w:val="restart"/>
            <w:tcBorders>
              <w:bottom w:val="nil"/>
            </w:tcBorders>
            <w:vAlign w:val="center"/>
          </w:tcPr>
          <w:p w14:paraId="1E8953D7">
            <w:pPr>
              <w:jc w:val="center"/>
              <w:rPr>
                <w:rFonts w:hint="default" w:ascii="Times New Roman" w:hAnsi="Times New Roman" w:cs="Times New Roman"/>
                <w:color w:val="000000" w:themeColor="text1"/>
                <w:szCs w:val="21"/>
                <w:u w:val="none"/>
                <w14:textFill>
                  <w14:solidFill>
                    <w14:schemeClr w14:val="tx1"/>
                  </w14:solidFill>
                </w14:textFill>
              </w:rPr>
            </w:pPr>
          </w:p>
          <w:p w14:paraId="767C1019">
            <w:pPr>
              <w:pStyle w:val="24"/>
              <w:ind w:right="231"/>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加分项</w:t>
            </w: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满分值</w:t>
            </w:r>
          </w:p>
        </w:tc>
      </w:tr>
      <w:tr w14:paraId="4197F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590" w:type="pct"/>
            <w:vMerge w:val="continue"/>
            <w:tcBorders>
              <w:top w:val="nil"/>
            </w:tcBorders>
            <w:vAlign w:val="center"/>
          </w:tcPr>
          <w:p w14:paraId="4142B875">
            <w:pPr>
              <w:jc w:val="center"/>
              <w:rPr>
                <w:rFonts w:hint="default" w:ascii="Times New Roman" w:hAnsi="Times New Roman" w:cs="Times New Roman"/>
                <w:color w:val="000000" w:themeColor="text1"/>
                <w:szCs w:val="21"/>
                <w:u w:val="none"/>
                <w14:textFill>
                  <w14:solidFill>
                    <w14:schemeClr w14:val="tx1"/>
                  </w14:solidFill>
                </w14:textFill>
              </w:rPr>
            </w:pPr>
          </w:p>
        </w:tc>
        <w:tc>
          <w:tcPr>
            <w:tcW w:w="764" w:type="pct"/>
            <w:vMerge w:val="continue"/>
            <w:tcBorders>
              <w:top w:val="nil"/>
            </w:tcBorders>
            <w:vAlign w:val="center"/>
          </w:tcPr>
          <w:p w14:paraId="0197E35B">
            <w:pPr>
              <w:jc w:val="center"/>
              <w:rPr>
                <w:rFonts w:hint="default" w:ascii="Times New Roman" w:hAnsi="Times New Roman" w:cs="Times New Roman"/>
                <w:color w:val="000000" w:themeColor="text1"/>
                <w:szCs w:val="21"/>
                <w:u w:val="none"/>
                <w14:textFill>
                  <w14:solidFill>
                    <w14:schemeClr w14:val="tx1"/>
                  </w14:solidFill>
                </w14:textFill>
              </w:rPr>
            </w:pPr>
          </w:p>
        </w:tc>
        <w:tc>
          <w:tcPr>
            <w:tcW w:w="593" w:type="pct"/>
            <w:vAlign w:val="center"/>
          </w:tcPr>
          <w:p w14:paraId="5C3CFAF7">
            <w:pPr>
              <w:pStyle w:val="24"/>
              <w:ind w:left="142" w:right="16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安全</w:t>
            </w:r>
            <w:r>
              <w:rPr>
                <w:rFonts w:hint="default" w:ascii="Times New Roman" w:hAnsi="Times New Roman" w:cs="Times New Roman" w:eastAsiaTheme="minorEastAsia"/>
                <w:color w:val="000000" w:themeColor="text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耐久</w:t>
            </w:r>
          </w:p>
        </w:tc>
        <w:tc>
          <w:tcPr>
            <w:tcW w:w="607" w:type="pct"/>
            <w:vAlign w:val="center"/>
          </w:tcPr>
          <w:p w14:paraId="2708E3DD">
            <w:pPr>
              <w:pStyle w:val="24"/>
              <w:ind w:left="154" w:right="161"/>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健康</w:t>
            </w:r>
            <w:r>
              <w:rPr>
                <w:rFonts w:hint="default" w:ascii="Times New Roman" w:hAnsi="Times New Roman" w:cs="Times New Roman" w:eastAsiaTheme="minorEastAsia"/>
                <w:color w:val="000000" w:themeColor="text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舒适</w:t>
            </w:r>
          </w:p>
        </w:tc>
        <w:tc>
          <w:tcPr>
            <w:tcW w:w="581" w:type="pct"/>
            <w:vAlign w:val="center"/>
          </w:tcPr>
          <w:p w14:paraId="52BBF8B9">
            <w:pPr>
              <w:pStyle w:val="24"/>
              <w:ind w:left="144" w:right="160"/>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生活</w:t>
            </w:r>
            <w:r>
              <w:rPr>
                <w:rFonts w:hint="default" w:ascii="Times New Roman" w:hAnsi="Times New Roman" w:cs="Times New Roman" w:eastAsiaTheme="minorEastAsia"/>
                <w:color w:val="000000" w:themeColor="text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便利</w:t>
            </w:r>
          </w:p>
        </w:tc>
        <w:tc>
          <w:tcPr>
            <w:tcW w:w="593" w:type="pct"/>
            <w:vAlign w:val="center"/>
          </w:tcPr>
          <w:p w14:paraId="32A1AEF4">
            <w:pPr>
              <w:pStyle w:val="24"/>
              <w:ind w:left="155" w:right="148"/>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资源</w:t>
            </w:r>
            <w:r>
              <w:rPr>
                <w:rFonts w:hint="default" w:ascii="Times New Roman" w:hAnsi="Times New Roman" w:cs="Times New Roman" w:eastAsiaTheme="minorEastAsia"/>
                <w:color w:val="000000" w:themeColor="text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节约</w:t>
            </w:r>
          </w:p>
        </w:tc>
        <w:tc>
          <w:tcPr>
            <w:tcW w:w="595" w:type="pct"/>
            <w:vAlign w:val="center"/>
          </w:tcPr>
          <w:p w14:paraId="3D12709D">
            <w:pPr>
              <w:pStyle w:val="24"/>
              <w:ind w:left="146" w:right="158"/>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环境</w:t>
            </w:r>
            <w:r>
              <w:rPr>
                <w:rFonts w:hint="default" w:ascii="Times New Roman" w:hAnsi="Times New Roman" w:cs="Times New Roman" w:eastAsiaTheme="minorEastAsia"/>
                <w:color w:val="000000" w:themeColor="text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宜居</w:t>
            </w:r>
          </w:p>
        </w:tc>
        <w:tc>
          <w:tcPr>
            <w:tcW w:w="677" w:type="pct"/>
            <w:vMerge w:val="continue"/>
            <w:tcBorders>
              <w:top w:val="nil"/>
            </w:tcBorders>
            <w:vAlign w:val="center"/>
          </w:tcPr>
          <w:p w14:paraId="5826099E">
            <w:pPr>
              <w:jc w:val="center"/>
              <w:rPr>
                <w:rFonts w:hint="default" w:ascii="Times New Roman" w:hAnsi="Times New Roman" w:cs="Times New Roman"/>
                <w:color w:val="000000" w:themeColor="text1"/>
                <w:szCs w:val="21"/>
                <w:u w:val="none"/>
                <w14:textFill>
                  <w14:solidFill>
                    <w14:schemeClr w14:val="tx1"/>
                  </w14:solidFill>
                </w14:textFill>
              </w:rPr>
            </w:pPr>
          </w:p>
        </w:tc>
      </w:tr>
      <w:tr w14:paraId="71C4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590" w:type="pct"/>
            <w:vAlign w:val="center"/>
          </w:tcPr>
          <w:p w14:paraId="166A6B46">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预评价</w:t>
            </w:r>
          </w:p>
        </w:tc>
        <w:tc>
          <w:tcPr>
            <w:tcW w:w="764" w:type="pct"/>
            <w:vAlign w:val="center"/>
          </w:tcPr>
          <w:p w14:paraId="1F8FD0C0">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400</w:t>
            </w:r>
          </w:p>
        </w:tc>
        <w:tc>
          <w:tcPr>
            <w:tcW w:w="593" w:type="pct"/>
            <w:vAlign w:val="center"/>
          </w:tcPr>
          <w:p w14:paraId="5E69BBB8">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100</w:t>
            </w:r>
          </w:p>
        </w:tc>
        <w:tc>
          <w:tcPr>
            <w:tcW w:w="607" w:type="pct"/>
            <w:vAlign w:val="center"/>
          </w:tcPr>
          <w:p w14:paraId="44863DFA">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100</w:t>
            </w:r>
          </w:p>
        </w:tc>
        <w:tc>
          <w:tcPr>
            <w:tcW w:w="581" w:type="pct"/>
            <w:vAlign w:val="center"/>
          </w:tcPr>
          <w:p w14:paraId="27720362">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70</w:t>
            </w:r>
          </w:p>
        </w:tc>
        <w:tc>
          <w:tcPr>
            <w:tcW w:w="593" w:type="pct"/>
            <w:vAlign w:val="center"/>
          </w:tcPr>
          <w:p w14:paraId="3CD4381D">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200</w:t>
            </w:r>
          </w:p>
        </w:tc>
        <w:tc>
          <w:tcPr>
            <w:tcW w:w="595" w:type="pct"/>
            <w:vAlign w:val="center"/>
          </w:tcPr>
          <w:p w14:paraId="36A625A1">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100</w:t>
            </w:r>
          </w:p>
        </w:tc>
        <w:tc>
          <w:tcPr>
            <w:tcW w:w="677" w:type="pct"/>
            <w:vAlign w:val="center"/>
          </w:tcPr>
          <w:p w14:paraId="1FC83C42">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100</w:t>
            </w:r>
          </w:p>
        </w:tc>
      </w:tr>
      <w:tr w14:paraId="7883A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590" w:type="pct"/>
            <w:vAlign w:val="center"/>
          </w:tcPr>
          <w:p w14:paraId="265EB6B4">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评价</w:t>
            </w:r>
          </w:p>
        </w:tc>
        <w:tc>
          <w:tcPr>
            <w:tcW w:w="764" w:type="pct"/>
            <w:vAlign w:val="center"/>
          </w:tcPr>
          <w:p w14:paraId="66D86B9C">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400</w:t>
            </w:r>
          </w:p>
        </w:tc>
        <w:tc>
          <w:tcPr>
            <w:tcW w:w="593" w:type="pct"/>
            <w:vAlign w:val="center"/>
          </w:tcPr>
          <w:p w14:paraId="3B719FB0">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100</w:t>
            </w:r>
          </w:p>
        </w:tc>
        <w:tc>
          <w:tcPr>
            <w:tcW w:w="607" w:type="pct"/>
            <w:vAlign w:val="center"/>
          </w:tcPr>
          <w:p w14:paraId="2AA3D107">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100</w:t>
            </w:r>
          </w:p>
        </w:tc>
        <w:tc>
          <w:tcPr>
            <w:tcW w:w="581" w:type="pct"/>
            <w:vAlign w:val="center"/>
          </w:tcPr>
          <w:p w14:paraId="1D79D197">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100</w:t>
            </w:r>
          </w:p>
        </w:tc>
        <w:tc>
          <w:tcPr>
            <w:tcW w:w="593" w:type="pct"/>
            <w:vAlign w:val="center"/>
          </w:tcPr>
          <w:p w14:paraId="19C7C9BB">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200</w:t>
            </w:r>
          </w:p>
        </w:tc>
        <w:tc>
          <w:tcPr>
            <w:tcW w:w="595" w:type="pct"/>
            <w:vAlign w:val="center"/>
          </w:tcPr>
          <w:p w14:paraId="3AD76585">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100</w:t>
            </w:r>
          </w:p>
        </w:tc>
        <w:tc>
          <w:tcPr>
            <w:tcW w:w="677" w:type="pct"/>
            <w:vAlign w:val="center"/>
          </w:tcPr>
          <w:p w14:paraId="1A08857C">
            <w:pPr>
              <w:pStyle w:val="24"/>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100</w:t>
            </w:r>
          </w:p>
        </w:tc>
      </w:tr>
    </w:tbl>
    <w:p w14:paraId="18CEE62D">
      <w:pPr>
        <w:spacing w:before="51" w:line="360" w:lineRule="auto"/>
        <w:ind w:right="117" w:firstLine="3"/>
        <w:rPr>
          <w:rFonts w:hint="default" w:ascii="Times New Roman" w:hAnsi="Times New Roman" w:cs="Times New Roman"/>
          <w:color w:val="000000" w:themeColor="text1"/>
          <w:spacing w:val="-11"/>
          <w:szCs w:val="21"/>
          <w:u w:val="none"/>
          <w14:textFill>
            <w14:solidFill>
              <w14:schemeClr w14:val="tx1"/>
            </w14:solidFill>
          </w14:textFill>
        </w:rPr>
      </w:pPr>
      <w:r>
        <w:rPr>
          <w:rFonts w:hint="default" w:ascii="Times New Roman" w:hAnsi="Times New Roman" w:cs="Times New Roman"/>
          <w:color w:val="000000" w:themeColor="text1"/>
          <w:spacing w:val="-11"/>
          <w:szCs w:val="21"/>
          <w:u w:val="none"/>
          <w14:textFill>
            <w14:solidFill>
              <w14:schemeClr w14:val="tx1"/>
            </w14:solidFill>
          </w14:textFill>
        </w:rPr>
        <w:t>注：预评价时，本标准第6.2.10、6.2.11、6.2.12、6.2.13、9.2.8条不得分。</w:t>
      </w:r>
    </w:p>
    <w:p w14:paraId="5E05697B">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3.2.5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绿色建筑评价的总得分应按下式进行计算：</w:t>
      </w:r>
    </w:p>
    <w:p w14:paraId="233D8B13">
      <w:pPr>
        <w:spacing w:line="360" w:lineRule="auto"/>
        <w:ind w:firstLine="763" w:firstLineChars="3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vertAlign w:val="subscript"/>
          <w14:textFill>
            <w14:solidFill>
              <w14:schemeClr w14:val="tx1"/>
            </w14:solidFill>
          </w14:textFill>
        </w:rPr>
        <w:t>0</w:t>
      </w: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vertAlign w:val="subscript"/>
          <w14:textFill>
            <w14:solidFill>
              <w14:schemeClr w14:val="tx1"/>
            </w14:solidFill>
          </w14:textFill>
        </w:rPr>
        <w:t>1</w:t>
      </w: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vertAlign w:val="subscript"/>
          <w14:textFill>
            <w14:solidFill>
              <w14:schemeClr w14:val="tx1"/>
            </w14:solidFill>
          </w14:textFill>
        </w:rPr>
        <w:t>2</w:t>
      </w: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vertAlign w:val="subscript"/>
          <w14:textFill>
            <w14:solidFill>
              <w14:schemeClr w14:val="tx1"/>
            </w14:solidFill>
          </w14:textFill>
        </w:rPr>
        <w:t>3</w:t>
      </w: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vertAlign w:val="subscript"/>
          <w14:textFill>
            <w14:solidFill>
              <w14:schemeClr w14:val="tx1"/>
            </w14:solidFill>
          </w14:textFill>
        </w:rPr>
        <w:t>4</w:t>
      </w: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vertAlign w:val="subscript"/>
          <w14:textFill>
            <w14:solidFill>
              <w14:schemeClr w14:val="tx1"/>
            </w14:solidFill>
          </w14:textFill>
        </w:rPr>
        <w:t>5</w:t>
      </w: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vertAlign w:val="subscript"/>
          <w14:textFill>
            <w14:solidFill>
              <w14:schemeClr w14:val="tx1"/>
            </w14:solidFill>
          </w14:textFill>
        </w:rPr>
        <w:t>A</w:t>
      </w:r>
      <w:r>
        <w:rPr>
          <w:rFonts w:hint="default" w:ascii="Times New Roman" w:hAnsi="Times New Roman"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1"/>
          <w:sz w:val="24"/>
          <w:szCs w:val="24"/>
          <w:u w:val="none"/>
          <w14:textFill>
            <w14:solidFill>
              <w14:schemeClr w14:val="tx1"/>
            </w14:solidFill>
          </w14:textFill>
        </w:rPr>
        <w:t>/10                                    （3.2.5）</w:t>
      </w:r>
    </w:p>
    <w:p w14:paraId="5837A1FC">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t>式中：Q——总得分；</w:t>
      </w:r>
    </w:p>
    <w:p w14:paraId="3A5C0679">
      <w:pPr>
        <w:spacing w:line="360" w:lineRule="auto"/>
        <w:ind w:firstLine="654" w:firstLineChars="30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vertAlign w:val="subscript"/>
          <w14:textFill>
            <w14:solidFill>
              <w14:schemeClr w14:val="tx1"/>
            </w14:solidFill>
          </w14:textFill>
        </w:rPr>
        <w:t>0</w:t>
      </w:r>
      <w:r>
        <w:rPr>
          <w:rFonts w:hint="default" w:ascii="Times New Roman" w:hAnsi="Times New Roman" w:cs="Times New Roman"/>
          <w:color w:val="000000" w:themeColor="text1"/>
          <w:spacing w:val="-11"/>
          <w:sz w:val="24"/>
          <w:szCs w:val="24"/>
          <w:u w:val="none"/>
          <w14:textFill>
            <w14:solidFill>
              <w14:schemeClr w14:val="tx1"/>
            </w14:solidFill>
          </w14:textFill>
        </w:rPr>
        <w:t>—— 控制项基础分值，当满足所有控制项的要求时取 400分；</w:t>
      </w:r>
    </w:p>
    <w:p w14:paraId="441DDD2A">
      <w:pPr>
        <w:spacing w:line="360" w:lineRule="auto"/>
        <w:ind w:firstLine="654" w:firstLineChars="30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t>Q₁~Q</w:t>
      </w:r>
      <w:r>
        <w:rPr>
          <w:rFonts w:hint="default" w:ascii="Times New Roman" w:hAnsi="Times New Roman" w:eastAsia="MS Mincho" w:cs="Times New Roman"/>
          <w:color w:val="000000" w:themeColor="text1"/>
          <w:spacing w:val="-11"/>
          <w:sz w:val="24"/>
          <w:szCs w:val="24"/>
          <w:u w:val="none"/>
          <w14:textFill>
            <w14:solidFill>
              <w14:schemeClr w14:val="tx1"/>
            </w14:solidFill>
          </w14:textFill>
        </w:rPr>
        <w:t>₅</w:t>
      </w:r>
      <w:r>
        <w:rPr>
          <w:rFonts w:hint="default" w:ascii="Times New Roman" w:hAnsi="Times New Roman" w:cs="Times New Roman"/>
          <w:color w:val="000000" w:themeColor="text1"/>
          <w:spacing w:val="-11"/>
          <w:sz w:val="24"/>
          <w:szCs w:val="24"/>
          <w:u w:val="none"/>
          <w14:textFill>
            <w14:solidFill>
              <w14:schemeClr w14:val="tx1"/>
            </w14:solidFill>
          </w14:textFill>
        </w:rPr>
        <w:t>——分别为评价指标体系5类指标</w:t>
      </w:r>
      <w:r>
        <w:rPr>
          <w:rFonts w:hint="default" w:ascii="Times New Roman" w:hAnsi="Times New Roman"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1"/>
          <w:sz w:val="24"/>
          <w:szCs w:val="24"/>
          <w:u w:val="none"/>
          <w14:textFill>
            <w14:solidFill>
              <w14:schemeClr w14:val="tx1"/>
            </w14:solidFill>
          </w14:textFill>
        </w:rPr>
        <w:t>安全耐久、健康舒 适、生活便利、</w:t>
      </w:r>
    </w:p>
    <w:p w14:paraId="0A1713DC">
      <w:pPr>
        <w:spacing w:line="360" w:lineRule="auto"/>
        <w:ind w:firstLine="1744" w:firstLineChars="80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t>资源节约、环境宜居</w:t>
      </w:r>
      <w:r>
        <w:rPr>
          <w:rFonts w:hint="default" w:ascii="Times New Roman" w:hAnsi="Times New Roman"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1"/>
          <w:sz w:val="24"/>
          <w:szCs w:val="24"/>
          <w:u w:val="none"/>
          <w14:textFill>
            <w14:solidFill>
              <w14:schemeClr w14:val="tx1"/>
            </w14:solidFill>
          </w14:textFill>
        </w:rPr>
        <w:t>评分项得分；</w:t>
      </w:r>
    </w:p>
    <w:p w14:paraId="11207F07">
      <w:pPr>
        <w:spacing w:line="360" w:lineRule="auto"/>
        <w:ind w:firstLine="654" w:firstLineChars="30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t>Q</w:t>
      </w:r>
      <w:r>
        <w:rPr>
          <w:rFonts w:hint="default" w:ascii="Times New Roman" w:hAnsi="Times New Roman" w:cs="Times New Roman"/>
          <w:color w:val="000000" w:themeColor="text1"/>
          <w:spacing w:val="-11"/>
          <w:sz w:val="24"/>
          <w:szCs w:val="24"/>
          <w:u w:val="none"/>
          <w:vertAlign w:val="subscript"/>
          <w14:textFill>
            <w14:solidFill>
              <w14:schemeClr w14:val="tx1"/>
            </w14:solidFill>
          </w14:textFill>
        </w:rPr>
        <w:t>A</w:t>
      </w:r>
      <w:r>
        <w:rPr>
          <w:rFonts w:hint="default" w:ascii="Times New Roman" w:hAnsi="Times New Roman" w:cs="Times New Roman"/>
          <w:color w:val="000000" w:themeColor="text1"/>
          <w:spacing w:val="-11"/>
          <w:sz w:val="24"/>
          <w:szCs w:val="24"/>
          <w:u w:val="none"/>
          <w14:textFill>
            <w14:solidFill>
              <w14:schemeClr w14:val="tx1"/>
            </w14:solidFill>
          </w14:textFill>
        </w:rPr>
        <w:t>——提高与创新加分项得分。</w:t>
      </w:r>
    </w:p>
    <w:p w14:paraId="7D6656A4">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3.2.6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绿色建筑等级应按由低至高划分为基本级、一星级、二 星级、三星级4个等级。</w:t>
      </w:r>
    </w:p>
    <w:p w14:paraId="14458E7F">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3.2.7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当满足全部控制项要求时，绿色建筑等级应为基本级。</w:t>
      </w:r>
    </w:p>
    <w:p w14:paraId="3B2620E4">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3.2.8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绿色建筑星级等级应按下列规定确定：</w:t>
      </w:r>
    </w:p>
    <w:p w14:paraId="087F04CC">
      <w:pPr>
        <w:spacing w:line="360" w:lineRule="auto"/>
        <w:ind w:firstLine="328"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1"/>
          <w:sz w:val="24"/>
          <w:szCs w:val="24"/>
          <w:u w:val="none"/>
          <w14:textFill>
            <w14:solidFill>
              <w14:schemeClr w14:val="tx1"/>
            </w14:solidFill>
          </w14:textFill>
        </w:rPr>
        <w:t>1</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一星级、二星级、三星级3个等级的绿色建筑均应满足 本标准全部控制项的要求，且每类指标的评分项得分不应小于其 评分项满分值的30%；</w:t>
      </w:r>
    </w:p>
    <w:p w14:paraId="256D98D1">
      <w:pPr>
        <w:spacing w:line="360" w:lineRule="auto"/>
        <w:ind w:firstLine="328"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1"/>
          <w:sz w:val="24"/>
          <w:szCs w:val="24"/>
          <w:u w:val="none"/>
          <w14:textFill>
            <w14:solidFill>
              <w14:schemeClr w14:val="tx1"/>
            </w14:solidFill>
          </w14:textFill>
        </w:rPr>
        <w:t>2</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w:t>
      </w:r>
      <w:bookmarkStart w:id="17" w:name="OLE_LINK2"/>
      <w:bookmarkStart w:id="18" w:name="OLE_LINK3"/>
      <w:r>
        <w:rPr>
          <w:rFonts w:hint="default" w:ascii="Times New Roman" w:hAnsi="Times New Roman" w:cs="Times New Roman"/>
          <w:color w:val="000000" w:themeColor="text1"/>
          <w:spacing w:val="-11"/>
          <w:sz w:val="24"/>
          <w:szCs w:val="24"/>
          <w:u w:val="none"/>
          <w14:textFill>
            <w14:solidFill>
              <w14:schemeClr w14:val="tx1"/>
            </w14:solidFill>
          </w14:textFill>
        </w:rPr>
        <w:t>一星级、二星级、三星级3个等级的绿色建筑均应进行 全装修</w:t>
      </w:r>
      <w:bookmarkEnd w:id="17"/>
      <w:bookmarkEnd w:id="18"/>
      <w:r>
        <w:rPr>
          <w:rFonts w:hint="default" w:ascii="Times New Roman" w:hAnsi="Times New Roman" w:cs="Times New Roman"/>
          <w:color w:val="000000" w:themeColor="text1"/>
          <w:spacing w:val="-11"/>
          <w:sz w:val="24"/>
          <w:szCs w:val="24"/>
          <w:u w:val="none"/>
          <w14:textFill>
            <w14:solidFill>
              <w14:schemeClr w14:val="tx1"/>
            </w14:solidFill>
          </w14:textFill>
        </w:rPr>
        <w:t>，全装修工程质量、选用材料及产品质量应符合国家现行 有关标准的规定；</w:t>
      </w:r>
    </w:p>
    <w:p w14:paraId="43A2C44D">
      <w:pPr>
        <w:spacing w:line="360" w:lineRule="auto"/>
        <w:ind w:firstLine="328"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1"/>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当总得分分别达到60分、70分、85分且应满足表3.2.8的 要求时，绿色建筑等级分别为一星级、二星级、三星级。</w:t>
      </w:r>
    </w:p>
    <w:p w14:paraId="39E55C72">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表3.2.8 一星级、二星级、三星级绿色建筑的技术要求</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8"/>
        <w:gridCol w:w="1812"/>
        <w:gridCol w:w="2142"/>
        <w:gridCol w:w="9"/>
        <w:gridCol w:w="22"/>
        <w:gridCol w:w="2219"/>
      </w:tblGrid>
      <w:tr w14:paraId="1A12E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blHeader/>
          <w:jc w:val="center"/>
        </w:trPr>
        <w:tc>
          <w:tcPr>
            <w:tcW w:w="1360" w:type="pct"/>
            <w:vAlign w:val="center"/>
          </w:tcPr>
          <w:p w14:paraId="46C1B898">
            <w:pPr>
              <w:pStyle w:val="24"/>
              <w:jc w:val="cente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pPr>
          </w:p>
        </w:tc>
        <w:tc>
          <w:tcPr>
            <w:tcW w:w="1063" w:type="pct"/>
            <w:vAlign w:val="center"/>
          </w:tcPr>
          <w:p w14:paraId="39CE5941">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一星级</w:t>
            </w:r>
          </w:p>
        </w:tc>
        <w:tc>
          <w:tcPr>
            <w:tcW w:w="1275" w:type="pct"/>
            <w:gridSpan w:val="3"/>
            <w:vAlign w:val="center"/>
          </w:tcPr>
          <w:p w14:paraId="68AAE52C">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二星级</w:t>
            </w:r>
          </w:p>
        </w:tc>
        <w:tc>
          <w:tcPr>
            <w:tcW w:w="1302" w:type="pct"/>
            <w:vAlign w:val="center"/>
          </w:tcPr>
          <w:p w14:paraId="5D0E5824">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三星级</w:t>
            </w:r>
          </w:p>
        </w:tc>
      </w:tr>
      <w:tr w14:paraId="54A80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1360" w:type="pct"/>
            <w:vAlign w:val="center"/>
          </w:tcPr>
          <w:p w14:paraId="2A8ACD13">
            <w:pPr>
              <w:pStyle w:val="24"/>
              <w:jc w:val="cente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t>围护结构热工性能的提高比例，或建筑供暖空负荷降低比例</w:t>
            </w:r>
          </w:p>
          <w:p w14:paraId="086DC6F3">
            <w:pPr>
              <w:pStyle w:val="24"/>
              <w:jc w:val="cente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t>（非温和地区）</w:t>
            </w:r>
          </w:p>
        </w:tc>
        <w:tc>
          <w:tcPr>
            <w:tcW w:w="1063" w:type="pct"/>
            <w:vAlign w:val="center"/>
          </w:tcPr>
          <w:p w14:paraId="071256B0">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w:t>
            </w:r>
          </w:p>
        </w:tc>
        <w:tc>
          <w:tcPr>
            <w:tcW w:w="1275" w:type="pct"/>
            <w:gridSpan w:val="3"/>
            <w:vAlign w:val="center"/>
          </w:tcPr>
          <w:p w14:paraId="2525AADC">
            <w:pPr>
              <w:pStyle w:val="24"/>
              <w:jc w:val="cente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t>围护结构提高5%，或负荷降低3%</w:t>
            </w:r>
          </w:p>
        </w:tc>
        <w:tc>
          <w:tcPr>
            <w:tcW w:w="1302" w:type="pct"/>
            <w:vAlign w:val="center"/>
          </w:tcPr>
          <w:p w14:paraId="59D5FF04">
            <w:pPr>
              <w:pStyle w:val="24"/>
              <w:jc w:val="cente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t>围护结构提高10%，或负荷降低5%</w:t>
            </w:r>
          </w:p>
        </w:tc>
      </w:tr>
      <w:tr w14:paraId="68855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1360" w:type="pct"/>
            <w:vAlign w:val="center"/>
          </w:tcPr>
          <w:p w14:paraId="676DD80A">
            <w:pPr>
              <w:pStyle w:val="24"/>
              <w:jc w:val="cente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t>严寒和寒冷地区 住宅建筑外窗传 热系数降低比例</w:t>
            </w:r>
          </w:p>
        </w:tc>
        <w:tc>
          <w:tcPr>
            <w:tcW w:w="1063" w:type="pct"/>
            <w:vAlign w:val="center"/>
          </w:tcPr>
          <w:p w14:paraId="1E3FFAC1">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5%</w:t>
            </w:r>
          </w:p>
        </w:tc>
        <w:tc>
          <w:tcPr>
            <w:tcW w:w="1275" w:type="pct"/>
            <w:gridSpan w:val="3"/>
            <w:vAlign w:val="center"/>
          </w:tcPr>
          <w:p w14:paraId="616E7A9B">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10%</w:t>
            </w:r>
          </w:p>
        </w:tc>
        <w:tc>
          <w:tcPr>
            <w:tcW w:w="1302" w:type="pct"/>
            <w:vAlign w:val="center"/>
          </w:tcPr>
          <w:p w14:paraId="2B4BEC53">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20%</w:t>
            </w:r>
          </w:p>
        </w:tc>
      </w:tr>
      <w:tr w14:paraId="679FF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360" w:type="pct"/>
            <w:vAlign w:val="center"/>
          </w:tcPr>
          <w:p w14:paraId="0B6F34E4">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节水器具水效等级</w:t>
            </w:r>
          </w:p>
        </w:tc>
        <w:tc>
          <w:tcPr>
            <w:tcW w:w="1063" w:type="pct"/>
            <w:vAlign w:val="center"/>
          </w:tcPr>
          <w:p w14:paraId="307D7E53">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3级</w:t>
            </w:r>
          </w:p>
        </w:tc>
        <w:tc>
          <w:tcPr>
            <w:tcW w:w="2577" w:type="pct"/>
            <w:gridSpan w:val="4"/>
            <w:vAlign w:val="center"/>
          </w:tcPr>
          <w:p w14:paraId="31FD1DF5">
            <w:pPr>
              <w:pStyle w:val="24"/>
              <w:jc w:val="cente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pPr>
            <w:r>
              <w:rPr>
                <w:rFonts w:hint="default" w:ascii="Times New Roman" w:hAnsi="Times New Roman" w:cs="Times New Roman" w:eastAsiaTheme="minorEastAsia"/>
                <w:color w:val="000000" w:themeColor="text1"/>
                <w:spacing w:val="-4"/>
                <w:sz w:val="18"/>
                <w:szCs w:val="18"/>
                <w:u w:val="none"/>
                <w14:textFill>
                  <w14:solidFill>
                    <w14:schemeClr w14:val="tx1"/>
                  </w14:solidFill>
                </w14:textFill>
              </w:rPr>
              <w:t>2级</w:t>
            </w:r>
          </w:p>
        </w:tc>
      </w:tr>
      <w:tr w14:paraId="5536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360" w:type="pct"/>
            <w:vAlign w:val="center"/>
          </w:tcPr>
          <w:p w14:paraId="5305B70D">
            <w:pPr>
              <w:pStyle w:val="24"/>
              <w:ind w:left="285" w:right="289"/>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18"/>
                <w:szCs w:val="18"/>
                <w:u w:val="none"/>
                <w:lang w:eastAsia="zh-CN"/>
                <w14:textFill>
                  <w14:solidFill>
                    <w14:schemeClr w14:val="tx1"/>
                  </w14:solidFill>
                </w14:textFill>
              </w:rPr>
              <w:t>住宅建筑</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18"/>
                <w:szCs w:val="18"/>
                <w:u w:val="none"/>
                <w:lang w:eastAsia="zh-CN"/>
                <w14:textFill>
                  <w14:solidFill>
                    <w14:schemeClr w14:val="tx1"/>
                  </w14:solidFill>
                </w14:textFill>
              </w:rPr>
              <w:t>隔声性能</w:t>
            </w:r>
          </w:p>
        </w:tc>
        <w:tc>
          <w:tcPr>
            <w:tcW w:w="1063" w:type="pct"/>
            <w:vAlign w:val="center"/>
          </w:tcPr>
          <w:p w14:paraId="3A13D7CA">
            <w:pPr>
              <w:pStyle w:val="24"/>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position w:val="-1"/>
                <w:sz w:val="18"/>
                <w:szCs w:val="18"/>
                <w:u w:val="none"/>
                <w:lang w:eastAsia="zh-CN"/>
                <w14:textFill>
                  <w14:solidFill>
                    <w14:schemeClr w14:val="tx1"/>
                  </w14:solidFill>
                </w14:textFill>
              </w:rPr>
              <w:t>—</w:t>
            </w:r>
          </w:p>
        </w:tc>
        <w:tc>
          <w:tcPr>
            <w:tcW w:w="1262" w:type="pct"/>
            <w:gridSpan w:val="2"/>
            <w:tcBorders>
              <w:right w:val="single" w:color="auto" w:sz="4" w:space="0"/>
            </w:tcBorders>
            <w:vAlign w:val="center"/>
          </w:tcPr>
          <w:p w14:paraId="3EED47D9">
            <w:pPr>
              <w:pStyle w:val="24"/>
              <w:ind w:left="13"/>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卧室分户墙和卧室</w:t>
            </w:r>
            <w:r>
              <w:rPr>
                <w:rFonts w:hint="default" w:ascii="Times New Roman" w:hAnsi="Times New Roman" w:cs="Times New Roman" w:eastAsiaTheme="minorEastAsia"/>
                <w:color w:val="000000" w:themeColor="text1"/>
                <w:spacing w:val="2"/>
                <w:sz w:val="18"/>
                <w:szCs w:val="18"/>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14"/>
                <w:sz w:val="18"/>
                <w:szCs w:val="18"/>
                <w:u w:val="none"/>
                <w:lang w:eastAsia="zh-CN"/>
                <w14:textFill>
                  <w14:solidFill>
                    <w14:schemeClr w14:val="tx1"/>
                  </w14:solidFill>
                </w14:textFill>
              </w:rPr>
              <w:t>分户楼板两侧房间之间</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的空气声隔声性能（计权标准化声压级差与交通噪声频谱修正量之和</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DnT，w+Ctr）≥47dB，</w:t>
            </w:r>
          </w:p>
          <w:p w14:paraId="76726E91">
            <w:pPr>
              <w:pStyle w:val="24"/>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卧室分户楼板的</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撞击声隔声性能</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（计权标准化撞击</w:t>
            </w:r>
            <w:r>
              <w:rPr>
                <w:rFonts w:hint="default" w:ascii="Times New Roman" w:hAnsi="Times New Roman" w:cs="Times New Roman" w:eastAsiaTheme="minorEastAsia"/>
                <w:color w:val="000000" w:themeColor="text1"/>
                <w:spacing w:val="6"/>
                <w:sz w:val="18"/>
                <w:szCs w:val="18"/>
                <w:u w:val="none"/>
                <w:lang w:eastAsia="zh-CN"/>
                <w14:textFill>
                  <w14:solidFill>
                    <w14:schemeClr w14:val="tx1"/>
                  </w14:solidFill>
                </w14:textFill>
              </w:rPr>
              <w:t>压级</w:t>
            </w:r>
            <w: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t>LnT</w:t>
            </w:r>
            <w:r>
              <w:rPr>
                <w:rFonts w:hint="default" w:ascii="Times New Roman" w:hAnsi="Times New Roman" w:cs="Times New Roman" w:eastAsiaTheme="minorEastAsia"/>
                <w:color w:val="000000" w:themeColor="text1"/>
                <w:spacing w:val="6"/>
                <w:sz w:val="18"/>
                <w:szCs w:val="18"/>
                <w:u w:val="none"/>
                <w:lang w:eastAsia="zh-CN"/>
                <w14:textFill>
                  <w14:solidFill>
                    <w14:schemeClr w14:val="tx1"/>
                  </w14:solidFill>
                </w14:textFill>
              </w:rPr>
              <w:t>，w）</w:t>
            </w:r>
            <w: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t>≤60dB</w:t>
            </w:r>
          </w:p>
        </w:tc>
        <w:tc>
          <w:tcPr>
            <w:tcW w:w="1315" w:type="pct"/>
            <w:gridSpan w:val="2"/>
            <w:tcBorders>
              <w:left w:val="single" w:color="auto" w:sz="4" w:space="0"/>
            </w:tcBorders>
            <w:vAlign w:val="center"/>
          </w:tcPr>
          <w:p w14:paraId="5EB4205E">
            <w:pPr>
              <w:pStyle w:val="24"/>
              <w:ind w:left="97"/>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t>卧室分户墙和卧室</w:t>
            </w:r>
          </w:p>
          <w:p w14:paraId="1A3E502A">
            <w:pPr>
              <w:pStyle w:val="24"/>
              <w:ind w:left="97"/>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18"/>
                <w:szCs w:val="18"/>
                <w:u w:val="none"/>
                <w:lang w:eastAsia="zh-CN"/>
                <w14:textFill>
                  <w14:solidFill>
                    <w14:schemeClr w14:val="tx1"/>
                  </w14:solidFill>
                </w14:textFill>
              </w:rPr>
              <w:t>分户楼板两侧房间</w:t>
            </w:r>
          </w:p>
          <w:p w14:paraId="185733E4">
            <w:pPr>
              <w:pStyle w:val="24"/>
              <w:ind w:left="97"/>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之间的空气声隔声</w:t>
            </w:r>
          </w:p>
          <w:p w14:paraId="21B15F67">
            <w:pPr>
              <w:pStyle w:val="24"/>
              <w:ind w:left="56"/>
              <w:jc w:val="cente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性能（计权标准化声压级差与交通噪声</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频谱修正量之和</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DnT，w+Ctr）≥50dB，</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卧室分户楼板的</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撞击声隔声性能</w:t>
            </w: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（计权标准化撞击</w:t>
            </w:r>
            <w:r>
              <w:rPr>
                <w:rFonts w:hint="default" w:ascii="Times New Roman" w:hAnsi="Times New Roman" w:cs="Times New Roman" w:eastAsiaTheme="minorEastAsia"/>
                <w:color w:val="000000" w:themeColor="text1"/>
                <w:spacing w:val="6"/>
                <w:sz w:val="18"/>
                <w:szCs w:val="18"/>
                <w:u w:val="none"/>
                <w:lang w:eastAsia="zh-CN"/>
                <w14:textFill>
                  <w14:solidFill>
                    <w14:schemeClr w14:val="tx1"/>
                  </w14:solidFill>
                </w14:textFill>
              </w:rPr>
              <w:t>声压级</w:t>
            </w:r>
            <w:r>
              <w:rPr>
                <w:rFonts w:hint="default" w:ascii="Times New Roman" w:hAnsi="Times New Roman" w:cs="Times New Roman" w:eastAsiaTheme="minorEastAsia"/>
                <w:color w:val="000000" w:themeColor="text1"/>
                <w:sz w:val="18"/>
                <w:szCs w:val="18"/>
                <w:u w:val="none"/>
                <w:lang w:eastAsia="zh-CN"/>
                <w14:textFill>
                  <w14:solidFill>
                    <w14:schemeClr w14:val="tx1"/>
                  </w14:solidFill>
                </w14:textFill>
              </w:rPr>
              <w:t>LnT</w:t>
            </w:r>
            <w:r>
              <w:rPr>
                <w:rFonts w:hint="default" w:ascii="Times New Roman" w:hAnsi="Times New Roman" w:cs="Times New Roman" w:eastAsiaTheme="minorEastAsia"/>
                <w:color w:val="000000" w:themeColor="text1"/>
                <w:spacing w:val="6"/>
                <w:sz w:val="18"/>
                <w:szCs w:val="18"/>
                <w:u w:val="none"/>
                <w:lang w:eastAsia="zh-CN"/>
                <w14:textFill>
                  <w14:solidFill>
                    <w14:schemeClr w14:val="tx1"/>
                  </w14:solidFill>
                </w14:textFill>
              </w:rPr>
              <w:t>.w）</w:t>
            </w:r>
            <w:r>
              <w:rPr>
                <w:rFonts w:hint="default" w:ascii="Times New Roman" w:hAnsi="Times New Roman" w:cs="Times New Roman" w:eastAsiaTheme="minorEastAsia"/>
                <w:color w:val="000000" w:themeColor="text1"/>
                <w:spacing w:val="-4"/>
                <w:sz w:val="18"/>
                <w:szCs w:val="18"/>
                <w:u w:val="none"/>
                <w:lang w:eastAsia="zh-CN"/>
                <w14:textFill>
                  <w14:solidFill>
                    <w14:schemeClr w14:val="tx1"/>
                  </w14:solidFill>
                </w14:textFill>
              </w:rPr>
              <w:t>≤55dB</w:t>
            </w:r>
          </w:p>
        </w:tc>
      </w:tr>
      <w:tr w14:paraId="600F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360" w:type="pct"/>
            <w:vAlign w:val="center"/>
          </w:tcPr>
          <w:p w14:paraId="3DCB0A54">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室内主要空气污染 物浓度降低比例</w:t>
            </w:r>
          </w:p>
        </w:tc>
        <w:tc>
          <w:tcPr>
            <w:tcW w:w="1063" w:type="pct"/>
            <w:vAlign w:val="center"/>
          </w:tcPr>
          <w:p w14:paraId="356EFEA2">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10%</w:t>
            </w:r>
          </w:p>
        </w:tc>
        <w:tc>
          <w:tcPr>
            <w:tcW w:w="2577" w:type="pct"/>
            <w:gridSpan w:val="4"/>
            <w:vAlign w:val="center"/>
          </w:tcPr>
          <w:p w14:paraId="1214C11A">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20%</w:t>
            </w:r>
          </w:p>
        </w:tc>
      </w:tr>
      <w:tr w14:paraId="7FB1E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360" w:type="pct"/>
            <w:vAlign w:val="center"/>
          </w:tcPr>
          <w:p w14:paraId="2536E08B">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绿色建材应用比例</w:t>
            </w:r>
          </w:p>
        </w:tc>
        <w:tc>
          <w:tcPr>
            <w:tcW w:w="1063" w:type="pct"/>
            <w:vAlign w:val="center"/>
          </w:tcPr>
          <w:p w14:paraId="731DE38F">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10%</w:t>
            </w:r>
          </w:p>
        </w:tc>
        <w:tc>
          <w:tcPr>
            <w:tcW w:w="1257" w:type="pct"/>
            <w:tcBorders>
              <w:right w:val="single" w:color="auto" w:sz="4" w:space="0"/>
            </w:tcBorders>
            <w:vAlign w:val="center"/>
          </w:tcPr>
          <w:p w14:paraId="48FB512E">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20%</w:t>
            </w:r>
          </w:p>
        </w:tc>
        <w:tc>
          <w:tcPr>
            <w:tcW w:w="1320" w:type="pct"/>
            <w:gridSpan w:val="3"/>
            <w:tcBorders>
              <w:left w:val="single" w:color="auto" w:sz="4" w:space="0"/>
            </w:tcBorders>
            <w:vAlign w:val="center"/>
          </w:tcPr>
          <w:p w14:paraId="2C139F68">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30%</w:t>
            </w:r>
          </w:p>
        </w:tc>
      </w:tr>
      <w:tr w14:paraId="50A7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360" w:type="pct"/>
            <w:vAlign w:val="center"/>
          </w:tcPr>
          <w:p w14:paraId="1DCF3DAC">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碳减排</w:t>
            </w:r>
          </w:p>
        </w:tc>
        <w:tc>
          <w:tcPr>
            <w:tcW w:w="3640" w:type="pct"/>
            <w:gridSpan w:val="5"/>
            <w:vAlign w:val="center"/>
          </w:tcPr>
          <w:p w14:paraId="14773E20">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明确全寿命期建筑碳排放强度，并明确降低碳排放强度的技术措施</w:t>
            </w:r>
          </w:p>
        </w:tc>
      </w:tr>
      <w:tr w14:paraId="59FA1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360" w:type="pct"/>
            <w:vAlign w:val="center"/>
          </w:tcPr>
          <w:p w14:paraId="1B60F0B2">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外窗气密性能</w:t>
            </w:r>
          </w:p>
        </w:tc>
        <w:tc>
          <w:tcPr>
            <w:tcW w:w="3640" w:type="pct"/>
            <w:gridSpan w:val="5"/>
            <w:vAlign w:val="center"/>
          </w:tcPr>
          <w:p w14:paraId="012614E4">
            <w:pPr>
              <w:pStyle w:val="24"/>
              <w:ind w:left="13"/>
              <w:jc w:val="cente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18"/>
                <w:szCs w:val="18"/>
                <w:u w:val="none"/>
                <w:lang w:eastAsia="zh-CN"/>
                <w14:textFill>
                  <w14:solidFill>
                    <w14:schemeClr w14:val="tx1"/>
                  </w14:solidFill>
                </w14:textFill>
              </w:rPr>
              <w:t>符合国家现行相关节能设计标准的规定，且外窗洞口与外窗本体的结合部位应严密</w:t>
            </w:r>
          </w:p>
        </w:tc>
      </w:tr>
    </w:tbl>
    <w:p w14:paraId="1FBADF69">
      <w:pPr>
        <w:spacing w:line="360" w:lineRule="auto"/>
        <w:ind w:left="679" w:right="6" w:hanging="679" w:hangingChars="350"/>
        <w:jc w:val="left"/>
        <w:rPr>
          <w:rFonts w:hint="default" w:ascii="Times New Roman" w:hAnsi="Times New Roman" w:cs="Times New Roman"/>
          <w:color w:val="000000" w:themeColor="text1"/>
          <w:szCs w:val="21"/>
          <w:u w:val="none"/>
          <w14:textFill>
            <w14:solidFill>
              <w14:schemeClr w14:val="tx1"/>
            </w14:solidFill>
          </w14:textFill>
        </w:rPr>
      </w:pPr>
      <w:r>
        <w:rPr>
          <w:rFonts w:hint="default" w:ascii="Times New Roman" w:hAnsi="Times New Roman" w:cs="Times New Roman"/>
          <w:color w:val="000000" w:themeColor="text1"/>
          <w:spacing w:val="-8"/>
          <w:szCs w:val="21"/>
          <w:u w:val="none"/>
          <w14:textFill>
            <w14:solidFill>
              <w14:schemeClr w14:val="tx1"/>
            </w14:solidFill>
          </w14:textFill>
        </w:rPr>
        <w:t>注：1</w:t>
      </w:r>
      <w:r>
        <w:rPr>
          <w:rFonts w:hint="default" w:ascii="Times New Roman" w:hAnsi="Times New Roman" w:cs="Times New Roman"/>
          <w:color w:val="000000" w:themeColor="text1"/>
          <w:spacing w:val="37"/>
          <w:szCs w:val="21"/>
          <w:u w:val="none"/>
          <w14:textFill>
            <w14:solidFill>
              <w14:schemeClr w14:val="tx1"/>
            </w14:solidFill>
          </w14:textFill>
        </w:rPr>
        <w:t xml:space="preserve"> </w:t>
      </w:r>
      <w:r>
        <w:rPr>
          <w:rFonts w:hint="default" w:ascii="Times New Roman" w:hAnsi="Times New Roman" w:cs="Times New Roman"/>
          <w:color w:val="000000" w:themeColor="text1"/>
          <w:spacing w:val="-8"/>
          <w:szCs w:val="21"/>
          <w:u w:val="none"/>
          <w14:textFill>
            <w14:solidFill>
              <w14:schemeClr w14:val="tx1"/>
            </w14:solidFill>
          </w14:textFill>
        </w:rPr>
        <w:t>围护结构热工性能的提高基准、严寒和寒冷地区住宅建筑外窗传热系数降</w:t>
      </w:r>
      <w:r>
        <w:rPr>
          <w:rFonts w:hint="default" w:ascii="Times New Roman" w:hAnsi="Times New Roman" w:cs="Times New Roman"/>
          <w:color w:val="000000" w:themeColor="text1"/>
          <w:spacing w:val="-9"/>
          <w:szCs w:val="21"/>
          <w:u w:val="none"/>
          <w14:textFill>
            <w14:solidFill>
              <w14:schemeClr w14:val="tx1"/>
            </w14:solidFill>
          </w14:textFill>
        </w:rPr>
        <w:t>低基准均为现行强制性工程建设规范《建筑节能与可再生</w:t>
      </w:r>
      <w:r>
        <w:rPr>
          <w:rFonts w:hint="default" w:ascii="Times New Roman" w:hAnsi="Times New Roman" w:cs="Times New Roman"/>
          <w:color w:val="000000" w:themeColor="text1"/>
          <w:spacing w:val="-10"/>
          <w:szCs w:val="21"/>
          <w:u w:val="none"/>
          <w14:textFill>
            <w14:solidFill>
              <w14:schemeClr w14:val="tx1"/>
            </w14:solidFill>
          </w14:textFill>
        </w:rPr>
        <w:t>能源利用通用规</w:t>
      </w:r>
      <w:r>
        <w:rPr>
          <w:rFonts w:hint="default" w:ascii="Times New Roman" w:hAnsi="Times New Roman" w:cs="Times New Roman"/>
          <w:color w:val="000000" w:themeColor="text1"/>
          <w:szCs w:val="21"/>
          <w:u w:val="none"/>
          <w14:textFill>
            <w14:solidFill>
              <w14:schemeClr w14:val="tx1"/>
            </w14:solidFill>
          </w14:textFill>
        </w:rPr>
        <w:t xml:space="preserve"> </w:t>
      </w:r>
      <w:r>
        <w:rPr>
          <w:rFonts w:hint="default" w:ascii="Times New Roman" w:hAnsi="Times New Roman" w:cs="Times New Roman"/>
          <w:color w:val="000000" w:themeColor="text1"/>
          <w:spacing w:val="-4"/>
          <w:szCs w:val="21"/>
          <w:u w:val="none"/>
          <w14:textFill>
            <w14:solidFill>
              <w14:schemeClr w14:val="tx1"/>
            </w14:solidFill>
          </w14:textFill>
        </w:rPr>
        <w:t>范》GB 55015及现行地方节能标准的要求。</w:t>
      </w:r>
    </w:p>
    <w:p w14:paraId="3370C415">
      <w:pPr>
        <w:spacing w:line="360" w:lineRule="auto"/>
        <w:ind w:left="717" w:leftChars="200" w:right="6" w:hanging="297" w:hangingChars="150"/>
        <w:jc w:val="left"/>
        <w:rPr>
          <w:rFonts w:hint="default" w:ascii="Times New Roman" w:hAnsi="Times New Roman" w:cs="Times New Roman"/>
          <w:color w:val="000000" w:themeColor="text1"/>
          <w:szCs w:val="21"/>
          <w:u w:val="none"/>
          <w14:textFill>
            <w14:solidFill>
              <w14:schemeClr w14:val="tx1"/>
            </w14:solidFill>
          </w14:textFill>
        </w:rPr>
      </w:pPr>
      <w:r>
        <w:rPr>
          <w:rFonts w:hint="default" w:ascii="Times New Roman" w:hAnsi="Times New Roman" w:cs="Times New Roman"/>
          <w:color w:val="000000" w:themeColor="text1"/>
          <w:spacing w:val="-6"/>
          <w:szCs w:val="21"/>
          <w:u w:val="none"/>
          <w14:textFill>
            <w14:solidFill>
              <w14:schemeClr w14:val="tx1"/>
            </w14:solidFill>
          </w14:textFill>
        </w:rPr>
        <w:t>2  室内氨、总挥发性有机物、PM2.5等室内空气污染物，其浓度降低基准为</w:t>
      </w:r>
      <w:r>
        <w:rPr>
          <w:rFonts w:hint="default" w:ascii="Times New Roman" w:hAnsi="Times New Roman" w:cs="Times New Roman"/>
          <w:color w:val="000000" w:themeColor="text1"/>
          <w:spacing w:val="-8"/>
          <w:szCs w:val="21"/>
          <w:u w:val="none"/>
          <w14:textFill>
            <w14:solidFill>
              <w14:schemeClr w14:val="tx1"/>
            </w14:solidFill>
          </w14:textFill>
        </w:rPr>
        <w:t>现行国家标准《室内空气质量标准》GB/T 18883的有关要求。</w:t>
      </w:r>
    </w:p>
    <w:p w14:paraId="2D543274">
      <w:pPr>
        <w:spacing w:before="110" w:line="360" w:lineRule="auto"/>
        <w:ind w:left="840" w:leftChars="250" w:right="6" w:hanging="315" w:hangingChars="150"/>
        <w:jc w:val="left"/>
        <w:rPr>
          <w:rFonts w:hint="default" w:ascii="Times New Roman" w:hAnsi="Times New Roman" w:cs="Times New Roman"/>
          <w:color w:val="000000" w:themeColor="text1"/>
          <w:szCs w:val="21"/>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br w:type="page"/>
      </w:r>
    </w:p>
    <w:p w14:paraId="53518C6B">
      <w:pPr>
        <w:spacing w:before="110" w:line="360" w:lineRule="auto"/>
        <w:ind w:left="840" w:leftChars="250" w:right="6" w:hanging="315" w:hangingChars="150"/>
        <w:jc w:val="left"/>
        <w:rPr>
          <w:rFonts w:hint="default" w:ascii="Times New Roman" w:hAnsi="Times New Roman" w:cs="Times New Roman"/>
          <w:color w:val="000000" w:themeColor="text1"/>
          <w:szCs w:val="21"/>
          <w:u w:val="none"/>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14:paraId="5C59FC57">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9" w:name="_Toc26642"/>
      <w:bookmarkStart w:id="20" w:name="_Toc204247706"/>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4 安全耐久</w:t>
      </w:r>
      <w:bookmarkEnd w:id="19"/>
      <w:bookmarkEnd w:id="20"/>
    </w:p>
    <w:p w14:paraId="13D19C43">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21" w:name="bookmark8"/>
      <w:bookmarkEnd w:id="21"/>
      <w:bookmarkStart w:id="22" w:name="_Toc204247707"/>
      <w:bookmarkStart w:id="23" w:name="_Toc7712"/>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4.1 控制项</w:t>
      </w:r>
      <w:bookmarkEnd w:id="22"/>
      <w:bookmarkEnd w:id="23"/>
    </w:p>
    <w:p w14:paraId="49EEA134">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4.1.1  </w:t>
      </w:r>
      <w:r>
        <w:rPr>
          <w:rFonts w:hint="default" w:ascii="Times New Roman" w:hAnsi="Times New Roman" w:cs="Times New Roman"/>
          <w:color w:val="000000" w:themeColor="text1"/>
          <w:spacing w:val="-11"/>
          <w:sz w:val="24"/>
          <w:szCs w:val="24"/>
          <w:u w:val="none"/>
          <w14:textFill>
            <w14:solidFill>
              <w14:schemeClr w14:val="tx1"/>
            </w14:solidFill>
          </w14:textFill>
        </w:rPr>
        <w:t>场地应避开滑坡、泥石流等地质危险地段，易发生洪涝地区应有可靠的防洪涝基础设施；场地应无危险化学品、易燃易爆危险源的威胁，应无电磁辐射、含氡土壤的危害。</w:t>
      </w:r>
    </w:p>
    <w:p w14:paraId="218210CD">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4.1.2</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建筑结构应满足承载力和建筑使用功能要求。建筑外墙、 屋面、门窗、幕墙及外保温等围护结构应满足安全、耐久和防护  的要求。</w:t>
      </w:r>
    </w:p>
    <w:p w14:paraId="36A2A00E">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4.1.3  </w:t>
      </w:r>
      <w:r>
        <w:rPr>
          <w:rFonts w:hint="default" w:ascii="Times New Roman" w:hAnsi="Times New Roman" w:cs="Times New Roman"/>
          <w:color w:val="000000" w:themeColor="text1"/>
          <w:spacing w:val="-11"/>
          <w:sz w:val="24"/>
          <w:szCs w:val="24"/>
          <w:u w:val="none"/>
          <w14:textFill>
            <w14:solidFill>
              <w14:schemeClr w14:val="tx1"/>
            </w14:solidFill>
          </w14:textFill>
        </w:rPr>
        <w:t>外遮阳、太阳能设施、空调室外机位、外墙花池等外部设施应与建筑主体结构统一设计、施工，并应具备安装、检修与维护条件。</w:t>
      </w:r>
    </w:p>
    <w:p w14:paraId="66C2DC37">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4.1.4  </w:t>
      </w:r>
      <w:r>
        <w:rPr>
          <w:rFonts w:hint="default" w:ascii="Times New Roman" w:hAnsi="Times New Roman" w:cs="Times New Roman"/>
          <w:color w:val="000000" w:themeColor="text1"/>
          <w:spacing w:val="-11"/>
          <w:sz w:val="24"/>
          <w:szCs w:val="24"/>
          <w:u w:val="none"/>
          <w14:textFill>
            <w14:solidFill>
              <w14:schemeClr w14:val="tx1"/>
            </w14:solidFill>
          </w14:textFill>
        </w:rPr>
        <w:t>建筑内部的非结构构件、设备及附属设施等应连接牢固并能适应主体结构变形。</w:t>
      </w:r>
    </w:p>
    <w:p w14:paraId="0ADA5DDD">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4.1.5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建筑外门窗必须安装牢固，其抗风压性能和水密性能应符合国家现行有关标准的规定。</w:t>
      </w:r>
    </w:p>
    <w:p w14:paraId="068E3A78">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4.1.6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卫生间、浴室的地面应设置防水层，墙面、顶棚应设置防潮层。</w:t>
      </w:r>
    </w:p>
    <w:p w14:paraId="1BD6C6A9">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4.1.7</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走廊、疏散通道等通行空间应满足紧急疏散、应急救护等要求，且应保持畅通。</w:t>
      </w:r>
    </w:p>
    <w:p w14:paraId="48B8F619">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4.1.8  </w:t>
      </w:r>
      <w:r>
        <w:rPr>
          <w:rFonts w:hint="default" w:ascii="Times New Roman" w:hAnsi="Times New Roman" w:cs="Times New Roman"/>
          <w:color w:val="000000" w:themeColor="text1"/>
          <w:spacing w:val="-11"/>
          <w:sz w:val="24"/>
          <w:szCs w:val="24"/>
          <w:u w:val="none"/>
          <w14:textFill>
            <w14:solidFill>
              <w14:schemeClr w14:val="tx1"/>
            </w14:solidFill>
          </w14:textFill>
        </w:rPr>
        <w:t>应具有安全防护的警示和引导标识系统。</w:t>
      </w:r>
    </w:p>
    <w:p w14:paraId="54564DE4">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4.1.9 </w:t>
      </w:r>
      <w:r>
        <w:rPr>
          <w:rFonts w:hint="default" w:ascii="Times New Roman" w:hAnsi="Times New Roman" w:cs="Times New Roman"/>
          <w:color w:val="000000" w:themeColor="text1"/>
          <w:spacing w:val="-11"/>
          <w:sz w:val="24"/>
          <w:szCs w:val="24"/>
          <w:u w:val="none"/>
          <w14:textFill>
            <w14:solidFill>
              <w14:schemeClr w14:val="tx1"/>
            </w14:solidFill>
          </w14:textFill>
        </w:rPr>
        <w:t>安全耐久相关技术要求应符合现行强制性工程建设规范《工程结构通用规范》GB 55001、《建筑与市政工程抗震通用规范》GB 55002、《建筑与市政地基基础通用规范》GB 55003、《组合结构通用规范》GB 55004、《木结构通用规范》GB 55005、《钢结构通用规范》GB55006、《砌体结构通用规范》GB 55007、《混凝土结构通用规范》GB 55008、《燃气工程项目规范》GB</w:t>
      </w:r>
      <w:bookmarkStart w:id="24" w:name="bookmark90"/>
      <w:bookmarkEnd w:id="24"/>
      <w:r>
        <w:rPr>
          <w:rFonts w:hint="default" w:ascii="Times New Roman" w:hAnsi="Times New Roman" w:cs="Times New Roman"/>
          <w:color w:val="000000" w:themeColor="text1"/>
          <w:spacing w:val="-11"/>
          <w:sz w:val="24"/>
          <w:szCs w:val="24"/>
          <w:u w:val="none"/>
          <w14:textFill>
            <w14:solidFill>
              <w14:schemeClr w14:val="tx1"/>
            </w14:solidFill>
          </w14:textFill>
        </w:rPr>
        <w:t>55009、《供热工程项目规范》GB 55010、《建筑环境通用规范》GB 55016、《建筑给水排水与节水通用规范》GB55020、《民用 建筑通用规范》GB 55031、《建筑防火通用规范》GB 55037等的规定。</w:t>
      </w:r>
    </w:p>
    <w:p w14:paraId="0D57AC72">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25" w:name="_Toc204247708"/>
      <w:bookmarkStart w:id="26" w:name="_Toc28533"/>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4.2 评分项</w:t>
      </w:r>
      <w:bookmarkEnd w:id="25"/>
      <w:bookmarkEnd w:id="26"/>
    </w:p>
    <w:p w14:paraId="257DAB43">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27" w:name="bookmark10"/>
      <w:bookmarkEnd w:id="27"/>
      <w:bookmarkStart w:id="28" w:name="_Toc204247709"/>
      <w:bookmarkStart w:id="29" w:name="_Toc5096"/>
      <w:r>
        <w:rPr>
          <w:rFonts w:hint="default" w:ascii="Times New Roman" w:hAnsi="Times New Roman" w:cs="Times New Roman"/>
          <w:color w:val="000000" w:themeColor="text1"/>
          <w:sz w:val="24"/>
          <w:szCs w:val="24"/>
          <w:u w:val="none"/>
          <w:lang w:eastAsia="zh-CN"/>
          <w14:textFill>
            <w14:solidFill>
              <w14:schemeClr w14:val="tx1"/>
            </w14:solidFill>
          </w14:textFill>
        </w:rPr>
        <w:t>I 安全</w:t>
      </w:r>
      <w:bookmarkEnd w:id="28"/>
      <w:bookmarkEnd w:id="29"/>
    </w:p>
    <w:p w14:paraId="158A4773">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4.2.1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采用基于性能的抗震设计并合理提高建筑的抗震性能，评价分值为10分。</w:t>
      </w:r>
    </w:p>
    <w:p w14:paraId="4A948C94">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4.2.2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采取保障人员安全的防护措施，评价总分值为15分，并按下列规则分别评分并累计：</w:t>
      </w:r>
    </w:p>
    <w:p w14:paraId="2EF27158">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采取措施提高阳台、外窗、窗台、防护栏杆等安全防护水平，得5分；</w:t>
      </w:r>
    </w:p>
    <w:p w14:paraId="297CB3A3">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建筑物出入口均设外墙饰面、门窗玻璃意外脱落的防护措施，并与人员通行区域的遮阳、遮风或挡雨措施结合，得 5分；</w:t>
      </w:r>
    </w:p>
    <w:p w14:paraId="02EC1AB5">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利用场地或景观形成可降低坠物风险的缓冲区、隔离带， 得5分。</w:t>
      </w:r>
    </w:p>
    <w:p w14:paraId="16247C65">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4.2.3 </w:t>
      </w:r>
      <w:r>
        <w:rPr>
          <w:rFonts w:hint="default" w:ascii="Times New Roman" w:hAnsi="Times New Roman" w:cs="Times New Roman"/>
          <w:color w:val="000000" w:themeColor="text1"/>
          <w:spacing w:val="-11"/>
          <w:sz w:val="24"/>
          <w:szCs w:val="24"/>
          <w:u w:val="none"/>
          <w14:textFill>
            <w14:solidFill>
              <w14:schemeClr w14:val="tx1"/>
            </w14:solidFill>
          </w14:textFill>
        </w:rPr>
        <w:t>采用具有安全防护功能的产品或配件，评价总分值为10 分，并按下列规则分别评分并累计：</w:t>
      </w:r>
    </w:p>
    <w:p w14:paraId="13A2CAF5">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采用具有安全防护功能的玻璃，得5分；</w:t>
      </w:r>
    </w:p>
    <w:p w14:paraId="6FF0FC7B">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采用具备防夹功能的门窗，得5分。</w:t>
      </w:r>
    </w:p>
    <w:p w14:paraId="7B388E08">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4.2.4 </w:t>
      </w:r>
      <w:r>
        <w:rPr>
          <w:rFonts w:hint="default" w:ascii="Times New Roman" w:hAnsi="Times New Roman" w:cs="Times New Roman"/>
          <w:color w:val="000000" w:themeColor="text1"/>
          <w:spacing w:val="-11"/>
          <w:sz w:val="24"/>
          <w:szCs w:val="24"/>
          <w:u w:val="none"/>
          <w14:textFill>
            <w14:solidFill>
              <w14:schemeClr w14:val="tx1"/>
            </w14:solidFill>
          </w14:textFill>
        </w:rPr>
        <w:t>室内外地面或路面设置防滑措施，评价总分值为10分，并按下列规则分别评分并累计：</w:t>
      </w:r>
    </w:p>
    <w:p w14:paraId="0BFB57EE">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建筑出入口及平台、公共走廊、电梯门厅、厨房、浴室、 卫生间等设置防滑措施，防滑等级不低于现行行业标准《建筑地 面工程防滑技术规程》JGJ/T 331规定的Ba 、Bw级，得3分；</w:t>
      </w:r>
    </w:p>
    <w:p w14:paraId="23FBC6BC">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建筑室内外活动场所采用防滑地面，防滑等级达到现行行业标准《建筑地面工程防滑技术规程》JGJ/T 331规定的Aa、Aw级，得4分；</w:t>
      </w:r>
    </w:p>
    <w:p w14:paraId="413748EB">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建筑坡道、楼梯踏步防滑等级达到现行行业标准《建筑地面工程防滑技术规程》JGJ/T331规定的Aa、Aw级或按水平地面等级提高一级，并采用防滑条等防滑构造技术措施，得3 分 。</w:t>
      </w:r>
    </w:p>
    <w:p w14:paraId="40EB8718">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4.2.5</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采取人车分流措施，且步行和自行车交通系统有充足照明，评价分值为8分。</w:t>
      </w:r>
    </w:p>
    <w:p w14:paraId="32A5182C">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30" w:name="_Toc17519"/>
      <w:bookmarkStart w:id="31" w:name="_Toc204247710"/>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Ⅱ</w:t>
      </w:r>
      <w:r>
        <w:rPr>
          <w:rFonts w:hint="default" w:ascii="Times New Roman" w:hAnsi="Times New Roman" w:cs="Times New Roman"/>
          <w:color w:val="000000" w:themeColor="text1"/>
          <w:sz w:val="24"/>
          <w:szCs w:val="24"/>
          <w:u w:val="none"/>
          <w:lang w:eastAsia="zh-CN"/>
          <w14:textFill>
            <w14:solidFill>
              <w14:schemeClr w14:val="tx1"/>
            </w14:solidFill>
          </w14:textFill>
        </w:rPr>
        <w:t xml:space="preserve"> 耐久</w:t>
      </w:r>
      <w:bookmarkEnd w:id="30"/>
      <w:bookmarkEnd w:id="31"/>
    </w:p>
    <w:p w14:paraId="29531167">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4.2.6</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采取提升建筑适变性的措施，评价总分值为18分，并按下列规则分别评分并累计：</w:t>
      </w:r>
    </w:p>
    <w:p w14:paraId="56323BAC">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采取通用开放、灵活可变的使用空间设计，或采取建筑使用功能可变措施，得7分；</w:t>
      </w:r>
    </w:p>
    <w:p w14:paraId="1D29925E">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建筑结构与建筑设备管线分离比例≥50%，得3分，管线分离比例≥70%，得7分；</w:t>
      </w:r>
    </w:p>
    <w:p w14:paraId="295A4438">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11"/>
          <w:sz w:val="24"/>
          <w:szCs w:val="24"/>
          <w:u w:val="none"/>
          <w14:textFill>
            <w14:solidFill>
              <w14:schemeClr w14:val="tx1"/>
            </w14:solidFill>
          </w14:textFill>
        </w:rPr>
        <w:t>采用与建筑功能和空间变化相适应的设备设施布置方式或控制方式，得4分。</w:t>
      </w:r>
    </w:p>
    <w:p w14:paraId="3ECB34EA">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4.2.7</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采取提升建筑部品部件耐久性的措施，评价总分值为10 分，并按下列规则分别评分并累计：</w:t>
      </w:r>
    </w:p>
    <w:p w14:paraId="20B7D094">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使用耐腐蚀、抗老化、耐久性能好的管材、管线、管件， 得5分；</w:t>
      </w:r>
    </w:p>
    <w:p w14:paraId="7BF525A1">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活动配件选用长寿命产品，并考虑部品组合的同寿命性；不同使用寿命的部品组合时，采用便于分别拆换、更新和升级的构造，得5分。</w:t>
      </w:r>
    </w:p>
    <w:p w14:paraId="7064B6FA">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4.2.8 </w:t>
      </w:r>
      <w:r>
        <w:rPr>
          <w:rFonts w:hint="default" w:ascii="Times New Roman" w:hAnsi="Times New Roman" w:cs="Times New Roman"/>
          <w:color w:val="000000" w:themeColor="text1"/>
          <w:spacing w:val="-11"/>
          <w:sz w:val="24"/>
          <w:szCs w:val="24"/>
          <w:u w:val="none"/>
          <w14:textFill>
            <w14:solidFill>
              <w14:schemeClr w14:val="tx1"/>
            </w14:solidFill>
          </w14:textFill>
        </w:rPr>
        <w:t>提高建筑结构材料的耐久性，评价总分值为10分，并按下列规则评分：</w:t>
      </w:r>
    </w:p>
    <w:p w14:paraId="4E54B244">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按100年进行耐久性设计，得10分。</w:t>
      </w:r>
    </w:p>
    <w:p w14:paraId="4DF05F6C">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采用耐久性能好的建筑结构材料，满足下列条件之一，得10分：</w:t>
      </w:r>
    </w:p>
    <w:p w14:paraId="3817C540">
      <w:pPr>
        <w:spacing w:line="360" w:lineRule="auto"/>
        <w:ind w:firstLine="545" w:firstLineChars="2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t>1）对于混凝土构件，提高钢筋保护层厚度或采用高耐久混凝土；</w:t>
      </w:r>
      <w:bookmarkStart w:id="32" w:name="bookmark91"/>
      <w:bookmarkEnd w:id="32"/>
    </w:p>
    <w:p w14:paraId="4F6A96E4">
      <w:pPr>
        <w:spacing w:line="360" w:lineRule="auto"/>
        <w:ind w:firstLine="545" w:firstLineChars="2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t>2）对于钢构件，采用耐候结构钢或耐候型防腐涂料；</w:t>
      </w:r>
    </w:p>
    <w:p w14:paraId="2AB3CC10">
      <w:pPr>
        <w:spacing w:line="360" w:lineRule="auto"/>
        <w:ind w:firstLine="545" w:firstLineChars="2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t>3）对于木构件，采用防腐木材、耐久木材或耐久木制品。</w:t>
      </w:r>
    </w:p>
    <w:p w14:paraId="33DFE3FB">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4.2.9 </w:t>
      </w:r>
      <w:r>
        <w:rPr>
          <w:rFonts w:hint="default" w:ascii="Times New Roman" w:hAnsi="Times New Roman" w:cs="Times New Roman"/>
          <w:color w:val="000000" w:themeColor="text1"/>
          <w:spacing w:val="-11"/>
          <w:sz w:val="24"/>
          <w:szCs w:val="24"/>
          <w:u w:val="none"/>
          <w14:textFill>
            <w14:solidFill>
              <w14:schemeClr w14:val="tx1"/>
            </w14:solidFill>
          </w14:textFill>
        </w:rPr>
        <w:t>合理采用耐久性好、易维护的装饰装修建筑材料，评价总分值为9分，并按下列规则分别评分并累计：</w:t>
      </w:r>
    </w:p>
    <w:p w14:paraId="68821444">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1"/>
          <w:sz w:val="24"/>
          <w:szCs w:val="24"/>
          <w:u w:val="none"/>
          <w14:textFill>
            <w14:solidFill>
              <w14:schemeClr w14:val="tx1"/>
            </w14:solidFill>
          </w14:textFill>
        </w:rPr>
        <w:t>采用耐久性好的外饰面材料，得3分；</w:t>
      </w:r>
    </w:p>
    <w:p w14:paraId="619B225F">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1"/>
          <w:sz w:val="24"/>
          <w:szCs w:val="24"/>
          <w:u w:val="none"/>
          <w14:textFill>
            <w14:solidFill>
              <w14:schemeClr w14:val="tx1"/>
            </w14:solidFill>
          </w14:textFill>
        </w:rPr>
        <w:t>采用耐久性好的防水和密封材料，得3分；</w:t>
      </w:r>
    </w:p>
    <w:p w14:paraId="03D83F31">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11"/>
          <w:sz w:val="24"/>
          <w:szCs w:val="24"/>
          <w:u w:val="none"/>
          <w14:textFill>
            <w14:solidFill>
              <w14:schemeClr w14:val="tx1"/>
            </w14:solidFill>
          </w14:textFill>
        </w:rPr>
        <w:t>采用耐久性好、易维护的室内装饰装修材料，得3分。</w:t>
      </w:r>
    </w:p>
    <w:p w14:paraId="2D86484C">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p>
    <w:p w14:paraId="2B93E11F">
      <w:pPr>
        <w:spacing w:line="360" w:lineRule="auto"/>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color w:val="000000" w:themeColor="text1"/>
          <w:spacing w:val="-11"/>
          <w:sz w:val="24"/>
          <w:szCs w:val="24"/>
          <w:u w:val="none"/>
          <w14:textFill>
            <w14:solidFill>
              <w14:schemeClr w14:val="tx1"/>
            </w14:solidFill>
          </w14:textFill>
        </w:rPr>
        <w:br w:type="page"/>
      </w:r>
    </w:p>
    <w:p w14:paraId="38365BD4">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33" w:name="_Toc204247711"/>
      <w:bookmarkStart w:id="34" w:name="_Toc25514"/>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5 健康舒适</w:t>
      </w:r>
      <w:bookmarkEnd w:id="33"/>
      <w:bookmarkEnd w:id="34"/>
    </w:p>
    <w:p w14:paraId="42DF62E1">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35" w:name="bookmark1"/>
      <w:bookmarkEnd w:id="35"/>
      <w:bookmarkStart w:id="36" w:name="_Toc204247712"/>
      <w:bookmarkStart w:id="37" w:name="_Toc5176"/>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5.1 控制项</w:t>
      </w:r>
      <w:bookmarkEnd w:id="36"/>
      <w:bookmarkEnd w:id="37"/>
    </w:p>
    <w:p w14:paraId="713CE721">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5.1.1 </w:t>
      </w:r>
      <w:r>
        <w:rPr>
          <w:rFonts w:hint="default" w:ascii="Times New Roman" w:hAnsi="Times New Roman" w:cs="Times New Roman"/>
          <w:bCs/>
          <w:color w:val="000000" w:themeColor="text1"/>
          <w:spacing w:val="-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室内空气中的氨、甲醛、苯、总</w:t>
      </w:r>
      <w:r>
        <w:rPr>
          <w:rFonts w:hint="default" w:ascii="Times New Roman" w:hAnsi="Times New Roman" w:cs="Times New Roman"/>
          <w:color w:val="000000" w:themeColor="text1"/>
          <w:spacing w:val="-5"/>
          <w:sz w:val="24"/>
          <w:szCs w:val="24"/>
          <w:u w:val="none"/>
          <w14:textFill>
            <w14:solidFill>
              <w14:schemeClr w14:val="tx1"/>
            </w14:solidFill>
          </w14:textFill>
        </w:rPr>
        <w:t>挥发性有机物、氡等污</w:t>
      </w:r>
      <w:r>
        <w:rPr>
          <w:rFonts w:hint="default" w:ascii="Times New Roman" w:hAnsi="Times New Roman" w:cs="Times New Roman"/>
          <w:color w:val="000000" w:themeColor="text1"/>
          <w:spacing w:val="9"/>
          <w:sz w:val="24"/>
          <w:szCs w:val="24"/>
          <w:u w:val="none"/>
          <w14:textFill>
            <w14:solidFill>
              <w14:schemeClr w14:val="tx1"/>
            </w14:solidFill>
          </w14:textFill>
        </w:rPr>
        <w:t>染物浓度应符合现行国家标准《室内空气质量标准》</w:t>
      </w:r>
      <w:r>
        <w:rPr>
          <w:rFonts w:hint="default" w:ascii="Times New Roman" w:hAnsi="Times New Roman" w:cs="Times New Roman"/>
          <w:color w:val="000000" w:themeColor="text1"/>
          <w:sz w:val="24"/>
          <w:szCs w:val="24"/>
          <w:u w:val="none"/>
          <w14:textFill>
            <w14:solidFill>
              <w14:schemeClr w14:val="tx1"/>
            </w14:solidFill>
          </w14:textFill>
        </w:rPr>
        <w:t>GB</w:t>
      </w:r>
      <w:r>
        <w:rPr>
          <w:rFonts w:hint="default" w:ascii="Times New Roman" w:hAnsi="Times New Roman" w:cs="Times New Roman"/>
          <w:color w:val="000000" w:themeColor="text1"/>
          <w:spacing w:val="9"/>
          <w:sz w:val="24"/>
          <w:szCs w:val="24"/>
          <w:u w:val="none"/>
          <w14:textFill>
            <w14:solidFill>
              <w14:schemeClr w14:val="tx1"/>
            </w14:solidFill>
          </w14:textFill>
        </w:rPr>
        <w:t>/T18883及《民用建筑工程室内环境污染控制标准》GB 50325的有关规定。建筑室内和建筑主</w:t>
      </w:r>
      <w:r>
        <w:rPr>
          <w:rFonts w:hint="default" w:ascii="Times New Roman" w:hAnsi="Times New Roman" w:cs="Times New Roman"/>
          <w:color w:val="000000" w:themeColor="text1"/>
          <w:spacing w:val="-7"/>
          <w:sz w:val="24"/>
          <w:szCs w:val="24"/>
          <w:u w:val="none"/>
          <w14:textFill>
            <w14:solidFill>
              <w14:schemeClr w14:val="tx1"/>
            </w14:solidFill>
          </w14:textFill>
        </w:rPr>
        <w:t>出入口处应禁止吸烟，并</w:t>
      </w:r>
      <w:r>
        <w:rPr>
          <w:rFonts w:hint="default" w:ascii="Times New Roman" w:hAnsi="Times New Roman" w:cs="Times New Roman"/>
          <w:color w:val="000000" w:themeColor="text1"/>
          <w:spacing w:val="-12"/>
          <w:sz w:val="24"/>
          <w:szCs w:val="24"/>
          <w:u w:val="none"/>
          <w14:textFill>
            <w14:solidFill>
              <w14:schemeClr w14:val="tx1"/>
            </w14:solidFill>
          </w14:textFill>
        </w:rPr>
        <w:t>应在醒目位置设置禁烟标志。</w:t>
      </w:r>
    </w:p>
    <w:p w14:paraId="1F933588">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5.1.2 </w:t>
      </w:r>
      <w:r>
        <w:rPr>
          <w:rFonts w:hint="default" w:ascii="Times New Roman" w:hAnsi="Times New Roman" w:cs="Times New Roman"/>
          <w:bCs/>
          <w:color w:val="000000" w:themeColor="text1"/>
          <w:spacing w:val="-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应采取措施避免厨房、餐厅</w:t>
      </w:r>
      <w:r>
        <w:rPr>
          <w:rFonts w:hint="default" w:ascii="Times New Roman" w:hAnsi="Times New Roman" w:cs="Times New Roman"/>
          <w:color w:val="000000" w:themeColor="text1"/>
          <w:spacing w:val="-5"/>
          <w:sz w:val="24"/>
          <w:szCs w:val="24"/>
          <w:u w:val="none"/>
          <w14:textFill>
            <w14:solidFill>
              <w14:schemeClr w14:val="tx1"/>
            </w14:solidFill>
          </w14:textFill>
        </w:rPr>
        <w:t>、打印复印室、卫生间、地</w:t>
      </w:r>
      <w:r>
        <w:rPr>
          <w:rFonts w:hint="default" w:ascii="Times New Roman" w:hAnsi="Times New Roman" w:cs="Times New Roman"/>
          <w:color w:val="000000" w:themeColor="text1"/>
          <w:spacing w:val="-11"/>
          <w:sz w:val="24"/>
          <w:szCs w:val="24"/>
          <w:u w:val="none"/>
          <w14:textFill>
            <w14:solidFill>
              <w14:schemeClr w14:val="tx1"/>
            </w14:solidFill>
          </w14:textFill>
        </w:rPr>
        <w:t>下车库等区域的空气和污染物串通到其他空间；应防止</w:t>
      </w:r>
      <w:r>
        <w:rPr>
          <w:rFonts w:hint="default" w:ascii="Times New Roman" w:hAnsi="Times New Roman" w:cs="Times New Roman"/>
          <w:color w:val="000000" w:themeColor="text1"/>
          <w:spacing w:val="-12"/>
          <w:sz w:val="24"/>
          <w:szCs w:val="24"/>
          <w:u w:val="none"/>
          <w14:textFill>
            <w14:solidFill>
              <w14:schemeClr w14:val="tx1"/>
            </w14:solidFill>
          </w14:textFill>
        </w:rPr>
        <w:t>厨房、卫</w:t>
      </w:r>
      <w:r>
        <w:rPr>
          <w:rFonts w:hint="default" w:ascii="Times New Roman" w:hAnsi="Times New Roman" w:cs="Times New Roman"/>
          <w:color w:val="000000" w:themeColor="text1"/>
          <w:spacing w:val="-11"/>
          <w:sz w:val="24"/>
          <w:szCs w:val="24"/>
          <w:u w:val="none"/>
          <w14:textFill>
            <w14:solidFill>
              <w14:schemeClr w14:val="tx1"/>
            </w14:solidFill>
          </w14:textFill>
        </w:rPr>
        <w:t>生间的排气倒灌。</w:t>
      </w:r>
    </w:p>
    <w:p w14:paraId="2B83D5EC">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5.1.3</w:t>
      </w:r>
      <w:r>
        <w:rPr>
          <w:rFonts w:hint="default" w:ascii="Times New Roman" w:hAnsi="Times New Roman" w:cs="Times New Roman"/>
          <w:color w:val="000000" w:themeColor="text1"/>
          <w:spacing w:val="9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1"/>
          <w:sz w:val="24"/>
          <w:szCs w:val="24"/>
          <w:u w:val="none"/>
          <w14:textFill>
            <w14:solidFill>
              <w14:schemeClr w14:val="tx1"/>
            </w14:solidFill>
          </w14:textFill>
        </w:rPr>
        <w:t>给水排水系统的设置应符合下列规定：</w:t>
      </w:r>
    </w:p>
    <w:p w14:paraId="1A44E6A9">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生活饮用水水质应满足现行国家标准《生活饮用水卫生 标准》GB 5749的要求；</w:t>
      </w:r>
    </w:p>
    <w:p w14:paraId="3970098A">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应制定水池、水箱等储水设施定期清洗消毒计划并实施，且生活饮用水储水设施每半年清洗消毒不应少于1次；</w:t>
      </w:r>
    </w:p>
    <w:p w14:paraId="2FEB338F">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应使用构造内自带水封的便器，且其水封深度不应小于50mm；</w:t>
      </w:r>
    </w:p>
    <w:p w14:paraId="73CC6FAD">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非传统水源管道和设备应设置明确、清晰的永久性标识。</w:t>
      </w:r>
    </w:p>
    <w:p w14:paraId="35D71A88">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5.1.4</w:t>
      </w:r>
      <w:r>
        <w:rPr>
          <w:rFonts w:hint="default" w:ascii="Times New Roman" w:hAnsi="Times New Roman" w:cs="Times New Roman"/>
          <w:color w:val="000000" w:themeColor="text1"/>
          <w:sz w:val="24"/>
          <w:szCs w:val="24"/>
          <w:u w:val="none"/>
          <w14:textFill>
            <w14:solidFill>
              <w14:schemeClr w14:val="tx1"/>
            </w14:solidFill>
          </w14:textFill>
        </w:rPr>
        <w:t xml:space="preserve">  建筑声环境设计应符合下列规定：</w:t>
      </w:r>
    </w:p>
    <w:p w14:paraId="5B6F7A7B">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
          <w:sz w:val="24"/>
          <w:szCs w:val="24"/>
          <w:u w:val="none"/>
          <w14:textFill>
            <w14:solidFill>
              <w14:schemeClr w14:val="tx1"/>
            </w14:solidFill>
          </w14:textFill>
        </w:rPr>
        <w:t>场地规划布局和建筑平面设计时应合理规划噪声源区域</w:t>
      </w:r>
      <w:r>
        <w:rPr>
          <w:rFonts w:hint="default" w:ascii="Times New Roman" w:hAnsi="Times New Roman" w:cs="Times New Roman"/>
          <w:color w:val="000000" w:themeColor="text1"/>
          <w:spacing w:val="-10"/>
          <w:sz w:val="24"/>
          <w:szCs w:val="24"/>
          <w:u w:val="none"/>
          <w14:textFill>
            <w14:solidFill>
              <w14:schemeClr w14:val="tx1"/>
            </w14:solidFill>
          </w14:textFill>
        </w:rPr>
        <w:t>和噪声敏感区域，并应进行识别和标注；</w:t>
      </w:r>
    </w:p>
    <w:p w14:paraId="162EE04B">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bCs/>
          <w:color w:val="000000" w:themeColor="text1"/>
          <w:spacing w:val="-1"/>
          <w:sz w:val="24"/>
          <w:szCs w:val="24"/>
          <w:u w:val="none"/>
          <w14:textFill>
            <w14:solidFill>
              <w14:schemeClr w14:val="tx1"/>
            </w14:solidFill>
          </w14:textFill>
        </w:rPr>
        <w:t>外墙、隔墙、楼板和门窗等主要建筑构件的隔声性能指</w:t>
      </w:r>
      <w:r>
        <w:rPr>
          <w:rFonts w:hint="default" w:ascii="Times New Roman" w:hAnsi="Times New Roman" w:cs="Times New Roman"/>
          <w:color w:val="000000" w:themeColor="text1"/>
          <w:spacing w:val="-2"/>
          <w:sz w:val="24"/>
          <w:szCs w:val="24"/>
          <w:u w:val="none"/>
          <w14:textFill>
            <w14:solidFill>
              <w14:schemeClr w14:val="tx1"/>
            </w14:solidFill>
          </w14:textFill>
        </w:rPr>
        <w:t>标不应低于现行国家标准《民用建筑隔声设计规范》GB 50</w:t>
      </w:r>
      <w:r>
        <w:rPr>
          <w:rFonts w:hint="default" w:ascii="Times New Roman" w:hAnsi="Times New Roman" w:cs="Times New Roman"/>
          <w:color w:val="000000" w:themeColor="text1"/>
          <w:spacing w:val="-3"/>
          <w:sz w:val="24"/>
          <w:szCs w:val="24"/>
          <w:u w:val="none"/>
          <w14:textFill>
            <w14:solidFill>
              <w14:schemeClr w14:val="tx1"/>
            </w14:solidFill>
          </w14:textFill>
        </w:rPr>
        <w:t>118</w:t>
      </w:r>
      <w:r>
        <w:rPr>
          <w:rFonts w:hint="default" w:ascii="Times New Roman" w:hAnsi="Times New Roman" w:cs="Times New Roman"/>
          <w:color w:val="000000" w:themeColor="text1"/>
          <w:spacing w:val="-11"/>
          <w:sz w:val="24"/>
          <w:szCs w:val="24"/>
          <w:u w:val="none"/>
          <w14:textFill>
            <w14:solidFill>
              <w14:schemeClr w14:val="tx1"/>
            </w14:solidFill>
          </w14:textFill>
        </w:rPr>
        <w:t>的规定，并应根据隔声性能指标明确主要建筑构</w:t>
      </w:r>
      <w:r>
        <w:rPr>
          <w:rFonts w:hint="default" w:ascii="Times New Roman" w:hAnsi="Times New Roman" w:cs="Times New Roman"/>
          <w:color w:val="000000" w:themeColor="text1"/>
          <w:spacing w:val="-12"/>
          <w:sz w:val="24"/>
          <w:szCs w:val="24"/>
          <w:u w:val="none"/>
          <w14:textFill>
            <w14:solidFill>
              <w14:schemeClr w14:val="tx1"/>
            </w14:solidFill>
          </w14:textFill>
        </w:rPr>
        <w:t>件的构造做法。</w:t>
      </w:r>
    </w:p>
    <w:p w14:paraId="1D0C3961">
      <w:pPr>
        <w:spacing w:line="360" w:lineRule="auto"/>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5.1.5</w:t>
      </w:r>
      <w:r>
        <w:rPr>
          <w:rFonts w:hint="default" w:ascii="Times New Roman" w:hAnsi="Times New Roman" w:cs="Times New Roman"/>
          <w:color w:val="000000" w:themeColor="text1"/>
          <w:spacing w:val="50"/>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建筑照明应符合下列规定：</w:t>
      </w:r>
    </w:p>
    <w:p w14:paraId="7AFAEBD2">
      <w:pPr>
        <w:spacing w:line="360" w:lineRule="auto"/>
        <w:ind w:firstLine="325" w:firstLineChars="150"/>
        <w:rPr>
          <w:rFonts w:hint="default" w:ascii="Times New Roman" w:hAnsi="Times New Roman" w:cs="Times New Roman"/>
          <w:bCs/>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bCs/>
          <w:color w:val="000000" w:themeColor="text1"/>
          <w:spacing w:val="-1"/>
          <w:sz w:val="24"/>
          <w:szCs w:val="24"/>
          <w:u w:val="none"/>
          <w14:textFill>
            <w14:solidFill>
              <w14:schemeClr w14:val="tx1"/>
            </w14:solidFill>
          </w14:textFill>
        </w:rPr>
        <w:t>各场所的照度、照度均匀度、显色指数、统一眩光值应</w:t>
      </w:r>
      <w:bookmarkStart w:id="38" w:name="bookmark92"/>
      <w:bookmarkEnd w:id="38"/>
      <w:r>
        <w:rPr>
          <w:rFonts w:hint="default" w:ascii="Times New Roman" w:hAnsi="Times New Roman" w:cs="Times New Roman"/>
          <w:bCs/>
          <w:color w:val="000000" w:themeColor="text1"/>
          <w:spacing w:val="-1"/>
          <w:sz w:val="24"/>
          <w:szCs w:val="24"/>
          <w:u w:val="none"/>
          <w14:textFill>
            <w14:solidFill>
              <w14:schemeClr w14:val="tx1"/>
            </w14:solidFill>
          </w14:textFill>
        </w:rPr>
        <w:t>符合现行国家标准《建筑照明设计标准》GB/T 50034的规定；</w:t>
      </w:r>
    </w:p>
    <w:p w14:paraId="70B68DFB">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2"/>
          <w:sz w:val="24"/>
          <w:szCs w:val="24"/>
          <w:u w:val="none"/>
          <w14:textFill>
            <w14:solidFill>
              <w14:schemeClr w14:val="tx1"/>
            </w14:solidFill>
          </w14:textFill>
        </w:rPr>
        <w:t>人员长期停留的房间或场所采用的照明光源和灯具</w:t>
      </w:r>
      <w:r>
        <w:rPr>
          <w:rFonts w:hint="default" w:ascii="Times New Roman" w:hAnsi="Times New Roman" w:cs="Times New Roman"/>
          <w:color w:val="000000" w:themeColor="text1"/>
          <w:spacing w:val="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
          <w:sz w:val="24"/>
          <w:szCs w:val="24"/>
          <w:u w:val="none"/>
          <w14:textFill>
            <w14:solidFill>
              <w14:schemeClr w14:val="tx1"/>
            </w14:solidFill>
          </w14:textFill>
        </w:rPr>
        <w:t>其</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5"/>
          <w:sz w:val="24"/>
          <w:szCs w:val="24"/>
          <w:u w:val="none"/>
          <w14:textFill>
            <w14:solidFill>
              <w14:schemeClr w14:val="tx1"/>
            </w14:solidFill>
          </w14:textFill>
        </w:rPr>
        <w:t>频闪效应可视度</w:t>
      </w:r>
      <w:r>
        <w:rPr>
          <w:rFonts w:hint="default" w:ascii="Times New Roman" w:hAnsi="Times New Roman" w:cs="Times New Roman"/>
          <w:color w:val="000000" w:themeColor="text1"/>
          <w:spacing w:val="15"/>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SVM</w:t>
      </w:r>
      <w:r>
        <w:rPr>
          <w:rFonts w:hint="default" w:ascii="Times New Roman" w:hAnsi="Times New Roman" w:cs="Times New Roman"/>
          <w:color w:val="000000" w:themeColor="text1"/>
          <w:spacing w:val="15"/>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5"/>
          <w:sz w:val="24"/>
          <w:szCs w:val="24"/>
          <w:u w:val="none"/>
          <w14:textFill>
            <w14:solidFill>
              <w14:schemeClr w14:val="tx1"/>
            </w14:solidFill>
          </w14:textFill>
        </w:rPr>
        <w:t>不应大于1.3。</w:t>
      </w:r>
    </w:p>
    <w:p w14:paraId="3BDA2DB3">
      <w:pPr>
        <w:spacing w:line="360" w:lineRule="auto"/>
        <w:rPr>
          <w:rFonts w:hint="default" w:ascii="Times New Roman" w:hAnsi="Times New Roman" w:cs="Times New Roman"/>
          <w:color w:val="000000" w:themeColor="text1"/>
          <w:spacing w:val="-9"/>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5.1.6 </w:t>
      </w:r>
      <w:r>
        <w:rPr>
          <w:rFonts w:hint="default" w:ascii="Times New Roman" w:hAnsi="Times New Roman" w:cs="Times New Roman"/>
          <w:color w:val="000000" w:themeColor="text1"/>
          <w:spacing w:val="-9"/>
          <w:sz w:val="24"/>
          <w:szCs w:val="24"/>
          <w:u w:val="none"/>
          <w14:textFill>
            <w14:solidFill>
              <w14:schemeClr w14:val="tx1"/>
            </w14:solidFill>
          </w14:textFill>
        </w:rPr>
        <w:t xml:space="preserve"> 应采取措施保障室内热环境。采用集中供暖空调系统的建筑，房间内的温度、湿度、新风量等设计参数应符合现行国家 标准《民用建筑供暖通风与空气调节设计规范》GB 50736的有 关规定；采用非集中供暖空调系统的建筑，应具有保障室内热环境的措施或预留条件。</w:t>
      </w:r>
    </w:p>
    <w:p w14:paraId="156952EC">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5.1.7</w:t>
      </w:r>
      <w:r>
        <w:rPr>
          <w:rFonts w:hint="default" w:ascii="Times New Roman" w:hAnsi="Times New Roman" w:cs="Times New Roman"/>
          <w:color w:val="000000" w:themeColor="text1"/>
          <w:spacing w:val="8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9"/>
          <w:sz w:val="24"/>
          <w:szCs w:val="24"/>
          <w:u w:val="none"/>
          <w14:textFill>
            <w14:solidFill>
              <w14:schemeClr w14:val="tx1"/>
            </w14:solidFill>
          </w14:textFill>
        </w:rPr>
        <w:t>围护结构热工性能应符合下列规定：</w:t>
      </w:r>
    </w:p>
    <w:p w14:paraId="20D8FAED">
      <w:pPr>
        <w:spacing w:line="360" w:lineRule="auto"/>
        <w:ind w:firstLine="325" w:firstLineChars="150"/>
        <w:rPr>
          <w:rFonts w:hint="default" w:ascii="Times New Roman" w:hAnsi="Times New Roman" w:cs="Times New Roman"/>
          <w:color w:val="000000" w:themeColor="text1"/>
          <w:sz w:val="24"/>
          <w:szCs w:val="24"/>
          <w:highlight w:val="yellow"/>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在室内设计温度、湿度条件下，建筑非透光围护</w:t>
      </w:r>
      <w:r>
        <w:rPr>
          <w:rFonts w:hint="default" w:ascii="Times New Roman" w:hAnsi="Times New Roman" w:cs="Times New Roman"/>
          <w:color w:val="000000" w:themeColor="text1"/>
          <w:spacing w:val="-8"/>
          <w:sz w:val="24"/>
          <w:szCs w:val="24"/>
          <w:u w:val="none"/>
          <w14:textFill>
            <w14:solidFill>
              <w14:schemeClr w14:val="tx1"/>
            </w14:solidFill>
          </w14:textFill>
        </w:rPr>
        <w:t>结构内</w:t>
      </w:r>
      <w:r>
        <w:rPr>
          <w:rFonts w:hint="default" w:ascii="Times New Roman" w:hAnsi="Times New Roman" w:cs="Times New Roman"/>
          <w:color w:val="000000" w:themeColor="text1"/>
          <w:spacing w:val="-14"/>
          <w:sz w:val="24"/>
          <w:szCs w:val="24"/>
          <w:u w:val="none"/>
          <w14:textFill>
            <w14:solidFill>
              <w14:schemeClr w14:val="tx1"/>
            </w14:solidFill>
          </w14:textFill>
        </w:rPr>
        <w:t>表面不得结露；</w:t>
      </w:r>
    </w:p>
    <w:p w14:paraId="54265651">
      <w:pPr>
        <w:spacing w:line="360" w:lineRule="auto"/>
        <w:ind w:firstLine="325" w:firstLineChars="150"/>
        <w:rPr>
          <w:rFonts w:hint="default" w:ascii="Times New Roman" w:hAnsi="Times New Roman" w:cs="Times New Roman"/>
          <w:color w:val="000000" w:themeColor="text1"/>
          <w:spacing w:val="-1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供暖建筑的屋面、外墙内部不应产生冷凝；</w:t>
      </w:r>
    </w:p>
    <w:p w14:paraId="43E1C7D8">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屋顶和外墙应进行隔热性能计算，透光围护结构太阳得热系数与夏季建筑遮阳系数的乘积还应满足现行国家标准《民用建筑热工设计规范》GB 50176的要求。</w:t>
      </w:r>
    </w:p>
    <w:p w14:paraId="65CA9233">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5.1.8</w:t>
      </w:r>
      <w:r>
        <w:rPr>
          <w:rFonts w:hint="default" w:ascii="Times New Roman" w:hAnsi="Times New Roman" w:cs="Times New Roman"/>
          <w:color w:val="000000" w:themeColor="text1"/>
          <w:spacing w:val="8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0"/>
          <w:sz w:val="24"/>
          <w:szCs w:val="24"/>
          <w:u w:val="none"/>
          <w14:textFill>
            <w14:solidFill>
              <w14:schemeClr w14:val="tx1"/>
            </w14:solidFill>
          </w14:textFill>
        </w:rPr>
        <w:t>主要功能房间应具有现场独立控制的热环境调节装</w:t>
      </w:r>
      <w:r>
        <w:rPr>
          <w:rFonts w:hint="default" w:ascii="Times New Roman" w:hAnsi="Times New Roman" w:cs="Times New Roman"/>
          <w:color w:val="000000" w:themeColor="text1"/>
          <w:spacing w:val="-11"/>
          <w:sz w:val="24"/>
          <w:szCs w:val="24"/>
          <w:u w:val="none"/>
          <w14:textFill>
            <w14:solidFill>
              <w14:schemeClr w14:val="tx1"/>
            </w14:solidFill>
          </w14:textFill>
        </w:rPr>
        <w:t>置。</w:t>
      </w:r>
    </w:p>
    <w:p w14:paraId="338A3334">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5.1.9</w:t>
      </w:r>
      <w:r>
        <w:rPr>
          <w:rFonts w:hint="default" w:ascii="Times New Roman" w:hAnsi="Times New Roman" w:cs="Times New Roman"/>
          <w:color w:val="000000" w:themeColor="text1"/>
          <w:spacing w:val="9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地下车库应设置与排风设备联动的一氧化碳浓度监测</w:t>
      </w:r>
      <w:r>
        <w:rPr>
          <w:rFonts w:hint="default" w:ascii="Times New Roman" w:hAnsi="Times New Roman" w:cs="Times New Roman"/>
          <w:color w:val="000000" w:themeColor="text1"/>
          <w:spacing w:val="-9"/>
          <w:sz w:val="24"/>
          <w:szCs w:val="24"/>
          <w:u w:val="none"/>
          <w14:textFill>
            <w14:solidFill>
              <w14:schemeClr w14:val="tx1"/>
            </w14:solidFill>
          </w14:textFill>
        </w:rPr>
        <w:t>装置。</w:t>
      </w:r>
    </w:p>
    <w:p w14:paraId="00274A6A">
      <w:pPr>
        <w:tabs>
          <w:tab w:val="left" w:pos="115"/>
        </w:tabs>
        <w:spacing w:line="360" w:lineRule="auto"/>
        <w:rPr>
          <w:rFonts w:hint="default" w:ascii="Times New Roman" w:hAnsi="Times New Roman" w:cs="Times New Roman"/>
          <w:color w:val="000000" w:themeColor="text1"/>
          <w:spacing w:val="-9"/>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5.1.10</w:t>
      </w:r>
      <w:r>
        <w:rPr>
          <w:rFonts w:hint="default" w:ascii="Times New Roman" w:hAnsi="Times New Roman" w:cs="Times New Roman"/>
          <w:color w:val="000000" w:themeColor="text1"/>
          <w:spacing w:val="-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健康舒适相关技术要求应符合现行</w:t>
      </w:r>
      <w:r>
        <w:rPr>
          <w:rFonts w:hint="default" w:ascii="Times New Roman" w:hAnsi="Times New Roman" w:cs="Times New Roman"/>
          <w:color w:val="000000" w:themeColor="text1"/>
          <w:spacing w:val="-4"/>
          <w:sz w:val="24"/>
          <w:szCs w:val="24"/>
          <w:u w:val="none"/>
          <w14:textFill>
            <w14:solidFill>
              <w14:schemeClr w14:val="tx1"/>
            </w14:solidFill>
          </w14:textFill>
        </w:rPr>
        <w:t>强制性工程建设规范</w:t>
      </w:r>
      <w:r>
        <w:rPr>
          <w:rFonts w:hint="default" w:ascii="Times New Roman" w:hAnsi="Times New Roman" w:cs="Times New Roman"/>
          <w:color w:val="000000" w:themeColor="text1"/>
          <w:spacing w:val="-10"/>
          <w:sz w:val="24"/>
          <w:szCs w:val="24"/>
          <w:u w:val="none"/>
          <w14:textFill>
            <w14:solidFill>
              <w14:schemeClr w14:val="tx1"/>
            </w14:solidFill>
          </w14:textFill>
        </w:rPr>
        <w:t>《建筑环境通用规范》GB 55016、《建筑给水排水与节水通</w:t>
      </w:r>
      <w:r>
        <w:rPr>
          <w:rFonts w:hint="default" w:ascii="Times New Roman" w:hAnsi="Times New Roman" w:cs="Times New Roman"/>
          <w:color w:val="000000" w:themeColor="text1"/>
          <w:spacing w:val="-11"/>
          <w:sz w:val="24"/>
          <w:szCs w:val="24"/>
          <w:u w:val="none"/>
          <w14:textFill>
            <w14:solidFill>
              <w14:schemeClr w14:val="tx1"/>
            </w14:solidFill>
          </w14:textFill>
        </w:rPr>
        <w:t>用规</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范》GB 55020、《民用建筑通用规范》GB 5503</w:t>
      </w:r>
      <w:r>
        <w:rPr>
          <w:rFonts w:hint="default" w:ascii="Times New Roman" w:hAnsi="Times New Roman" w:cs="Times New Roman"/>
          <w:color w:val="000000" w:themeColor="text1"/>
          <w:spacing w:val="-9"/>
          <w:sz w:val="24"/>
          <w:szCs w:val="24"/>
          <w:u w:val="none"/>
          <w14:textFill>
            <w14:solidFill>
              <w14:schemeClr w14:val="tx1"/>
            </w14:solidFill>
          </w14:textFill>
        </w:rPr>
        <w:t>1等的规定。</w:t>
      </w:r>
    </w:p>
    <w:p w14:paraId="027D2A66">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39" w:name="_Toc204247713"/>
      <w:bookmarkStart w:id="40" w:name="_Toc13760"/>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5.2 评分项</w:t>
      </w:r>
      <w:bookmarkEnd w:id="39"/>
      <w:bookmarkEnd w:id="40"/>
    </w:p>
    <w:p w14:paraId="06D68F14">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41" w:name="bookmark13"/>
      <w:bookmarkEnd w:id="41"/>
      <w:bookmarkStart w:id="42" w:name="_Toc204247714"/>
      <w:bookmarkStart w:id="43" w:name="_Toc23998"/>
      <w:r>
        <w:rPr>
          <w:rFonts w:hint="default" w:ascii="Times New Roman" w:hAnsi="Times New Roman" w:cs="Times New Roman"/>
          <w:color w:val="000000" w:themeColor="text1"/>
          <w:sz w:val="24"/>
          <w:szCs w:val="24"/>
          <w:u w:val="none"/>
          <w:lang w:eastAsia="zh-CN"/>
          <w14:textFill>
            <w14:solidFill>
              <w14:schemeClr w14:val="tx1"/>
            </w14:solidFill>
          </w14:textFill>
        </w:rPr>
        <w:t>I 室内空气品质</w:t>
      </w:r>
      <w:bookmarkEnd w:id="42"/>
      <w:bookmarkEnd w:id="43"/>
    </w:p>
    <w:p w14:paraId="43DD57D1">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5.2.1  </w:t>
      </w:r>
      <w:r>
        <w:rPr>
          <w:rFonts w:hint="default" w:ascii="Times New Roman" w:hAnsi="Times New Roman" w:cs="Times New Roman"/>
          <w:color w:val="000000" w:themeColor="text1"/>
          <w:spacing w:val="-3"/>
          <w:sz w:val="24"/>
          <w:szCs w:val="24"/>
          <w:u w:val="none"/>
          <w14:textFill>
            <w14:solidFill>
              <w14:schemeClr w14:val="tx1"/>
            </w14:solidFill>
          </w14:textFill>
        </w:rPr>
        <w:t>控制室内主要空气污染物的浓度，评价总分值为12分，</w:t>
      </w:r>
      <w:r>
        <w:rPr>
          <w:rFonts w:hint="default" w:ascii="Times New Roman" w:hAnsi="Times New Roman" w:cs="Times New Roman"/>
          <w:color w:val="000000" w:themeColor="text1"/>
          <w:spacing w:val="-13"/>
          <w:sz w:val="24"/>
          <w:szCs w:val="24"/>
          <w:u w:val="none"/>
          <w14:textFill>
            <w14:solidFill>
              <w14:schemeClr w14:val="tx1"/>
            </w14:solidFill>
          </w14:textFill>
        </w:rPr>
        <w:t>并按下列规则分别评分并累计：</w:t>
      </w:r>
    </w:p>
    <w:p w14:paraId="113ECEB5">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氨、甲醛、苯、总挥发性有机物、氡等污染物浓度比现</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行国家标准《室内空气质量标准》GB/T </w:t>
      </w:r>
      <w:r>
        <w:rPr>
          <w:rFonts w:hint="default" w:ascii="Times New Roman" w:hAnsi="Times New Roman" w:cs="Times New Roman"/>
          <w:color w:val="000000" w:themeColor="text1"/>
          <w:spacing w:val="-2"/>
          <w:sz w:val="24"/>
          <w:szCs w:val="24"/>
          <w:u w:val="none"/>
          <w14:textFill>
            <w14:solidFill>
              <w14:schemeClr w14:val="tx1"/>
            </w14:solidFill>
          </w14:textFill>
        </w:rPr>
        <w:t xml:space="preserve"> 18883</w:t>
      </w:r>
      <w:r>
        <w:rPr>
          <w:rFonts w:hint="default" w:ascii="Times New Roman" w:hAnsi="Times New Roman" w:cs="Times New Roman"/>
          <w:color w:val="000000" w:themeColor="text1"/>
          <w:spacing w:val="-6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规定限值降低</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1</w:t>
      </w:r>
      <w:r>
        <w:rPr>
          <w:rFonts w:hint="default" w:ascii="Times New Roman" w:hAnsi="Times New Roman" w:cs="Times New Roman"/>
          <w:color w:val="000000" w:themeColor="text1"/>
          <w:spacing w:val="-3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0</w:t>
      </w:r>
      <w:r>
        <w:rPr>
          <w:rFonts w:hint="default" w:ascii="Times New Roman" w:hAnsi="Times New Roman" w:cs="Times New Roman"/>
          <w:color w:val="000000" w:themeColor="text1"/>
          <w:spacing w:val="-5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w:t>
      </w:r>
      <w:r>
        <w:rPr>
          <w:rFonts w:hint="default" w:ascii="Times New Roman" w:hAnsi="Times New Roman" w:cs="Times New Roman"/>
          <w:color w:val="000000" w:themeColor="text1"/>
          <w:spacing w:val="-4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4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得</w:t>
      </w:r>
      <w:r>
        <w:rPr>
          <w:rFonts w:hint="default" w:ascii="Times New Roman" w:hAnsi="Times New Roman" w:cs="Times New Roman"/>
          <w:color w:val="000000" w:themeColor="text1"/>
          <w:spacing w:val="-4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3</w:t>
      </w:r>
      <w:r>
        <w:rPr>
          <w:rFonts w:hint="default" w:ascii="Times New Roman" w:hAnsi="Times New Roman" w:cs="Times New Roman"/>
          <w:color w:val="000000" w:themeColor="text1"/>
          <w:spacing w:val="-4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分</w:t>
      </w:r>
      <w:r>
        <w:rPr>
          <w:rFonts w:hint="default" w:ascii="Times New Roman" w:hAnsi="Times New Roman" w:cs="Times New Roman"/>
          <w:color w:val="000000" w:themeColor="text1"/>
          <w:spacing w:val="-60"/>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；降低20%</w:t>
      </w:r>
      <w:r>
        <w:rPr>
          <w:rFonts w:hint="default" w:ascii="Times New Roman" w:hAnsi="Times New Roman" w:cs="Times New Roman"/>
          <w:color w:val="000000" w:themeColor="text1"/>
          <w:spacing w:val="4"/>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4"/>
          <w:sz w:val="24"/>
          <w:szCs w:val="24"/>
          <w:u w:val="none"/>
          <w14:textFill>
            <w14:solidFill>
              <w14:schemeClr w14:val="tx1"/>
            </w14:solidFill>
          </w14:textFill>
        </w:rPr>
        <w:t>得6分；</w:t>
      </w:r>
    </w:p>
    <w:p w14:paraId="04E5295E">
      <w:pPr>
        <w:spacing w:line="360" w:lineRule="auto"/>
        <w:ind w:firstLine="325" w:firstLineChars="150"/>
        <w:rPr>
          <w:rFonts w:hint="default" w:ascii="Times New Roman" w:hAnsi="Times New Roman"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
          <w:sz w:val="24"/>
          <w:szCs w:val="24"/>
          <w:u w:val="none"/>
          <w14:textFill>
            <w14:solidFill>
              <w14:schemeClr w14:val="tx1"/>
            </w14:solidFill>
          </w14:textFill>
        </w:rPr>
        <w:t>室内PM2.5年均浓度不高于25μg/m³</w:t>
      </w:r>
      <w:r>
        <w:rPr>
          <w:rFonts w:hint="default" w:ascii="Times New Roman" w:hAnsi="Times New Roman" w:cs="Times New Roman"/>
          <w:color w:val="000000" w:themeColor="text1"/>
          <w:spacing w:val="-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
          <w:sz w:val="24"/>
          <w:szCs w:val="24"/>
          <w:u w:val="none"/>
          <w14:textFill>
            <w14:solidFill>
              <w14:schemeClr w14:val="tx1"/>
            </w14:solidFill>
          </w14:textFill>
        </w:rPr>
        <w:t>且室内PM₁₀年均浓度不高于50μg/m³</w:t>
      </w:r>
      <w:r>
        <w:rPr>
          <w:rFonts w:hint="default" w:ascii="Times New Roman" w:hAnsi="Times New Roman" w:cs="Times New Roman"/>
          <w:color w:val="000000" w:themeColor="text1"/>
          <w:spacing w:val="-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
          <w:sz w:val="24"/>
          <w:szCs w:val="24"/>
          <w:u w:val="none"/>
          <w14:textFill>
            <w14:solidFill>
              <w14:schemeClr w14:val="tx1"/>
            </w14:solidFill>
          </w14:textFill>
        </w:rPr>
        <w:t>得6分。</w:t>
      </w:r>
    </w:p>
    <w:p w14:paraId="78A24099">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5.2.2  </w:t>
      </w:r>
      <w:r>
        <w:rPr>
          <w:rFonts w:hint="default" w:ascii="Times New Roman" w:hAnsi="Times New Roman" w:cs="Times New Roman"/>
          <w:color w:val="000000" w:themeColor="text1"/>
          <w:spacing w:val="-5"/>
          <w:sz w:val="24"/>
          <w:szCs w:val="24"/>
          <w:u w:val="none"/>
          <w14:textFill>
            <w14:solidFill>
              <w14:schemeClr w14:val="tx1"/>
            </w14:solidFill>
          </w14:textFill>
        </w:rPr>
        <w:t>选用的装饰装修材料满足国家现行绿色产品评价标准中</w:t>
      </w:r>
      <w:r>
        <w:rPr>
          <w:rFonts w:hint="default" w:ascii="Times New Roman" w:hAnsi="Times New Roman" w:cs="Times New Roman"/>
          <w:color w:val="000000" w:themeColor="text1"/>
          <w:spacing w:val="-7"/>
          <w:sz w:val="24"/>
          <w:szCs w:val="24"/>
          <w:u w:val="none"/>
          <w14:textFill>
            <w14:solidFill>
              <w14:schemeClr w14:val="tx1"/>
            </w14:solidFill>
          </w14:textFill>
        </w:rPr>
        <w:t>对有害物质限量的要求，评价总分值为8分。选用</w:t>
      </w:r>
      <w:r>
        <w:rPr>
          <w:rFonts w:hint="default" w:ascii="Times New Roman" w:hAnsi="Times New Roman" w:cs="Times New Roman"/>
          <w:color w:val="000000" w:themeColor="text1"/>
          <w:spacing w:val="-8"/>
          <w:sz w:val="24"/>
          <w:szCs w:val="24"/>
          <w:u w:val="none"/>
          <w14:textFill>
            <w14:solidFill>
              <w14:schemeClr w14:val="tx1"/>
            </w14:solidFill>
          </w14:textFill>
        </w:rPr>
        <w:t>满足要求的装</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7"/>
          <w:sz w:val="24"/>
          <w:szCs w:val="24"/>
          <w:u w:val="none"/>
          <w14:textFill>
            <w14:solidFill>
              <w14:schemeClr w14:val="tx1"/>
            </w14:solidFill>
          </w14:textFill>
        </w:rPr>
        <w:t>饰装修材料达到3类及以上，得5分；达到5类及以上，得</w:t>
      </w:r>
      <w:r>
        <w:rPr>
          <w:rFonts w:hint="default" w:ascii="Times New Roman" w:hAnsi="Times New Roman" w:cs="Times New Roman"/>
          <w:color w:val="000000" w:themeColor="text1"/>
          <w:spacing w:val="-1"/>
          <w:sz w:val="24"/>
          <w:szCs w:val="24"/>
          <w:u w:val="none"/>
          <w14:textFill>
            <w14:solidFill>
              <w14:schemeClr w14:val="tx1"/>
            </w14:solidFill>
          </w14:textFill>
        </w:rPr>
        <w:t>8分。</w:t>
      </w:r>
    </w:p>
    <w:p w14:paraId="158B5242">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44" w:name="_Toc3446"/>
      <w:bookmarkStart w:id="45" w:name="_Toc204247715"/>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Ⅱ</w:t>
      </w:r>
      <w:r>
        <w:rPr>
          <w:rFonts w:hint="default" w:ascii="Times New Roman" w:hAnsi="Times New Roman" w:cs="Times New Roman"/>
          <w:color w:val="000000" w:themeColor="text1"/>
          <w:sz w:val="24"/>
          <w:szCs w:val="24"/>
          <w:u w:val="none"/>
          <w:lang w:eastAsia="zh-CN"/>
          <w14:textFill>
            <w14:solidFill>
              <w14:schemeClr w14:val="tx1"/>
            </w14:solidFill>
          </w14:textFill>
        </w:rPr>
        <w:t xml:space="preserve"> 水质</w:t>
      </w:r>
      <w:bookmarkEnd w:id="44"/>
      <w:bookmarkEnd w:id="45"/>
    </w:p>
    <w:p w14:paraId="4A217B57">
      <w:pPr>
        <w:spacing w:line="360" w:lineRule="auto"/>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5.2.3</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直饮水、集中生活热水、游泳池水、供暖空调系统用水、 景观水体等的水质满足国家现行有关标准的要求，评价分值为  8分。</w:t>
      </w:r>
    </w:p>
    <w:p w14:paraId="3C482126">
      <w:pPr>
        <w:spacing w:line="360" w:lineRule="auto"/>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5.2.4</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生活饮用水水池、水箱等储水设施采取措施满足卫生要求，评价总分值为9分，并按下列规则分别评分并累计：</w:t>
      </w:r>
    </w:p>
    <w:p w14:paraId="3D78E3A8">
      <w:pPr>
        <w:spacing w:line="360" w:lineRule="auto"/>
        <w:ind w:firstLine="325" w:firstLineChars="150"/>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使用符合国家现行有关标准要求的成品水箱，得4分；</w:t>
      </w:r>
    </w:p>
    <w:p w14:paraId="3B221F07">
      <w:pPr>
        <w:spacing w:line="360" w:lineRule="auto"/>
        <w:ind w:firstLine="325" w:firstLineChars="150"/>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采取保证储水不变质的措施，得5分。</w:t>
      </w:r>
    </w:p>
    <w:p w14:paraId="4045F11B">
      <w:pPr>
        <w:spacing w:line="360" w:lineRule="auto"/>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5.2.5</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所有给水排水管道、设备、设施设置明确、清晰的永久 性标识，评价分值为8分。</w:t>
      </w:r>
    </w:p>
    <w:p w14:paraId="6ADF961C">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46" w:name="_Toc24295"/>
      <w:bookmarkStart w:id="47" w:name="_Toc204247716"/>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Ⅲ</w:t>
      </w:r>
      <w:r>
        <w:rPr>
          <w:rFonts w:hint="default" w:ascii="Times New Roman" w:hAnsi="Times New Roman" w:cs="Times New Roman"/>
          <w:color w:val="000000" w:themeColor="text1"/>
          <w:sz w:val="24"/>
          <w:szCs w:val="24"/>
          <w:u w:val="none"/>
          <w:lang w:eastAsia="zh-CN"/>
          <w14:textFill>
            <w14:solidFill>
              <w14:schemeClr w14:val="tx1"/>
            </w14:solidFill>
          </w14:textFill>
        </w:rPr>
        <w:t xml:space="preserve"> 声环境与光环境</w:t>
      </w:r>
      <w:bookmarkEnd w:id="46"/>
      <w:bookmarkEnd w:id="47"/>
    </w:p>
    <w:p w14:paraId="699045EC">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5.2.6 </w:t>
      </w:r>
      <w:r>
        <w:rPr>
          <w:rFonts w:hint="default" w:ascii="Times New Roman" w:hAnsi="Times New Roman" w:cs="Times New Roman"/>
          <w:bCs/>
          <w:color w:val="000000" w:themeColor="text1"/>
          <w:spacing w:val="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采取措施优化主要功能房间的室内声环境，评价总分</w:t>
      </w:r>
      <w:r>
        <w:rPr>
          <w:rFonts w:hint="default" w:ascii="Times New Roman" w:hAnsi="Times New Roman" w:cs="Times New Roman"/>
          <w:color w:val="000000" w:themeColor="text1"/>
          <w:spacing w:val="-4"/>
          <w:sz w:val="24"/>
          <w:szCs w:val="24"/>
          <w:u w:val="none"/>
          <w14:textFill>
            <w14:solidFill>
              <w14:schemeClr w14:val="tx1"/>
            </w14:solidFill>
          </w14:textFill>
        </w:rPr>
        <w:t>值为8分，并按下列规则分别评分并累计：</w:t>
      </w:r>
    </w:p>
    <w:p w14:paraId="00FFCA5E">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
          <w:sz w:val="24"/>
          <w:szCs w:val="24"/>
          <w:u w:val="none"/>
          <w14:textFill>
            <w14:solidFill>
              <w14:schemeClr w14:val="tx1"/>
            </w14:solidFill>
          </w14:textFill>
        </w:rPr>
        <w:t>建筑物外部噪声源传播至主要功能房间的噪声比现行强</w:t>
      </w:r>
      <w:r>
        <w:rPr>
          <w:rFonts w:hint="default" w:ascii="Times New Roman" w:hAnsi="Times New Roman" w:cs="Times New Roman"/>
          <w:color w:val="000000" w:themeColor="text1"/>
          <w:sz w:val="24"/>
          <w:szCs w:val="24"/>
          <w:u w:val="none"/>
          <w14:textFill>
            <w14:solidFill>
              <w14:schemeClr w14:val="tx1"/>
            </w14:solidFill>
          </w14:textFill>
        </w:rPr>
        <w:t>制性工程建设规范《建筑环境通用规范》GB 55016限值低3dB</w:t>
      </w:r>
      <w:r>
        <w:rPr>
          <w:rFonts w:hint="default" w:ascii="Times New Roman" w:hAnsi="Times New Roman" w:cs="Times New Roman"/>
          <w:color w:val="000000" w:themeColor="text1"/>
          <w:spacing w:val="1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及以上，得4分；</w:t>
      </w:r>
      <w:r>
        <w:rPr>
          <w:rFonts w:hint="default" w:ascii="Times New Roman" w:hAnsi="Times New Roman" w:cs="Times New Roman"/>
          <w:color w:val="000000" w:themeColor="text1"/>
          <w:spacing w:val="6"/>
          <w:sz w:val="24"/>
          <w:szCs w:val="24"/>
          <w:u w:val="none"/>
          <w14:textFill>
            <w14:solidFill>
              <w14:schemeClr w14:val="tx1"/>
            </w14:solidFill>
          </w14:textFill>
        </w:rPr>
        <w:t xml:space="preserve"> </w:t>
      </w:r>
    </w:p>
    <w:p w14:paraId="45894937">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
          <w:sz w:val="24"/>
          <w:szCs w:val="24"/>
          <w:u w:val="none"/>
          <w14:textFill>
            <w14:solidFill>
              <w14:schemeClr w14:val="tx1"/>
            </w14:solidFill>
          </w14:textFill>
        </w:rPr>
        <w:t>建筑物内部建筑设备传播至主要功能房间的噪声比现行</w:t>
      </w:r>
      <w:r>
        <w:rPr>
          <w:rFonts w:hint="default" w:ascii="Times New Roman" w:hAnsi="Times New Roman" w:cs="Times New Roman"/>
          <w:color w:val="000000" w:themeColor="text1"/>
          <w:spacing w:val="5"/>
          <w:sz w:val="24"/>
          <w:szCs w:val="24"/>
          <w:u w:val="none"/>
          <w14:textFill>
            <w14:solidFill>
              <w14:schemeClr w14:val="tx1"/>
            </w14:solidFill>
          </w14:textFill>
        </w:rPr>
        <w:t>强制性工程建设规范《建筑环境通用规范》</w:t>
      </w:r>
      <w:r>
        <w:rPr>
          <w:rFonts w:hint="default" w:ascii="Times New Roman" w:hAnsi="Times New Roman" w:cs="Times New Roman"/>
          <w:color w:val="000000" w:themeColor="text1"/>
          <w:sz w:val="24"/>
          <w:szCs w:val="24"/>
          <w:u w:val="none"/>
          <w14:textFill>
            <w14:solidFill>
              <w14:schemeClr w14:val="tx1"/>
            </w14:solidFill>
          </w14:textFill>
        </w:rPr>
        <w:t>GB</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5</w:t>
      </w:r>
      <w:r>
        <w:rPr>
          <w:rFonts w:hint="default" w:ascii="Times New Roman" w:hAnsi="Times New Roman" w:cs="Times New Roman"/>
          <w:color w:val="000000" w:themeColor="text1"/>
          <w:spacing w:val="4"/>
          <w:sz w:val="24"/>
          <w:szCs w:val="24"/>
          <w:u w:val="none"/>
          <w14:textFill>
            <w14:solidFill>
              <w14:schemeClr w14:val="tx1"/>
            </w14:solidFill>
          </w14:textFill>
        </w:rPr>
        <w:t>5016限值低</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1"/>
          <w:sz w:val="24"/>
          <w:szCs w:val="24"/>
          <w:u w:val="none"/>
          <w14:textFill>
            <w14:solidFill>
              <w14:schemeClr w14:val="tx1"/>
            </w14:solidFill>
          </w14:textFill>
        </w:rPr>
        <w:t>3</w:t>
      </w:r>
      <w:r>
        <w:rPr>
          <w:rFonts w:hint="default" w:ascii="Times New Roman" w:hAnsi="Times New Roman" w:cs="Times New Roman"/>
          <w:color w:val="000000" w:themeColor="text1"/>
          <w:sz w:val="24"/>
          <w:szCs w:val="24"/>
          <w:u w:val="none"/>
          <w14:textFill>
            <w14:solidFill>
              <w14:schemeClr w14:val="tx1"/>
            </w14:solidFill>
          </w14:textFill>
        </w:rPr>
        <w:t>dB</w:t>
      </w:r>
      <w:r>
        <w:rPr>
          <w:rFonts w:hint="default" w:ascii="Times New Roman" w:hAnsi="Times New Roman" w:cs="Times New Roman"/>
          <w:color w:val="000000" w:themeColor="text1"/>
          <w:spacing w:val="21"/>
          <w:sz w:val="24"/>
          <w:szCs w:val="24"/>
          <w:u w:val="none"/>
          <w14:textFill>
            <w14:solidFill>
              <w14:schemeClr w14:val="tx1"/>
            </w14:solidFill>
          </w14:textFill>
        </w:rPr>
        <w:t>及以上，得4分。</w:t>
      </w:r>
    </w:p>
    <w:p w14:paraId="5B672B41">
      <w:pPr>
        <w:spacing w:line="360" w:lineRule="auto"/>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5.2.7</w:t>
      </w:r>
      <w:r>
        <w:rPr>
          <w:rFonts w:hint="default" w:ascii="Times New Roman" w:hAnsi="Times New Roman" w:cs="Times New Roman"/>
          <w:bCs/>
          <w:color w:val="000000" w:themeColor="text1"/>
          <w:spacing w:val="-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主要功能房间的隔声性能良好，评价总分值为</w:t>
      </w:r>
      <w:r>
        <w:rPr>
          <w:rFonts w:hint="default" w:ascii="Times New Roman" w:hAnsi="Times New Roman" w:cs="Times New Roman"/>
          <w:color w:val="000000" w:themeColor="text1"/>
          <w:spacing w:val="-5"/>
          <w:sz w:val="24"/>
          <w:szCs w:val="24"/>
          <w:u w:val="none"/>
          <w14:textFill>
            <w14:solidFill>
              <w14:schemeClr w14:val="tx1"/>
            </w14:solidFill>
          </w14:textFill>
        </w:rPr>
        <w:t>10分，按表5.2.7的规则分别评分并累计：</w:t>
      </w:r>
      <w:bookmarkStart w:id="48" w:name="bookmark93"/>
      <w:bookmarkEnd w:id="48"/>
    </w:p>
    <w:p w14:paraId="4AA8DE6F">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表5.2.7 主要功能房间隔声性能评分规则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1276"/>
        <w:gridCol w:w="3685"/>
        <w:gridCol w:w="788"/>
      </w:tblGrid>
      <w:tr w14:paraId="552F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9" w:type="dxa"/>
            <w:vAlign w:val="center"/>
          </w:tcPr>
          <w:p w14:paraId="5DFA8171">
            <w:pPr>
              <w:pStyle w:val="24"/>
              <w:spacing w:line="360" w:lineRule="auto"/>
              <w:jc w:val="center"/>
              <w:rPr>
                <w:rFonts w:hint="default" w:ascii="Times New Roman" w:hAnsi="Times New Roman" w:cs="Times New Roman" w:eastAsiaTheme="minorEastAsia"/>
                <w:b/>
                <w:color w:val="000000" w:themeColor="text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spacing w:val="3"/>
                <w:sz w:val="21"/>
                <w:szCs w:val="21"/>
                <w:u w:val="none"/>
                <w14:textFill>
                  <w14:solidFill>
                    <w14:schemeClr w14:val="tx1"/>
                  </w14:solidFill>
                </w14:textFill>
              </w:rPr>
              <w:t>建筑类别</w:t>
            </w:r>
          </w:p>
        </w:tc>
        <w:tc>
          <w:tcPr>
            <w:tcW w:w="2694" w:type="dxa"/>
            <w:gridSpan w:val="2"/>
            <w:vAlign w:val="center"/>
          </w:tcPr>
          <w:p w14:paraId="5852E83E">
            <w:pPr>
              <w:pStyle w:val="24"/>
              <w:spacing w:line="360" w:lineRule="auto"/>
              <w:jc w:val="center"/>
              <w:rPr>
                <w:rFonts w:hint="default" w:ascii="Times New Roman" w:hAnsi="Times New Roman" w:cs="Times New Roman" w:eastAsiaTheme="minorEastAsia"/>
                <w:b/>
                <w:color w:val="000000" w:themeColor="text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spacing w:val="-2"/>
                <w:sz w:val="21"/>
                <w:szCs w:val="21"/>
                <w:u w:val="none"/>
                <w14:textFill>
                  <w14:solidFill>
                    <w14:schemeClr w14:val="tx1"/>
                  </w14:solidFill>
                </w14:textFill>
              </w:rPr>
              <w:t>构件或房间名称</w:t>
            </w:r>
          </w:p>
        </w:tc>
        <w:tc>
          <w:tcPr>
            <w:tcW w:w="3685" w:type="dxa"/>
            <w:vAlign w:val="center"/>
          </w:tcPr>
          <w:p w14:paraId="1C9F40B8">
            <w:pPr>
              <w:pStyle w:val="24"/>
              <w:spacing w:line="360" w:lineRule="auto"/>
              <w:jc w:val="center"/>
              <w:rPr>
                <w:rFonts w:hint="default" w:ascii="Times New Roman" w:hAnsi="Times New Roman" w:cs="Times New Roman" w:eastAsiaTheme="minorEastAsia"/>
                <w:b/>
                <w:color w:val="000000" w:themeColor="text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spacing w:val="-2"/>
                <w:sz w:val="21"/>
                <w:szCs w:val="21"/>
                <w:u w:val="none"/>
                <w14:textFill>
                  <w14:solidFill>
                    <w14:schemeClr w14:val="tx1"/>
                  </w14:solidFill>
                </w14:textFill>
              </w:rPr>
              <w:t>评价指标</w:t>
            </w:r>
          </w:p>
        </w:tc>
        <w:tc>
          <w:tcPr>
            <w:tcW w:w="788" w:type="dxa"/>
            <w:vAlign w:val="center"/>
          </w:tcPr>
          <w:p w14:paraId="19BEB7AE">
            <w:pPr>
              <w:pStyle w:val="24"/>
              <w:spacing w:line="360" w:lineRule="auto"/>
              <w:jc w:val="center"/>
              <w:rPr>
                <w:rFonts w:hint="default" w:ascii="Times New Roman" w:hAnsi="Times New Roman" w:cs="Times New Roman" w:eastAsiaTheme="minorEastAsia"/>
                <w:b/>
                <w:color w:val="000000" w:themeColor="text1"/>
                <w:sz w:val="21"/>
                <w:szCs w:val="21"/>
                <w:u w:val="none"/>
                <w14:textFill>
                  <w14:solidFill>
                    <w14:schemeClr w14:val="tx1"/>
                  </w14:solidFill>
                </w14:textFill>
              </w:rPr>
            </w:pPr>
            <w:r>
              <w:rPr>
                <w:rFonts w:hint="default" w:ascii="Times New Roman" w:hAnsi="Times New Roman" w:cs="Times New Roman" w:eastAsiaTheme="minorEastAsia"/>
                <w:b/>
                <w:color w:val="000000" w:themeColor="text1"/>
                <w:spacing w:val="-2"/>
                <w:sz w:val="21"/>
                <w:szCs w:val="21"/>
                <w:u w:val="none"/>
                <w14:textFill>
                  <w14:solidFill>
                    <w14:schemeClr w14:val="tx1"/>
                  </w14:solidFill>
                </w14:textFill>
              </w:rPr>
              <w:t>得分</w:t>
            </w:r>
          </w:p>
        </w:tc>
      </w:tr>
      <w:tr w14:paraId="069B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1707BE26">
            <w:pPr>
              <w:spacing w:line="360" w:lineRule="auto"/>
              <w:jc w:val="center"/>
              <w:rPr>
                <w:rFonts w:hint="default" w:ascii="Times New Roman" w:hAnsi="Times New Roman" w:cs="Times New Roman"/>
                <w:bCs/>
                <w:color w:val="000000" w:themeColor="text1"/>
                <w:spacing w:val="-6"/>
                <w:u w:val="none"/>
                <w14:textFill>
                  <w14:solidFill>
                    <w14:schemeClr w14:val="tx1"/>
                  </w14:solidFill>
                </w14:textFill>
              </w:rPr>
            </w:pPr>
            <w:r>
              <w:rPr>
                <w:rFonts w:hint="default" w:ascii="Times New Roman" w:hAnsi="Times New Roman" w:cs="Times New Roman"/>
                <w:bCs/>
                <w:color w:val="000000" w:themeColor="text1"/>
                <w:spacing w:val="-6"/>
                <w:u w:val="none"/>
                <w14:textFill>
                  <w14:solidFill>
                    <w14:schemeClr w14:val="tx1"/>
                  </w14:solidFill>
                </w14:textFill>
              </w:rPr>
              <w:t>住宅建筑</w:t>
            </w:r>
          </w:p>
        </w:tc>
        <w:tc>
          <w:tcPr>
            <w:tcW w:w="2694" w:type="dxa"/>
            <w:gridSpan w:val="2"/>
            <w:vAlign w:val="center"/>
          </w:tcPr>
          <w:p w14:paraId="22E1AA32">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1"/>
                <w:szCs w:val="21"/>
                <w:u w:val="none"/>
                <w14:textFill>
                  <w14:solidFill>
                    <w14:schemeClr w14:val="tx1"/>
                  </w14:solidFill>
                </w14:textFill>
              </w:rPr>
              <w:t>卧室含窗外墙</w:t>
            </w:r>
          </w:p>
        </w:tc>
        <w:tc>
          <w:tcPr>
            <w:tcW w:w="3685" w:type="dxa"/>
            <w:vAlign w:val="center"/>
          </w:tcPr>
          <w:p w14:paraId="66436520">
            <w:pPr>
              <w:spacing w:line="360" w:lineRule="auto"/>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1"/>
                <w:szCs w:val="21"/>
                <w:u w:val="none"/>
                <w14:textFill>
                  <w14:solidFill>
                    <w14:schemeClr w14:val="tx1"/>
                  </w14:solidFill>
                </w14:textFill>
              </w:rPr>
              <w:t>计权标准化声压级差与交通噪声</w:t>
            </w:r>
            <w:r>
              <w:rPr>
                <w:rFonts w:hint="default" w:ascii="Times New Roman" w:hAnsi="Times New Roman" w:cs="Times New Roman"/>
                <w:color w:val="000000" w:themeColor="text1"/>
                <w:spacing w:val="7"/>
                <w:szCs w:val="21"/>
                <w:u w:val="none"/>
                <w14:textFill>
                  <w14:solidFill>
                    <w14:schemeClr w14:val="tx1"/>
                  </w14:solidFill>
                </w14:textFill>
              </w:rPr>
              <w:t>频谱修正量之和D₂m.</w:t>
            </w:r>
            <w:r>
              <w:rPr>
                <w:rFonts w:hint="default" w:ascii="Times New Roman" w:hAnsi="Times New Roman" w:cs="Times New Roman"/>
                <w:color w:val="000000" w:themeColor="text1"/>
                <w:szCs w:val="21"/>
                <w:u w:val="none"/>
                <w14:textFill>
                  <w14:solidFill>
                    <w14:schemeClr w14:val="tx1"/>
                  </w14:solidFill>
                </w14:textFill>
              </w:rPr>
              <w:t>nT</w:t>
            </w:r>
            <w:r>
              <w:rPr>
                <w:rFonts w:hint="default" w:ascii="Times New Roman" w:hAnsi="Times New Roman" w:cs="Times New Roman"/>
                <w:color w:val="000000" w:themeColor="text1"/>
                <w:spacing w:val="7"/>
                <w:szCs w:val="21"/>
                <w:u w:val="none"/>
                <w14:textFill>
                  <w14:solidFill>
                    <w14:schemeClr w14:val="tx1"/>
                  </w14:solidFill>
                </w14:textFill>
              </w:rPr>
              <w:t>.w+</w:t>
            </w:r>
            <w:r>
              <w:rPr>
                <w:rFonts w:hint="default" w:ascii="Times New Roman" w:hAnsi="Times New Roman" w:cs="Times New Roman"/>
                <w:color w:val="000000" w:themeColor="text1"/>
                <w:szCs w:val="21"/>
                <w:u w:val="none"/>
                <w14:textFill>
                  <w14:solidFill>
                    <w14:schemeClr w14:val="tx1"/>
                  </w14:solidFill>
                </w14:textFill>
              </w:rPr>
              <w:t>Cr</w:t>
            </w:r>
            <w:r>
              <w:rPr>
                <w:rFonts w:hint="default" w:ascii="Times New Roman" w:hAnsi="Times New Roman" w:cs="Times New Roman"/>
                <w:color w:val="000000" w:themeColor="text1"/>
                <w:spacing w:val="-7"/>
                <w:szCs w:val="21"/>
                <w:u w:val="none"/>
                <w14:textFill>
                  <w14:solidFill>
                    <w14:schemeClr w14:val="tx1"/>
                  </w14:solidFill>
                </w14:textFill>
              </w:rPr>
              <w:t>≥</w:t>
            </w:r>
            <w:r>
              <w:rPr>
                <w:rFonts w:hint="default" w:ascii="Times New Roman" w:hAnsi="Times New Roman" w:cs="Times New Roman"/>
                <w:color w:val="000000" w:themeColor="text1"/>
                <w:spacing w:val="-69"/>
                <w:szCs w:val="21"/>
                <w:u w:val="none"/>
                <w14:textFill>
                  <w14:solidFill>
                    <w14:schemeClr w14:val="tx1"/>
                  </w14:solidFill>
                </w14:textFill>
              </w:rPr>
              <w:t xml:space="preserve"> </w:t>
            </w:r>
            <w:r>
              <w:rPr>
                <w:rFonts w:hint="default" w:ascii="Times New Roman" w:hAnsi="Times New Roman" w:cs="Times New Roman"/>
                <w:color w:val="000000" w:themeColor="text1"/>
                <w:spacing w:val="-75"/>
                <w:szCs w:val="21"/>
                <w:u w:val="none"/>
                <w14:textFill>
                  <w14:solidFill>
                    <w14:schemeClr w14:val="tx1"/>
                  </w14:solidFill>
                </w14:textFill>
              </w:rPr>
              <w:t xml:space="preserve"> </w:t>
            </w:r>
            <w:r>
              <w:rPr>
                <w:rFonts w:hint="default" w:ascii="Times New Roman" w:hAnsi="Times New Roman" w:cs="Times New Roman"/>
                <w:color w:val="000000" w:themeColor="text1"/>
                <w:spacing w:val="-7"/>
                <w:szCs w:val="21"/>
                <w:u w:val="none"/>
                <w14:textFill>
                  <w14:solidFill>
                    <w14:schemeClr w14:val="tx1"/>
                  </w14:solidFill>
                </w14:textFill>
              </w:rPr>
              <w:t>35dB</w:t>
            </w:r>
          </w:p>
        </w:tc>
        <w:tc>
          <w:tcPr>
            <w:tcW w:w="788" w:type="dxa"/>
            <w:vAlign w:val="center"/>
          </w:tcPr>
          <w:p w14:paraId="5D960974">
            <w:pPr>
              <w:spacing w:line="360" w:lineRule="auto"/>
              <w:jc w:val="center"/>
              <w:rPr>
                <w:rFonts w:hint="default" w:ascii="Times New Roman" w:hAnsi="Times New Roman" w:cs="Times New Roman"/>
                <w:bCs/>
                <w:color w:val="000000" w:themeColor="text1"/>
                <w:spacing w:val="-6"/>
                <w:u w:val="none"/>
                <w14:textFill>
                  <w14:solidFill>
                    <w14:schemeClr w14:val="tx1"/>
                  </w14:solidFill>
                </w14:textFill>
              </w:rPr>
            </w:pPr>
            <w:r>
              <w:rPr>
                <w:rFonts w:hint="default" w:ascii="Times New Roman" w:hAnsi="Times New Roman" w:cs="Times New Roman"/>
                <w:bCs/>
                <w:color w:val="000000" w:themeColor="text1"/>
                <w:spacing w:val="-6"/>
                <w:u w:val="none"/>
                <w14:textFill>
                  <w14:solidFill>
                    <w14:schemeClr w14:val="tx1"/>
                  </w14:solidFill>
                </w14:textFill>
              </w:rPr>
              <w:t>2</w:t>
            </w:r>
          </w:p>
        </w:tc>
      </w:tr>
      <w:tr w14:paraId="08A0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06796BD1">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p>
        </w:tc>
        <w:tc>
          <w:tcPr>
            <w:tcW w:w="1418" w:type="dxa"/>
            <w:vMerge w:val="restart"/>
            <w:vAlign w:val="center"/>
          </w:tcPr>
          <w:p w14:paraId="15F205AD">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5"/>
                <w:szCs w:val="21"/>
                <w:u w:val="none"/>
                <w14:textFill>
                  <w14:solidFill>
                    <w14:schemeClr w14:val="tx1"/>
                  </w14:solidFill>
                </w14:textFill>
              </w:rPr>
              <w:t>相邻两户</w:t>
            </w:r>
            <w:r>
              <w:rPr>
                <w:rFonts w:hint="default" w:ascii="Times New Roman" w:hAnsi="Times New Roman" w:cs="Times New Roman"/>
                <w:color w:val="000000" w:themeColor="text1"/>
                <w:spacing w:val="4"/>
                <w:szCs w:val="21"/>
                <w:u w:val="none"/>
                <w14:textFill>
                  <w14:solidFill>
                    <w14:schemeClr w14:val="tx1"/>
                  </w14:solidFill>
                </w14:textFill>
              </w:rPr>
              <w:t>房间之间</w:t>
            </w:r>
            <w:r>
              <w:rPr>
                <w:rFonts w:hint="default" w:ascii="Times New Roman" w:hAnsi="Times New Roman" w:cs="Times New Roman"/>
                <w:color w:val="000000" w:themeColor="text1"/>
                <w:spacing w:val="3"/>
                <w:szCs w:val="21"/>
                <w:u w:val="none"/>
                <w14:textFill>
                  <w14:solidFill>
                    <w14:schemeClr w14:val="tx1"/>
                  </w14:solidFill>
                </w14:textFill>
              </w:rPr>
              <w:t>空气声</w:t>
            </w:r>
            <w:r>
              <w:rPr>
                <w:rFonts w:hint="default" w:ascii="Times New Roman" w:hAnsi="Times New Roman" w:cs="Times New Roman"/>
                <w:color w:val="000000" w:themeColor="text1"/>
                <w:spacing w:val="1"/>
                <w:szCs w:val="21"/>
                <w:u w:val="none"/>
                <w14:textFill>
                  <w14:solidFill>
                    <w14:schemeClr w14:val="tx1"/>
                  </w14:solidFill>
                </w14:textFill>
              </w:rPr>
              <w:t xml:space="preserve"> </w:t>
            </w:r>
            <w:r>
              <w:rPr>
                <w:rFonts w:hint="default" w:ascii="Times New Roman" w:hAnsi="Times New Roman" w:cs="Times New Roman"/>
                <w:color w:val="000000" w:themeColor="text1"/>
                <w:spacing w:val="5"/>
                <w:szCs w:val="21"/>
                <w:u w:val="none"/>
                <w14:textFill>
                  <w14:solidFill>
                    <w14:schemeClr w14:val="tx1"/>
                  </w14:solidFill>
                </w14:textFill>
              </w:rPr>
              <w:t>隔声</w:t>
            </w:r>
          </w:p>
        </w:tc>
        <w:tc>
          <w:tcPr>
            <w:tcW w:w="1276" w:type="dxa"/>
            <w:vAlign w:val="center"/>
          </w:tcPr>
          <w:p w14:paraId="4D721E06">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2"/>
                <w:szCs w:val="21"/>
                <w:u w:val="none"/>
                <w14:textFill>
                  <w14:solidFill>
                    <w14:schemeClr w14:val="tx1"/>
                  </w14:solidFill>
                </w14:textFill>
              </w:rPr>
              <w:t>隔墙两侧</w:t>
            </w:r>
            <w:r>
              <w:rPr>
                <w:rFonts w:hint="default" w:ascii="Times New Roman" w:hAnsi="Times New Roman" w:cs="Times New Roman"/>
                <w:color w:val="000000" w:themeColor="text1"/>
                <w:spacing w:val="4"/>
                <w:szCs w:val="21"/>
                <w:u w:val="none"/>
                <w14:textFill>
                  <w14:solidFill>
                    <w14:schemeClr w14:val="tx1"/>
                  </w14:solidFill>
                </w14:textFill>
              </w:rPr>
              <w:t>房间之间</w:t>
            </w:r>
          </w:p>
        </w:tc>
        <w:tc>
          <w:tcPr>
            <w:tcW w:w="3685" w:type="dxa"/>
            <w:vMerge w:val="restart"/>
            <w:vAlign w:val="center"/>
          </w:tcPr>
          <w:p w14:paraId="6D2BCEE6">
            <w:pPr>
              <w:pStyle w:val="24"/>
              <w:spacing w:line="360" w:lineRule="auto"/>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计权标准化声压级差与交通噪声频谱修正量之和DnT.w+Cr≥50dB</w:t>
            </w:r>
          </w:p>
          <w:p w14:paraId="0AB30C15">
            <w:pPr>
              <w:pStyle w:val="24"/>
              <w:spacing w:line="360" w:lineRule="auto"/>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（卧室与邻户房间之间）且计权标准</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化声压级差与粉红噪声频谱修正量</w:t>
            </w:r>
            <w:r>
              <w:rPr>
                <w:rFonts w:hint="default" w:ascii="Times New Roman" w:hAnsi="Times New Roman" w:cs="Times New Roman" w:eastAsiaTheme="minorEastAsia"/>
                <w:color w:val="000000" w:themeColor="text1"/>
                <w:spacing w:val="6"/>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之和DnT，w+C≥50dB</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其他相邻两</w:t>
            </w:r>
            <w:r>
              <w:rPr>
                <w:rFonts w:hint="default" w:ascii="Times New Roman" w:hAnsi="Times New Roman" w:cs="Times New Roman" w:eastAsiaTheme="minorEastAsia"/>
                <w:color w:val="000000" w:themeColor="text1"/>
                <w:spacing w:val="5"/>
                <w:sz w:val="21"/>
                <w:szCs w:val="21"/>
                <w:u w:val="none"/>
                <w:lang w:eastAsia="zh-CN"/>
                <w14:textFill>
                  <w14:solidFill>
                    <w14:schemeClr w14:val="tx1"/>
                  </w14:solidFill>
                </w14:textFill>
              </w:rPr>
              <w:t>户房间之间</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w:t>
            </w:r>
          </w:p>
        </w:tc>
        <w:tc>
          <w:tcPr>
            <w:tcW w:w="788" w:type="dxa"/>
            <w:vAlign w:val="center"/>
          </w:tcPr>
          <w:p w14:paraId="122D8848">
            <w:pPr>
              <w:spacing w:line="360" w:lineRule="auto"/>
              <w:jc w:val="center"/>
              <w:rPr>
                <w:rFonts w:hint="default" w:ascii="Times New Roman" w:hAnsi="Times New Roman" w:cs="Times New Roman"/>
                <w:bCs/>
                <w:color w:val="000000" w:themeColor="text1"/>
                <w:spacing w:val="-6"/>
                <w:u w:val="none"/>
                <w14:textFill>
                  <w14:solidFill>
                    <w14:schemeClr w14:val="tx1"/>
                  </w14:solidFill>
                </w14:textFill>
              </w:rPr>
            </w:pPr>
            <w:r>
              <w:rPr>
                <w:rFonts w:hint="default" w:ascii="Times New Roman" w:hAnsi="Times New Roman" w:cs="Times New Roman"/>
                <w:bCs/>
                <w:color w:val="000000" w:themeColor="text1"/>
                <w:spacing w:val="-6"/>
                <w:u w:val="none"/>
                <w14:textFill>
                  <w14:solidFill>
                    <w14:schemeClr w14:val="tx1"/>
                  </w14:solidFill>
                </w14:textFill>
              </w:rPr>
              <w:t>2</w:t>
            </w:r>
          </w:p>
        </w:tc>
      </w:tr>
      <w:tr w14:paraId="6F65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5EE0EAEB">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p>
        </w:tc>
        <w:tc>
          <w:tcPr>
            <w:tcW w:w="1418" w:type="dxa"/>
            <w:vMerge w:val="continue"/>
            <w:vAlign w:val="center"/>
          </w:tcPr>
          <w:p w14:paraId="38085E22">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p>
        </w:tc>
        <w:tc>
          <w:tcPr>
            <w:tcW w:w="1276" w:type="dxa"/>
            <w:vAlign w:val="center"/>
          </w:tcPr>
          <w:p w14:paraId="18F97D6B">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2"/>
                <w:szCs w:val="21"/>
                <w:u w:val="none"/>
                <w14:textFill>
                  <w14:solidFill>
                    <w14:schemeClr w14:val="tx1"/>
                  </w14:solidFill>
                </w14:textFill>
              </w:rPr>
              <w:t>楼板上下</w:t>
            </w:r>
            <w:r>
              <w:rPr>
                <w:rFonts w:hint="default" w:ascii="Times New Roman" w:hAnsi="Times New Roman" w:cs="Times New Roman"/>
                <w:color w:val="000000" w:themeColor="text1"/>
                <w:spacing w:val="4"/>
                <w:szCs w:val="21"/>
                <w:u w:val="none"/>
                <w14:textFill>
                  <w14:solidFill>
                    <w14:schemeClr w14:val="tx1"/>
                  </w14:solidFill>
                </w14:textFill>
              </w:rPr>
              <w:t>房间之间</w:t>
            </w:r>
          </w:p>
        </w:tc>
        <w:tc>
          <w:tcPr>
            <w:tcW w:w="3685" w:type="dxa"/>
            <w:vMerge w:val="continue"/>
            <w:vAlign w:val="center"/>
          </w:tcPr>
          <w:p w14:paraId="47BAEB00">
            <w:pPr>
              <w:spacing w:line="360" w:lineRule="auto"/>
              <w:rPr>
                <w:rFonts w:hint="default" w:ascii="Times New Roman" w:hAnsi="Times New Roman" w:cs="Times New Roman"/>
                <w:b/>
                <w:bCs/>
                <w:color w:val="000000" w:themeColor="text1"/>
                <w:spacing w:val="-6"/>
                <w:u w:val="none"/>
                <w14:textFill>
                  <w14:solidFill>
                    <w14:schemeClr w14:val="tx1"/>
                  </w14:solidFill>
                </w14:textFill>
              </w:rPr>
            </w:pPr>
          </w:p>
        </w:tc>
        <w:tc>
          <w:tcPr>
            <w:tcW w:w="788" w:type="dxa"/>
            <w:vAlign w:val="center"/>
          </w:tcPr>
          <w:p w14:paraId="0FE8C145">
            <w:pPr>
              <w:spacing w:line="360" w:lineRule="auto"/>
              <w:jc w:val="center"/>
              <w:rPr>
                <w:rFonts w:hint="default" w:ascii="Times New Roman" w:hAnsi="Times New Roman" w:cs="Times New Roman"/>
                <w:bCs/>
                <w:color w:val="000000" w:themeColor="text1"/>
                <w:spacing w:val="-6"/>
                <w:u w:val="none"/>
                <w14:textFill>
                  <w14:solidFill>
                    <w14:schemeClr w14:val="tx1"/>
                  </w14:solidFill>
                </w14:textFill>
              </w:rPr>
            </w:pPr>
            <w:r>
              <w:rPr>
                <w:rFonts w:hint="default" w:ascii="Times New Roman" w:hAnsi="Times New Roman" w:cs="Times New Roman"/>
                <w:bCs/>
                <w:color w:val="000000" w:themeColor="text1"/>
                <w:spacing w:val="-6"/>
                <w:u w:val="none"/>
                <w14:textFill>
                  <w14:solidFill>
                    <w14:schemeClr w14:val="tx1"/>
                  </w14:solidFill>
                </w14:textFill>
              </w:rPr>
              <w:t>2</w:t>
            </w:r>
          </w:p>
        </w:tc>
      </w:tr>
      <w:tr w14:paraId="7799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349BF168">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p>
        </w:tc>
        <w:tc>
          <w:tcPr>
            <w:tcW w:w="2694" w:type="dxa"/>
            <w:gridSpan w:val="2"/>
            <w:vAlign w:val="center"/>
          </w:tcPr>
          <w:p w14:paraId="620F7CAF">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t>卧室和起居室楼板</w:t>
            </w:r>
            <w:r>
              <w:rPr>
                <w:rFonts w:hint="default" w:ascii="Times New Roman" w:hAnsi="Times New Roman" w:cs="Times New Roman"/>
                <w:color w:val="000000" w:themeColor="text1"/>
                <w:spacing w:val="-1"/>
                <w:szCs w:val="21"/>
                <w:u w:val="none"/>
                <w14:textFill>
                  <w14:solidFill>
                    <w14:schemeClr w14:val="tx1"/>
                  </w14:solidFill>
                </w14:textFill>
              </w:rPr>
              <w:t>撞击声隔声</w:t>
            </w:r>
          </w:p>
        </w:tc>
        <w:tc>
          <w:tcPr>
            <w:tcW w:w="3685" w:type="dxa"/>
            <w:vAlign w:val="center"/>
          </w:tcPr>
          <w:p w14:paraId="3FD53927">
            <w:pPr>
              <w:spacing w:line="360" w:lineRule="auto"/>
              <w:rPr>
                <w:rFonts w:hint="default" w:ascii="Times New Roman" w:hAnsi="Times New Roman" w:cs="Times New Roman" w:eastAsiaTheme="minorEastAsia"/>
                <w:b/>
                <w:bCs/>
                <w:color w:val="000000" w:themeColor="text1"/>
                <w:spacing w:val="-6"/>
                <w:u w:val="none"/>
                <w:lang w:eastAsia="zh-CN"/>
                <w14:textFill>
                  <w14:solidFill>
                    <w14:schemeClr w14:val="tx1"/>
                  </w14:solidFill>
                </w14:textFill>
              </w:rPr>
            </w:pPr>
            <w:r>
              <w:rPr>
                <w:rFonts w:hint="default" w:ascii="Times New Roman" w:hAnsi="Times New Roman" w:cs="Times New Roman"/>
                <w:color w:val="000000" w:themeColor="text1"/>
                <w:spacing w:val="1"/>
                <w:szCs w:val="21"/>
                <w:u w:val="none"/>
                <w14:textFill>
                  <w14:solidFill>
                    <w14:schemeClr w14:val="tx1"/>
                  </w14:solidFill>
                </w14:textFill>
              </w:rPr>
              <w:t>计权标准化撞击声压级</w:t>
            </w:r>
            <w:r>
              <w:rPr>
                <w:rFonts w:hint="default" w:ascii="Times New Roman" w:hAnsi="Times New Roman" w:cs="Times New Roman"/>
                <w:color w:val="000000" w:themeColor="text1"/>
                <w:szCs w:val="21"/>
                <w:u w:val="none"/>
                <w14:textFill>
                  <w14:solidFill>
                    <w14:schemeClr w14:val="tx1"/>
                  </w14:solidFill>
                </w14:textFill>
              </w:rPr>
              <w:t>LiT</w:t>
            </w:r>
            <w:r>
              <w:rPr>
                <w:rFonts w:hint="default" w:ascii="Times New Roman" w:hAnsi="Times New Roman" w:cs="Times New Roman"/>
                <w:color w:val="000000" w:themeColor="text1"/>
                <w:spacing w:val="1"/>
                <w:szCs w:val="21"/>
                <w:u w:val="none"/>
                <w:lang w:eastAsia="zh-CN"/>
                <w14:textFill>
                  <w14:solidFill>
                    <w14:schemeClr w14:val="tx1"/>
                  </w14:solidFill>
                </w14:textFill>
              </w:rPr>
              <w:t>，</w:t>
            </w:r>
            <w:r>
              <w:rPr>
                <w:rFonts w:hint="default" w:ascii="Times New Roman" w:hAnsi="Times New Roman" w:cs="Times New Roman"/>
                <w:color w:val="000000" w:themeColor="text1"/>
                <w:spacing w:val="1"/>
                <w:szCs w:val="21"/>
                <w:u w:val="none"/>
                <w14:textFill>
                  <w14:solidFill>
                    <w14:schemeClr w14:val="tx1"/>
                  </w14:solidFill>
                </w14:textFill>
              </w:rPr>
              <w:t>w≤</w:t>
            </w:r>
            <w:r>
              <w:rPr>
                <w:rFonts w:hint="default" w:ascii="Times New Roman" w:hAnsi="Times New Roman" w:cs="Times New Roman"/>
                <w:color w:val="000000" w:themeColor="text1"/>
                <w:spacing w:val="-1"/>
                <w:szCs w:val="21"/>
                <w:u w:val="none"/>
                <w14:textFill>
                  <w14:solidFill>
                    <w14:schemeClr w14:val="tx1"/>
                  </w14:solidFill>
                </w14:textFill>
              </w:rPr>
              <w:t>60dB</w:t>
            </w:r>
            <w:r>
              <w:rPr>
                <w:rFonts w:hint="default" w:ascii="Times New Roman" w:hAnsi="Times New Roman" w:cs="Times New Roman"/>
                <w:color w:val="000000" w:themeColor="text1"/>
                <w:spacing w:val="-1"/>
                <w:szCs w:val="21"/>
                <w:u w:val="none"/>
                <w:lang w:eastAsia="zh-CN"/>
                <w14:textFill>
                  <w14:solidFill>
                    <w14:schemeClr w14:val="tx1"/>
                  </w14:solidFill>
                </w14:textFill>
              </w:rPr>
              <w:t>（</w:t>
            </w:r>
            <w:r>
              <w:rPr>
                <w:rFonts w:hint="default" w:ascii="Times New Roman" w:hAnsi="Times New Roman" w:cs="Times New Roman"/>
                <w:color w:val="000000" w:themeColor="text1"/>
                <w:spacing w:val="-1"/>
                <w:szCs w:val="21"/>
                <w:u w:val="none"/>
                <w14:textFill>
                  <w14:solidFill>
                    <w14:schemeClr w14:val="tx1"/>
                  </w14:solidFill>
                </w14:textFill>
              </w:rPr>
              <w:t>55dB</w:t>
            </w:r>
            <w:r>
              <w:rPr>
                <w:rFonts w:hint="default" w:ascii="Times New Roman" w:hAnsi="Times New Roman" w:cs="Times New Roman"/>
                <w:color w:val="000000" w:themeColor="text1"/>
                <w:spacing w:val="-1"/>
                <w:szCs w:val="21"/>
                <w:u w:val="none"/>
                <w:lang w:eastAsia="zh-CN"/>
                <w14:textFill>
                  <w14:solidFill>
                    <w14:schemeClr w14:val="tx1"/>
                  </w14:solidFill>
                </w14:textFill>
              </w:rPr>
              <w:t>）</w:t>
            </w:r>
          </w:p>
        </w:tc>
        <w:tc>
          <w:tcPr>
            <w:tcW w:w="788" w:type="dxa"/>
            <w:vAlign w:val="center"/>
          </w:tcPr>
          <w:p w14:paraId="02311B68">
            <w:pPr>
              <w:spacing w:line="360" w:lineRule="auto"/>
              <w:jc w:val="center"/>
              <w:rPr>
                <w:rFonts w:hint="default" w:ascii="Times New Roman" w:hAnsi="Times New Roman" w:cs="Times New Roman" w:eastAsiaTheme="minorEastAsia"/>
                <w:bCs/>
                <w:color w:val="000000" w:themeColor="text1"/>
                <w:spacing w:val="-6"/>
                <w:u w:val="none"/>
                <w:lang w:eastAsia="zh-CN"/>
                <w14:textFill>
                  <w14:solidFill>
                    <w14:schemeClr w14:val="tx1"/>
                  </w14:solidFill>
                </w14:textFill>
              </w:rPr>
            </w:pPr>
            <w:r>
              <w:rPr>
                <w:rFonts w:hint="default" w:ascii="Times New Roman" w:hAnsi="Times New Roman" w:cs="Times New Roman"/>
                <w:color w:val="000000" w:themeColor="text1"/>
                <w:spacing w:val="-2"/>
                <w:szCs w:val="21"/>
                <w:u w:val="none"/>
                <w14:textFill>
                  <w14:solidFill>
                    <w14:schemeClr w14:val="tx1"/>
                  </w14:solidFill>
                </w14:textFill>
              </w:rPr>
              <w:t>2</w:t>
            </w:r>
            <w:r>
              <w:rPr>
                <w:rFonts w:hint="default" w:ascii="Times New Roman" w:hAnsi="Times New Roman" w:cs="Times New Roman"/>
                <w:color w:val="000000" w:themeColor="text1"/>
                <w:spacing w:val="-2"/>
                <w:szCs w:val="21"/>
                <w:u w:val="none"/>
                <w:lang w:eastAsia="zh-CN"/>
                <w14:textFill>
                  <w14:solidFill>
                    <w14:schemeClr w14:val="tx1"/>
                  </w14:solidFill>
                </w14:textFill>
              </w:rPr>
              <w:t>（</w:t>
            </w:r>
            <w:r>
              <w:rPr>
                <w:rFonts w:hint="default" w:ascii="Times New Roman" w:hAnsi="Times New Roman" w:cs="Times New Roman"/>
                <w:color w:val="000000" w:themeColor="text1"/>
                <w:spacing w:val="-2"/>
                <w:szCs w:val="21"/>
                <w:u w:val="none"/>
                <w14:textFill>
                  <w14:solidFill>
                    <w14:schemeClr w14:val="tx1"/>
                  </w14:solidFill>
                </w14:textFill>
              </w:rPr>
              <w:t>4</w:t>
            </w:r>
            <w:r>
              <w:rPr>
                <w:rFonts w:hint="default" w:ascii="Times New Roman" w:hAnsi="Times New Roman" w:cs="Times New Roman"/>
                <w:color w:val="000000" w:themeColor="text1"/>
                <w:spacing w:val="-2"/>
                <w:szCs w:val="21"/>
                <w:u w:val="none"/>
                <w:lang w:eastAsia="zh-CN"/>
                <w14:textFill>
                  <w14:solidFill>
                    <w14:schemeClr w14:val="tx1"/>
                  </w14:solidFill>
                </w14:textFill>
              </w:rPr>
              <w:t>）</w:t>
            </w:r>
          </w:p>
        </w:tc>
      </w:tr>
      <w:tr w14:paraId="383D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395C6A39">
            <w:pPr>
              <w:spacing w:line="360" w:lineRule="auto"/>
              <w:jc w:val="center"/>
              <w:rPr>
                <w:rFonts w:hint="default" w:ascii="Times New Roman" w:hAnsi="Times New Roman" w:cs="Times New Roman"/>
                <w:bCs/>
                <w:color w:val="000000" w:themeColor="text1"/>
                <w:spacing w:val="-6"/>
                <w:u w:val="none"/>
                <w14:textFill>
                  <w14:solidFill>
                    <w14:schemeClr w14:val="tx1"/>
                  </w14:solidFill>
                </w14:textFill>
              </w:rPr>
            </w:pPr>
            <w:r>
              <w:rPr>
                <w:rFonts w:hint="default" w:ascii="Times New Roman" w:hAnsi="Times New Roman" w:cs="Times New Roman"/>
                <w:bCs/>
                <w:color w:val="000000" w:themeColor="text1"/>
                <w:spacing w:val="-6"/>
                <w:u w:val="none"/>
                <w14:textFill>
                  <w14:solidFill>
                    <w14:schemeClr w14:val="tx1"/>
                  </w14:solidFill>
                </w14:textFill>
              </w:rPr>
              <w:t>公共建筑</w:t>
            </w:r>
          </w:p>
        </w:tc>
        <w:tc>
          <w:tcPr>
            <w:tcW w:w="2694" w:type="dxa"/>
            <w:gridSpan w:val="2"/>
            <w:vAlign w:val="center"/>
          </w:tcPr>
          <w:p w14:paraId="3AB330F6">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2"/>
                <w:szCs w:val="21"/>
                <w:u w:val="none"/>
                <w14:textFill>
                  <w14:solidFill>
                    <w14:schemeClr w14:val="tx1"/>
                  </w14:solidFill>
                </w14:textFill>
              </w:rPr>
              <w:t>外围护结构</w:t>
            </w:r>
          </w:p>
        </w:tc>
        <w:tc>
          <w:tcPr>
            <w:tcW w:w="3685" w:type="dxa"/>
            <w:vAlign w:val="center"/>
          </w:tcPr>
          <w:p w14:paraId="50FF0F63">
            <w:pPr>
              <w:spacing w:line="360" w:lineRule="auto"/>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1"/>
                <w:szCs w:val="21"/>
                <w:u w:val="none"/>
                <w14:textFill>
                  <w14:solidFill>
                    <w14:schemeClr w14:val="tx1"/>
                  </w14:solidFill>
                </w14:textFill>
              </w:rPr>
              <w:t>计权标准化声压级差与交通噪声</w:t>
            </w:r>
            <w:r>
              <w:rPr>
                <w:rFonts w:hint="default" w:ascii="Times New Roman" w:hAnsi="Times New Roman" w:cs="Times New Roman"/>
                <w:color w:val="000000" w:themeColor="text1"/>
                <w:spacing w:val="28"/>
                <w:szCs w:val="21"/>
                <w:u w:val="none"/>
                <w14:textFill>
                  <w14:solidFill>
                    <w14:schemeClr w14:val="tx1"/>
                  </w14:solidFill>
                </w14:textFill>
              </w:rPr>
              <w:t>频谱修正量之和D2m</w:t>
            </w:r>
            <w:r>
              <w:rPr>
                <w:rFonts w:hint="default" w:ascii="Times New Roman" w:hAnsi="Times New Roman" w:cs="Times New Roman"/>
                <w:color w:val="000000" w:themeColor="text1"/>
                <w:spacing w:val="28"/>
                <w:szCs w:val="21"/>
                <w:u w:val="none"/>
                <w:lang w:eastAsia="zh-CN"/>
                <w14:textFill>
                  <w14:solidFill>
                    <w14:schemeClr w14:val="tx1"/>
                  </w14:solidFill>
                </w14:textFill>
              </w:rPr>
              <w:t>，</w:t>
            </w:r>
            <w:r>
              <w:rPr>
                <w:rFonts w:hint="default" w:ascii="Times New Roman" w:hAnsi="Times New Roman" w:cs="Times New Roman"/>
                <w:color w:val="000000" w:themeColor="text1"/>
                <w:spacing w:val="-41"/>
                <w:szCs w:val="21"/>
                <w:u w:val="none"/>
                <w14:textFill>
                  <w14:solidFill>
                    <w14:schemeClr w14:val="tx1"/>
                  </w14:solidFill>
                </w14:textFill>
              </w:rPr>
              <w:t xml:space="preserve"> </w:t>
            </w:r>
            <w:r>
              <w:rPr>
                <w:rFonts w:hint="default" w:ascii="Times New Roman" w:hAnsi="Times New Roman" w:cs="Times New Roman"/>
                <w:color w:val="000000" w:themeColor="text1"/>
                <w:szCs w:val="21"/>
                <w:u w:val="none"/>
                <w14:textFill>
                  <w14:solidFill>
                    <w14:schemeClr w14:val="tx1"/>
                  </w14:solidFill>
                </w14:textFill>
              </w:rPr>
              <w:t>nT</w:t>
            </w:r>
            <w:r>
              <w:rPr>
                <w:rFonts w:hint="default" w:ascii="Times New Roman" w:hAnsi="Times New Roman" w:cs="Times New Roman"/>
                <w:color w:val="000000" w:themeColor="text1"/>
                <w:spacing w:val="28"/>
                <w:szCs w:val="21"/>
                <w:u w:val="none"/>
                <w:lang w:eastAsia="zh-CN"/>
                <w14:textFill>
                  <w14:solidFill>
                    <w14:schemeClr w14:val="tx1"/>
                  </w14:solidFill>
                </w14:textFill>
              </w:rPr>
              <w:t>，</w:t>
            </w:r>
            <w:r>
              <w:rPr>
                <w:rFonts w:hint="default" w:ascii="Times New Roman" w:hAnsi="Times New Roman" w:cs="Times New Roman"/>
                <w:color w:val="000000" w:themeColor="text1"/>
                <w:spacing w:val="28"/>
                <w:szCs w:val="21"/>
                <w:u w:val="none"/>
                <w14:textFill>
                  <w14:solidFill>
                    <w14:schemeClr w14:val="tx1"/>
                  </w14:solidFill>
                </w14:textFill>
              </w:rPr>
              <w:t>w+C</w:t>
            </w:r>
            <w:r>
              <w:rPr>
                <w:rFonts w:hint="default" w:ascii="Times New Roman" w:hAnsi="Times New Roman" w:cs="Times New Roman"/>
                <w:color w:val="000000" w:themeColor="text1"/>
                <w:spacing w:val="-7"/>
                <w:szCs w:val="21"/>
                <w:u w:val="none"/>
                <w14:textFill>
                  <w14:solidFill>
                    <w14:schemeClr w14:val="tx1"/>
                  </w14:solidFill>
                </w14:textFill>
              </w:rPr>
              <w:t>≥</w:t>
            </w:r>
            <w:r>
              <w:rPr>
                <w:rFonts w:hint="default" w:ascii="Times New Roman" w:hAnsi="Times New Roman" w:cs="Times New Roman"/>
                <w:color w:val="000000" w:themeColor="text1"/>
                <w:spacing w:val="-69"/>
                <w:szCs w:val="21"/>
                <w:u w:val="none"/>
                <w14:textFill>
                  <w14:solidFill>
                    <w14:schemeClr w14:val="tx1"/>
                  </w14:solidFill>
                </w14:textFill>
              </w:rPr>
              <w:t xml:space="preserve"> </w:t>
            </w:r>
            <w:r>
              <w:rPr>
                <w:rFonts w:hint="default" w:ascii="Times New Roman" w:hAnsi="Times New Roman" w:cs="Times New Roman"/>
                <w:color w:val="000000" w:themeColor="text1"/>
                <w:spacing w:val="-75"/>
                <w:szCs w:val="21"/>
                <w:u w:val="none"/>
                <w14:textFill>
                  <w14:solidFill>
                    <w14:schemeClr w14:val="tx1"/>
                  </w14:solidFill>
                </w14:textFill>
              </w:rPr>
              <w:t xml:space="preserve"> </w:t>
            </w:r>
            <w:r>
              <w:rPr>
                <w:rFonts w:hint="default" w:ascii="Times New Roman" w:hAnsi="Times New Roman" w:cs="Times New Roman"/>
                <w:color w:val="000000" w:themeColor="text1"/>
                <w:spacing w:val="-7"/>
                <w:szCs w:val="21"/>
                <w:u w:val="none"/>
                <w14:textFill>
                  <w14:solidFill>
                    <w14:schemeClr w14:val="tx1"/>
                  </w14:solidFill>
                </w14:textFill>
              </w:rPr>
              <w:t>30dB</w:t>
            </w:r>
          </w:p>
        </w:tc>
        <w:tc>
          <w:tcPr>
            <w:tcW w:w="788" w:type="dxa"/>
            <w:vAlign w:val="center"/>
          </w:tcPr>
          <w:p w14:paraId="00220D6B">
            <w:pPr>
              <w:spacing w:line="360" w:lineRule="auto"/>
              <w:jc w:val="center"/>
              <w:rPr>
                <w:rFonts w:hint="default" w:ascii="Times New Roman" w:hAnsi="Times New Roman" w:cs="Times New Roman"/>
                <w:bCs/>
                <w:color w:val="000000" w:themeColor="text1"/>
                <w:spacing w:val="-6"/>
                <w:u w:val="none"/>
                <w14:textFill>
                  <w14:solidFill>
                    <w14:schemeClr w14:val="tx1"/>
                  </w14:solidFill>
                </w14:textFill>
              </w:rPr>
            </w:pPr>
            <w:r>
              <w:rPr>
                <w:rFonts w:hint="default" w:ascii="Times New Roman" w:hAnsi="Times New Roman" w:cs="Times New Roman"/>
                <w:bCs/>
                <w:color w:val="000000" w:themeColor="text1"/>
                <w:spacing w:val="-6"/>
                <w:u w:val="none"/>
                <w14:textFill>
                  <w14:solidFill>
                    <w14:schemeClr w14:val="tx1"/>
                  </w14:solidFill>
                </w14:textFill>
              </w:rPr>
              <w:t>2</w:t>
            </w:r>
          </w:p>
        </w:tc>
      </w:tr>
      <w:tr w14:paraId="372E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07BF23F5">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p>
        </w:tc>
        <w:tc>
          <w:tcPr>
            <w:tcW w:w="1418" w:type="dxa"/>
            <w:vMerge w:val="restart"/>
            <w:vAlign w:val="center"/>
          </w:tcPr>
          <w:p w14:paraId="19E37EA7">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房间之间</w:t>
            </w: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空气声</w:t>
            </w: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隔声</w:t>
            </w:r>
          </w:p>
          <w:p w14:paraId="36C4A78B">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p>
        </w:tc>
        <w:tc>
          <w:tcPr>
            <w:tcW w:w="1276" w:type="dxa"/>
            <w:vAlign w:val="center"/>
          </w:tcPr>
          <w:p w14:paraId="4D29B4B5">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2"/>
                <w:szCs w:val="21"/>
                <w:u w:val="none"/>
                <w14:textFill>
                  <w14:solidFill>
                    <w14:schemeClr w14:val="tx1"/>
                  </w14:solidFill>
                </w14:textFill>
              </w:rPr>
              <w:t xml:space="preserve">隔墙两侧 </w:t>
            </w:r>
            <w:r>
              <w:rPr>
                <w:rFonts w:hint="default" w:ascii="Times New Roman" w:hAnsi="Times New Roman" w:cs="Times New Roman"/>
                <w:color w:val="000000" w:themeColor="text1"/>
                <w:spacing w:val="4"/>
                <w:szCs w:val="21"/>
                <w:u w:val="none"/>
                <w14:textFill>
                  <w14:solidFill>
                    <w14:schemeClr w14:val="tx1"/>
                  </w14:solidFill>
                </w14:textFill>
              </w:rPr>
              <w:t>房间之间</w:t>
            </w:r>
          </w:p>
        </w:tc>
        <w:tc>
          <w:tcPr>
            <w:tcW w:w="3685" w:type="dxa"/>
            <w:vMerge w:val="restart"/>
            <w:vAlign w:val="center"/>
          </w:tcPr>
          <w:p w14:paraId="0B55C793">
            <w:pPr>
              <w:spacing w:line="360" w:lineRule="auto"/>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t>比国家民用建筑隔声设计标准规</w:t>
            </w:r>
            <w:r>
              <w:rPr>
                <w:rFonts w:hint="default" w:ascii="Times New Roman" w:hAnsi="Times New Roman" w:cs="Times New Roman"/>
                <w:color w:val="000000" w:themeColor="text1"/>
                <w:spacing w:val="-1"/>
                <w:szCs w:val="21"/>
                <w:u w:val="none"/>
                <w14:textFill>
                  <w14:solidFill>
                    <w14:schemeClr w14:val="tx1"/>
                  </w14:solidFill>
                </w14:textFill>
              </w:rPr>
              <w:t>定限值高3dB及以上</w:t>
            </w:r>
          </w:p>
        </w:tc>
        <w:tc>
          <w:tcPr>
            <w:tcW w:w="788" w:type="dxa"/>
            <w:vAlign w:val="center"/>
          </w:tcPr>
          <w:p w14:paraId="1E110C05">
            <w:pPr>
              <w:spacing w:line="360" w:lineRule="auto"/>
              <w:jc w:val="center"/>
              <w:rPr>
                <w:rFonts w:hint="default" w:ascii="Times New Roman" w:hAnsi="Times New Roman" w:cs="Times New Roman"/>
                <w:bCs/>
                <w:color w:val="000000" w:themeColor="text1"/>
                <w:spacing w:val="-6"/>
                <w:u w:val="none"/>
                <w14:textFill>
                  <w14:solidFill>
                    <w14:schemeClr w14:val="tx1"/>
                  </w14:solidFill>
                </w14:textFill>
              </w:rPr>
            </w:pPr>
            <w:r>
              <w:rPr>
                <w:rFonts w:hint="default" w:ascii="Times New Roman" w:hAnsi="Times New Roman" w:cs="Times New Roman"/>
                <w:bCs/>
                <w:color w:val="000000" w:themeColor="text1"/>
                <w:spacing w:val="-6"/>
                <w:u w:val="none"/>
                <w14:textFill>
                  <w14:solidFill>
                    <w14:schemeClr w14:val="tx1"/>
                  </w14:solidFill>
                </w14:textFill>
              </w:rPr>
              <w:t>2</w:t>
            </w:r>
          </w:p>
        </w:tc>
      </w:tr>
      <w:tr w14:paraId="4E73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3B423560">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p>
        </w:tc>
        <w:tc>
          <w:tcPr>
            <w:tcW w:w="1418" w:type="dxa"/>
            <w:vMerge w:val="continue"/>
            <w:vAlign w:val="center"/>
          </w:tcPr>
          <w:p w14:paraId="095F5D6D">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p>
        </w:tc>
        <w:tc>
          <w:tcPr>
            <w:tcW w:w="1276" w:type="dxa"/>
            <w:vAlign w:val="center"/>
          </w:tcPr>
          <w:p w14:paraId="38335452">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2"/>
                <w:szCs w:val="21"/>
                <w:u w:val="none"/>
                <w14:textFill>
                  <w14:solidFill>
                    <w14:schemeClr w14:val="tx1"/>
                  </w14:solidFill>
                </w14:textFill>
              </w:rPr>
              <w:t>楼板两侧</w:t>
            </w:r>
            <w:r>
              <w:rPr>
                <w:rFonts w:hint="default" w:ascii="Times New Roman" w:hAnsi="Times New Roman" w:cs="Times New Roman"/>
                <w:color w:val="000000" w:themeColor="text1"/>
                <w:spacing w:val="1"/>
                <w:szCs w:val="21"/>
                <w:u w:val="none"/>
                <w14:textFill>
                  <w14:solidFill>
                    <w14:schemeClr w14:val="tx1"/>
                  </w14:solidFill>
                </w14:textFill>
              </w:rPr>
              <w:t xml:space="preserve"> </w:t>
            </w:r>
            <w:r>
              <w:rPr>
                <w:rFonts w:hint="default" w:ascii="Times New Roman" w:hAnsi="Times New Roman" w:cs="Times New Roman"/>
                <w:color w:val="000000" w:themeColor="text1"/>
                <w:spacing w:val="4"/>
                <w:szCs w:val="21"/>
                <w:u w:val="none"/>
                <w14:textFill>
                  <w14:solidFill>
                    <w14:schemeClr w14:val="tx1"/>
                  </w14:solidFill>
                </w14:textFill>
              </w:rPr>
              <w:t>房间之间</w:t>
            </w:r>
          </w:p>
        </w:tc>
        <w:tc>
          <w:tcPr>
            <w:tcW w:w="3685" w:type="dxa"/>
            <w:vMerge w:val="continue"/>
            <w:vAlign w:val="center"/>
          </w:tcPr>
          <w:p w14:paraId="6BC21D5B">
            <w:pPr>
              <w:spacing w:line="360" w:lineRule="auto"/>
              <w:rPr>
                <w:rFonts w:hint="default" w:ascii="Times New Roman" w:hAnsi="Times New Roman" w:cs="Times New Roman"/>
                <w:b/>
                <w:bCs/>
                <w:color w:val="000000" w:themeColor="text1"/>
                <w:spacing w:val="-6"/>
                <w:u w:val="none"/>
                <w14:textFill>
                  <w14:solidFill>
                    <w14:schemeClr w14:val="tx1"/>
                  </w14:solidFill>
                </w14:textFill>
              </w:rPr>
            </w:pPr>
          </w:p>
        </w:tc>
        <w:tc>
          <w:tcPr>
            <w:tcW w:w="788" w:type="dxa"/>
            <w:vAlign w:val="center"/>
          </w:tcPr>
          <w:p w14:paraId="08358BA6">
            <w:pPr>
              <w:spacing w:line="360" w:lineRule="auto"/>
              <w:jc w:val="center"/>
              <w:rPr>
                <w:rFonts w:hint="default" w:ascii="Times New Roman" w:hAnsi="Times New Roman" w:cs="Times New Roman"/>
                <w:bCs/>
                <w:color w:val="000000" w:themeColor="text1"/>
                <w:spacing w:val="-6"/>
                <w:u w:val="none"/>
                <w14:textFill>
                  <w14:solidFill>
                    <w14:schemeClr w14:val="tx1"/>
                  </w14:solidFill>
                </w14:textFill>
              </w:rPr>
            </w:pPr>
            <w:r>
              <w:rPr>
                <w:rFonts w:hint="default" w:ascii="Times New Roman" w:hAnsi="Times New Roman" w:cs="Times New Roman"/>
                <w:bCs/>
                <w:color w:val="000000" w:themeColor="text1"/>
                <w:spacing w:val="-6"/>
                <w:u w:val="none"/>
                <w14:textFill>
                  <w14:solidFill>
                    <w14:schemeClr w14:val="tx1"/>
                  </w14:solidFill>
                </w14:textFill>
              </w:rPr>
              <w:t>2</w:t>
            </w:r>
          </w:p>
        </w:tc>
      </w:tr>
      <w:tr w14:paraId="66CA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50BC5C41">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p>
        </w:tc>
        <w:tc>
          <w:tcPr>
            <w:tcW w:w="2694" w:type="dxa"/>
            <w:gridSpan w:val="2"/>
            <w:vAlign w:val="center"/>
          </w:tcPr>
          <w:p w14:paraId="2AA19003">
            <w:pPr>
              <w:spacing w:line="360" w:lineRule="auto"/>
              <w:jc w:val="center"/>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pacing w:val="-1"/>
                <w:szCs w:val="21"/>
                <w:u w:val="none"/>
                <w14:textFill>
                  <w14:solidFill>
                    <w14:schemeClr w14:val="tx1"/>
                  </w14:solidFill>
                </w14:textFill>
              </w:rPr>
              <w:t>楼板撞击声隔声</w:t>
            </w:r>
          </w:p>
        </w:tc>
        <w:tc>
          <w:tcPr>
            <w:tcW w:w="3685" w:type="dxa"/>
            <w:vAlign w:val="center"/>
          </w:tcPr>
          <w:p w14:paraId="19CFA39F">
            <w:pPr>
              <w:spacing w:line="360" w:lineRule="auto"/>
              <w:rPr>
                <w:rFonts w:hint="default" w:ascii="Times New Roman" w:hAnsi="Times New Roman" w:cs="Times New Roman"/>
                <w:b/>
                <w:bCs/>
                <w:color w:val="000000" w:themeColor="text1"/>
                <w:spacing w:val="-6"/>
                <w:u w:val="none"/>
                <w14:textFill>
                  <w14:solidFill>
                    <w14:schemeClr w14:val="tx1"/>
                  </w14:solidFill>
                </w14:textFill>
              </w:rPr>
            </w:pPr>
            <w:r>
              <w:rPr>
                <w:rFonts w:hint="default" w:ascii="Times New Roman" w:hAnsi="Times New Roman" w:cs="Times New Roman"/>
                <w:color w:val="000000" w:themeColor="text1"/>
                <w:szCs w:val="21"/>
                <w:u w:val="none"/>
                <w14:textFill>
                  <w14:solidFill>
                    <w14:schemeClr w14:val="tx1"/>
                  </w14:solidFill>
                </w14:textFill>
              </w:rPr>
              <w:t>比国家民用建筑隔声设计标准规</w:t>
            </w:r>
            <w:r>
              <w:rPr>
                <w:rFonts w:hint="default" w:ascii="Times New Roman" w:hAnsi="Times New Roman" w:cs="Times New Roman"/>
                <w:color w:val="000000" w:themeColor="text1"/>
                <w:spacing w:val="6"/>
                <w:szCs w:val="21"/>
                <w:u w:val="none"/>
                <w14:textFill>
                  <w14:solidFill>
                    <w14:schemeClr w14:val="tx1"/>
                  </w14:solidFill>
                </w14:textFill>
              </w:rPr>
              <w:t xml:space="preserve"> </w:t>
            </w:r>
            <w:r>
              <w:rPr>
                <w:rFonts w:hint="default" w:ascii="Times New Roman" w:hAnsi="Times New Roman" w:cs="Times New Roman"/>
                <w:color w:val="000000" w:themeColor="text1"/>
                <w:spacing w:val="-1"/>
                <w:szCs w:val="21"/>
                <w:u w:val="none"/>
                <w14:textFill>
                  <w14:solidFill>
                    <w14:schemeClr w14:val="tx1"/>
                  </w14:solidFill>
                </w14:textFill>
              </w:rPr>
              <w:t>定限值低5dB</w:t>
            </w:r>
            <w:r>
              <w:rPr>
                <w:rFonts w:hint="default" w:ascii="Times New Roman" w:hAnsi="Times New Roman" w:cs="Times New Roman"/>
                <w:color w:val="000000" w:themeColor="text1"/>
                <w:spacing w:val="-1"/>
                <w:szCs w:val="21"/>
                <w:u w:val="none"/>
                <w:lang w:eastAsia="zh-CN"/>
                <w14:textFill>
                  <w14:solidFill>
                    <w14:schemeClr w14:val="tx1"/>
                  </w14:solidFill>
                </w14:textFill>
              </w:rPr>
              <w:t>（</w:t>
            </w:r>
            <w:r>
              <w:rPr>
                <w:rFonts w:hint="default" w:ascii="Times New Roman" w:hAnsi="Times New Roman" w:cs="Times New Roman"/>
                <w:color w:val="000000" w:themeColor="text1"/>
                <w:spacing w:val="-1"/>
                <w:szCs w:val="21"/>
                <w:u w:val="none"/>
                <w14:textFill>
                  <w14:solidFill>
                    <w14:schemeClr w14:val="tx1"/>
                  </w14:solidFill>
                </w14:textFill>
              </w:rPr>
              <w:t>10dB</w:t>
            </w:r>
            <w:r>
              <w:rPr>
                <w:rFonts w:hint="default" w:ascii="Times New Roman" w:hAnsi="Times New Roman" w:cs="Times New Roman"/>
                <w:color w:val="000000" w:themeColor="text1"/>
                <w:spacing w:val="-1"/>
                <w:szCs w:val="21"/>
                <w:u w:val="none"/>
                <w:lang w:eastAsia="zh-CN"/>
                <w14:textFill>
                  <w14:solidFill>
                    <w14:schemeClr w14:val="tx1"/>
                  </w14:solidFill>
                </w14:textFill>
              </w:rPr>
              <w:t>）</w:t>
            </w:r>
            <w:r>
              <w:rPr>
                <w:rFonts w:hint="default" w:ascii="Times New Roman" w:hAnsi="Times New Roman" w:cs="Times New Roman"/>
                <w:color w:val="000000" w:themeColor="text1"/>
                <w:spacing w:val="-1"/>
                <w:szCs w:val="21"/>
                <w:u w:val="none"/>
                <w14:textFill>
                  <w14:solidFill>
                    <w14:schemeClr w14:val="tx1"/>
                  </w14:solidFill>
                </w14:textFill>
              </w:rPr>
              <w:t>及以上</w:t>
            </w:r>
          </w:p>
        </w:tc>
        <w:tc>
          <w:tcPr>
            <w:tcW w:w="788" w:type="dxa"/>
            <w:vAlign w:val="center"/>
          </w:tcPr>
          <w:p w14:paraId="5342F63D">
            <w:pPr>
              <w:spacing w:line="360" w:lineRule="auto"/>
              <w:jc w:val="center"/>
              <w:rPr>
                <w:rFonts w:hint="default" w:ascii="Times New Roman" w:hAnsi="Times New Roman" w:cs="Times New Roman" w:eastAsiaTheme="minorEastAsia"/>
                <w:bCs/>
                <w:color w:val="000000" w:themeColor="text1"/>
                <w:spacing w:val="-6"/>
                <w:u w:val="none"/>
                <w:lang w:eastAsia="zh-CN"/>
                <w14:textFill>
                  <w14:solidFill>
                    <w14:schemeClr w14:val="tx1"/>
                  </w14:solidFill>
                </w14:textFill>
              </w:rPr>
            </w:pPr>
            <w:r>
              <w:rPr>
                <w:rFonts w:hint="default" w:ascii="Times New Roman" w:hAnsi="Times New Roman" w:cs="Times New Roman"/>
                <w:color w:val="000000" w:themeColor="text1"/>
                <w:spacing w:val="-2"/>
                <w:szCs w:val="21"/>
                <w:u w:val="none"/>
                <w14:textFill>
                  <w14:solidFill>
                    <w14:schemeClr w14:val="tx1"/>
                  </w14:solidFill>
                </w14:textFill>
              </w:rPr>
              <w:t>2</w:t>
            </w:r>
            <w:r>
              <w:rPr>
                <w:rFonts w:hint="default" w:ascii="Times New Roman" w:hAnsi="Times New Roman" w:cs="Times New Roman"/>
                <w:color w:val="000000" w:themeColor="text1"/>
                <w:spacing w:val="-2"/>
                <w:szCs w:val="21"/>
                <w:u w:val="none"/>
                <w:lang w:eastAsia="zh-CN"/>
                <w14:textFill>
                  <w14:solidFill>
                    <w14:schemeClr w14:val="tx1"/>
                  </w14:solidFill>
                </w14:textFill>
              </w:rPr>
              <w:t>（</w:t>
            </w:r>
            <w:r>
              <w:rPr>
                <w:rFonts w:hint="default" w:ascii="Times New Roman" w:hAnsi="Times New Roman" w:cs="Times New Roman"/>
                <w:color w:val="000000" w:themeColor="text1"/>
                <w:spacing w:val="-2"/>
                <w:szCs w:val="21"/>
                <w:u w:val="none"/>
                <w14:textFill>
                  <w14:solidFill>
                    <w14:schemeClr w14:val="tx1"/>
                  </w14:solidFill>
                </w14:textFill>
              </w:rPr>
              <w:t>4</w:t>
            </w:r>
            <w:r>
              <w:rPr>
                <w:rFonts w:hint="default" w:ascii="Times New Roman" w:hAnsi="Times New Roman" w:cs="Times New Roman"/>
                <w:color w:val="000000" w:themeColor="text1"/>
                <w:spacing w:val="-2"/>
                <w:szCs w:val="21"/>
                <w:u w:val="none"/>
                <w:lang w:eastAsia="zh-CN"/>
                <w14:textFill>
                  <w14:solidFill>
                    <w14:schemeClr w14:val="tx1"/>
                  </w14:solidFill>
                </w14:textFill>
              </w:rPr>
              <w:t>）</w:t>
            </w:r>
          </w:p>
        </w:tc>
      </w:tr>
    </w:tbl>
    <w:p w14:paraId="700A9E94">
      <w:pPr>
        <w:spacing w:before="253" w:line="360" w:lineRule="auto"/>
        <w:ind w:left="15" w:right="32"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5.2.8</w:t>
      </w:r>
      <w:r>
        <w:rPr>
          <w:rFonts w:hint="default" w:ascii="Times New Roman" w:hAnsi="Times New Roman" w:cs="Times New Roman"/>
          <w:color w:val="000000" w:themeColor="text1"/>
          <w:spacing w:val="7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充分利用天然光，评价总分值为12分，并按下列规则</w:t>
      </w:r>
      <w:r>
        <w:rPr>
          <w:rFonts w:hint="default" w:ascii="Times New Roman" w:hAnsi="Times New Roman" w:cs="Times New Roman"/>
          <w:color w:val="000000" w:themeColor="text1"/>
          <w:spacing w:val="-13"/>
          <w:sz w:val="24"/>
          <w:szCs w:val="24"/>
          <w:u w:val="none"/>
          <w14:textFill>
            <w14:solidFill>
              <w14:schemeClr w14:val="tx1"/>
            </w14:solidFill>
          </w14:textFill>
        </w:rPr>
        <w:t>评分：</w:t>
      </w:r>
    </w:p>
    <w:p w14:paraId="4ABF63FE">
      <w:pPr>
        <w:spacing w:before="47" w:line="360" w:lineRule="auto"/>
        <w:ind w:left="15" w:firstLine="43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2"/>
          <w:sz w:val="24"/>
          <w:szCs w:val="24"/>
          <w:u w:val="none"/>
          <w14:textFill>
            <w14:solidFill>
              <w14:schemeClr w14:val="tx1"/>
            </w14:solidFill>
          </w14:textFill>
        </w:rPr>
        <w:t>住宅建筑室内主要功能空间至少60%面积比例区域，其</w:t>
      </w:r>
      <w:r>
        <w:rPr>
          <w:rFonts w:hint="default" w:ascii="Times New Roman" w:hAnsi="Times New Roman" w:cs="Times New Roman"/>
          <w:color w:val="000000" w:themeColor="text1"/>
          <w:spacing w:val="-3"/>
          <w:sz w:val="24"/>
          <w:szCs w:val="24"/>
          <w:u w:val="none"/>
          <w14:textFill>
            <w14:solidFill>
              <w14:schemeClr w14:val="tx1"/>
            </w14:solidFill>
          </w14:textFill>
        </w:rPr>
        <w:t>采光照度值不低于3001x的小时数平均不少于8h/d，得12分。</w:t>
      </w:r>
    </w:p>
    <w:p w14:paraId="014C0B47">
      <w:pPr>
        <w:spacing w:before="81" w:line="360" w:lineRule="auto"/>
        <w:ind w:left="44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11"/>
          <w:sz w:val="24"/>
          <w:szCs w:val="24"/>
          <w:u w:val="none"/>
          <w14:textFill>
            <w14:solidFill>
              <w14:schemeClr w14:val="tx1"/>
            </w14:solidFill>
          </w14:textFill>
        </w:rPr>
        <w:t>公共建筑按下列规则分别评分并累计：</w:t>
      </w:r>
    </w:p>
    <w:p w14:paraId="39BB068D">
      <w:pPr>
        <w:spacing w:before="47" w:line="360" w:lineRule="auto"/>
        <w:ind w:left="15" w:firstLine="430"/>
        <w:rPr>
          <w:rFonts w:hint="default" w:ascii="Times New Roman" w:hAnsi="Times New Roman" w:cs="Times New Roman"/>
          <w:color w:val="000000" w:themeColor="text1"/>
          <w:spacing w:val="-3"/>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内区采光系数满足采光要求的面积比例达到60%，得 4分；</w:t>
      </w:r>
    </w:p>
    <w:p w14:paraId="733D6EE9">
      <w:pPr>
        <w:spacing w:before="47" w:line="360" w:lineRule="auto"/>
        <w:ind w:left="15" w:firstLine="430"/>
        <w:rPr>
          <w:rFonts w:hint="default" w:ascii="Times New Roman" w:hAnsi="Times New Roman" w:cs="Times New Roman"/>
          <w:color w:val="000000" w:themeColor="text1"/>
          <w:spacing w:val="-3"/>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地下空间平均采光系数不小于0.5%的面积与地下室首层面积的比例达到10%以上，得4分；</w:t>
      </w:r>
    </w:p>
    <w:p w14:paraId="3B77D09F">
      <w:pPr>
        <w:spacing w:before="47" w:line="360" w:lineRule="auto"/>
        <w:ind w:left="15" w:firstLine="430"/>
        <w:rPr>
          <w:rFonts w:hint="default" w:ascii="Times New Roman" w:hAnsi="Times New Roman" w:cs="Times New Roman"/>
          <w:color w:val="000000" w:themeColor="text1"/>
          <w:spacing w:val="-3"/>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 xml:space="preserve"> 室内主要功能空间至少60%面积比例区域的采光照度值不低于采光要求的小时数平均不少于4h/d，得 4分。</w:t>
      </w:r>
    </w:p>
    <w:p w14:paraId="174894C3">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49" w:name="_Toc438"/>
      <w:bookmarkStart w:id="50" w:name="_Toc204247717"/>
      <w:r>
        <w:rPr>
          <w:rFonts w:hint="default" w:ascii="Times New Roman" w:hAnsi="Times New Roman" w:cs="Times New Roman"/>
          <w:color w:val="000000" w:themeColor="text1"/>
          <w:sz w:val="24"/>
          <w:szCs w:val="24"/>
          <w:u w:val="none"/>
          <w:lang w:eastAsia="zh-CN"/>
          <w14:textFill>
            <w14:solidFill>
              <w14:schemeClr w14:val="tx1"/>
            </w14:solidFill>
          </w14:textFill>
        </w:rPr>
        <w:t>IV 室内热湿环境</w:t>
      </w:r>
      <w:bookmarkEnd w:id="49"/>
      <w:bookmarkEnd w:id="50"/>
    </w:p>
    <w:p w14:paraId="62AB1B5B">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5.2.9</w:t>
      </w:r>
      <w:r>
        <w:rPr>
          <w:rFonts w:hint="default" w:ascii="Times New Roman" w:hAnsi="Times New Roman" w:cs="Times New Roman"/>
          <w:bCs/>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具有良好的室内热湿环境，评价总分</w:t>
      </w:r>
      <w:r>
        <w:rPr>
          <w:rFonts w:hint="default" w:ascii="Times New Roman" w:hAnsi="Times New Roman" w:cs="Times New Roman"/>
          <w:color w:val="000000" w:themeColor="text1"/>
          <w:spacing w:val="-2"/>
          <w:sz w:val="24"/>
          <w:szCs w:val="24"/>
          <w:u w:val="none"/>
          <w14:textFill>
            <w14:solidFill>
              <w14:schemeClr w14:val="tx1"/>
            </w14:solidFill>
          </w14:textFill>
        </w:rPr>
        <w:t>值为8分，并按下</w:t>
      </w:r>
      <w:r>
        <w:rPr>
          <w:rFonts w:hint="default" w:ascii="Times New Roman" w:hAnsi="Times New Roman" w:cs="Times New Roman"/>
          <w:color w:val="000000" w:themeColor="text1"/>
          <w:spacing w:val="-16"/>
          <w:sz w:val="24"/>
          <w:szCs w:val="24"/>
          <w:u w:val="none"/>
          <w14:textFill>
            <w14:solidFill>
              <w14:schemeClr w14:val="tx1"/>
            </w14:solidFill>
          </w14:textFill>
        </w:rPr>
        <w:t>列规则评分：</w:t>
      </w:r>
    </w:p>
    <w:p w14:paraId="4B993096">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8"/>
          <w:sz w:val="24"/>
          <w:szCs w:val="24"/>
          <w:u w:val="none"/>
          <w14:textFill>
            <w14:solidFill>
              <w14:schemeClr w14:val="tx1"/>
            </w14:solidFill>
          </w14:textFill>
        </w:rPr>
        <w:t>建筑主要功能房间自然通风或复合通风工况下室内热环</w:t>
      </w:r>
      <w:r>
        <w:rPr>
          <w:rFonts w:hint="default" w:ascii="Times New Roman" w:hAnsi="Times New Roman" w:cs="Times New Roman"/>
          <w:color w:val="000000" w:themeColor="text1"/>
          <w:spacing w:val="1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1"/>
          <w:sz w:val="24"/>
          <w:szCs w:val="24"/>
          <w:u w:val="none"/>
          <w14:textFill>
            <w14:solidFill>
              <w14:schemeClr w14:val="tx1"/>
            </w14:solidFill>
          </w14:textFill>
        </w:rPr>
        <w:t>境参数在适应性热舒适区域的时间比例，达到30%</w:t>
      </w:r>
      <w:r>
        <w:rPr>
          <w:rFonts w:hint="default" w:ascii="Times New Roman" w:hAnsi="Times New Roman"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1"/>
          <w:sz w:val="24"/>
          <w:szCs w:val="24"/>
          <w:u w:val="none"/>
          <w14:textFill>
            <w14:solidFill>
              <w14:schemeClr w14:val="tx1"/>
            </w14:solidFill>
          </w14:textFill>
        </w:rPr>
        <w:t>得2分；</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3"/>
          <w:sz w:val="24"/>
          <w:szCs w:val="24"/>
          <w:u w:val="none"/>
          <w14:textFill>
            <w14:solidFill>
              <w14:schemeClr w14:val="tx1"/>
            </w14:solidFill>
          </w14:textFill>
        </w:rPr>
        <w:t>每再增加10%</w:t>
      </w:r>
      <w:r>
        <w:rPr>
          <w:rFonts w:hint="default" w:ascii="Times New Roman" w:hAnsi="Times New Roman" w:cs="Times New Roman"/>
          <w:color w:val="000000" w:themeColor="text1"/>
          <w:spacing w:val="13"/>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3"/>
          <w:sz w:val="24"/>
          <w:szCs w:val="24"/>
          <w:u w:val="none"/>
          <w14:textFill>
            <w14:solidFill>
              <w14:schemeClr w14:val="tx1"/>
            </w14:solidFill>
          </w14:textFill>
        </w:rPr>
        <w:t>再得1分，最高得8分。</w:t>
      </w:r>
    </w:p>
    <w:p w14:paraId="471832F5">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5"/>
          <w:sz w:val="24"/>
          <w:szCs w:val="24"/>
          <w:u w:val="none"/>
          <w14:textFill>
            <w14:solidFill>
              <w14:schemeClr w14:val="tx1"/>
            </w14:solidFill>
          </w14:textFill>
        </w:rPr>
        <w:t>建筑主要功能房间供暖、空调工况下室内热环境参数达到现行国家标准《民用建筑室内热湿环境评价标准》G</w:t>
      </w:r>
      <w:r>
        <w:rPr>
          <w:rFonts w:hint="default" w:ascii="Times New Roman" w:hAnsi="Times New Roman" w:cs="Times New Roman"/>
          <w:color w:val="000000" w:themeColor="text1"/>
          <w:spacing w:val="-16"/>
          <w:sz w:val="24"/>
          <w:szCs w:val="24"/>
          <w:u w:val="none"/>
          <w14:textFill>
            <w14:solidFill>
              <w14:schemeClr w14:val="tx1"/>
            </w14:solidFill>
          </w14:textFill>
        </w:rPr>
        <w:t>B/T 50785规定</w:t>
      </w:r>
      <w:r>
        <w:rPr>
          <w:rFonts w:hint="default" w:ascii="Times New Roman" w:hAnsi="Times New Roman" w:cs="Times New Roman"/>
          <w:color w:val="000000" w:themeColor="text1"/>
          <w:spacing w:val="-10"/>
          <w:sz w:val="24"/>
          <w:szCs w:val="24"/>
          <w:u w:val="none"/>
          <w14:textFill>
            <w14:solidFill>
              <w14:schemeClr w14:val="tx1"/>
            </w14:solidFill>
          </w14:textFill>
        </w:rPr>
        <w:t>的室内人工冷热源热湿环境整体评价</w:t>
      </w:r>
      <w:r>
        <w:rPr>
          <w:rFonts w:hint="default" w:ascii="Times New Roman" w:hAnsi="Times New Roman" w:eastAsia="宋体" w:cs="Times New Roman"/>
          <w:color w:val="000000" w:themeColor="text1"/>
          <w:spacing w:val="-10"/>
          <w:sz w:val="24"/>
          <w:szCs w:val="24"/>
          <w:u w:val="none"/>
          <w14:textFill>
            <w14:solidFill>
              <w14:schemeClr w14:val="tx1"/>
            </w14:solidFill>
          </w14:textFill>
        </w:rPr>
        <w:t>Ⅱ</w:t>
      </w:r>
      <w:r>
        <w:rPr>
          <w:rFonts w:hint="default" w:ascii="Times New Roman" w:hAnsi="Times New Roman" w:cs="Times New Roman"/>
          <w:color w:val="000000" w:themeColor="text1"/>
          <w:spacing w:val="-10"/>
          <w:sz w:val="24"/>
          <w:szCs w:val="24"/>
          <w:u w:val="none"/>
          <w14:textFill>
            <w14:solidFill>
              <w14:schemeClr w14:val="tx1"/>
            </w14:solidFill>
          </w14:textFill>
        </w:rPr>
        <w:t>级的面积比例，达到60%</w:t>
      </w:r>
      <w:r>
        <w:rPr>
          <w:rFonts w:hint="default" w:ascii="Times New Roman" w:hAnsi="Times New Roman" w:cs="Times New Roman"/>
          <w:color w:val="000000" w:themeColor="text1"/>
          <w:spacing w:val="-10"/>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得5分；每再增加10%</w:t>
      </w:r>
      <w:r>
        <w:rPr>
          <w:rFonts w:hint="default" w:ascii="Times New Roman" w:hAnsi="Times New Roman" w:cs="Times New Roman"/>
          <w:color w:val="000000" w:themeColor="text1"/>
          <w:spacing w:val="3"/>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3"/>
          <w:sz w:val="24"/>
          <w:szCs w:val="24"/>
          <w:u w:val="none"/>
          <w14:textFill>
            <w14:solidFill>
              <w14:schemeClr w14:val="tx1"/>
            </w14:solidFill>
          </w14:textFill>
        </w:rPr>
        <w:t>再得1分，最高得8分。</w:t>
      </w:r>
    </w:p>
    <w:p w14:paraId="79BD6F0A">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2"/>
          <w:sz w:val="24"/>
          <w:szCs w:val="24"/>
          <w:u w:val="none"/>
          <w14:textFill>
            <w14:solidFill>
              <w14:schemeClr w14:val="tx1"/>
            </w14:solidFill>
          </w14:textFill>
        </w:rPr>
        <w:t>当建筑主要功能房间部分时段采用自然通风或复合通</w:t>
      </w:r>
      <w:r>
        <w:rPr>
          <w:rFonts w:hint="default" w:ascii="Times New Roman" w:hAnsi="Times New Roman" w:cs="Times New Roman"/>
          <w:color w:val="000000" w:themeColor="text1"/>
          <w:spacing w:val="-3"/>
          <w:sz w:val="24"/>
          <w:szCs w:val="24"/>
          <w:u w:val="none"/>
          <w14:textFill>
            <w14:solidFill>
              <w14:schemeClr w14:val="tx1"/>
            </w14:solidFill>
          </w14:textFill>
        </w:rPr>
        <w:t>风，</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部分时段采用供暖、空调时，按照第1款、第2款分别评分后再</w:t>
      </w:r>
      <w:r>
        <w:rPr>
          <w:rFonts w:hint="default" w:ascii="Times New Roman" w:hAnsi="Times New Roman" w:cs="Times New Roman"/>
          <w:color w:val="000000" w:themeColor="text1"/>
          <w:spacing w:val="-11"/>
          <w:sz w:val="24"/>
          <w:szCs w:val="24"/>
          <w:u w:val="none"/>
          <w14:textFill>
            <w14:solidFill>
              <w14:schemeClr w14:val="tx1"/>
            </w14:solidFill>
          </w14:textFill>
        </w:rPr>
        <w:t>按各工况运行时间加权平均计算作为本条得分。</w:t>
      </w:r>
    </w:p>
    <w:p w14:paraId="7E5A1CF1">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5.2.10</w:t>
      </w:r>
      <w:r>
        <w:rPr>
          <w:rFonts w:hint="default" w:ascii="Times New Roman" w:hAnsi="Times New Roman" w:cs="Times New Roman"/>
          <w:bCs/>
          <w:color w:val="000000" w:themeColor="text1"/>
          <w:spacing w:val="-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优化建筑空间和平面布</w:t>
      </w:r>
      <w:r>
        <w:rPr>
          <w:rFonts w:hint="default" w:ascii="Times New Roman" w:hAnsi="Times New Roman" w:cs="Times New Roman"/>
          <w:color w:val="000000" w:themeColor="text1"/>
          <w:spacing w:val="-8"/>
          <w:sz w:val="24"/>
          <w:szCs w:val="24"/>
          <w:u w:val="none"/>
          <w14:textFill>
            <w14:solidFill>
              <w14:schemeClr w14:val="tx1"/>
            </w14:solidFill>
          </w14:textFill>
        </w:rPr>
        <w:t>局，改善自然通风效果，评价总</w:t>
      </w:r>
      <w:r>
        <w:rPr>
          <w:rFonts w:hint="default" w:ascii="Times New Roman" w:hAnsi="Times New Roman" w:cs="Times New Roman"/>
          <w:color w:val="000000" w:themeColor="text1"/>
          <w:spacing w:val="-6"/>
          <w:sz w:val="24"/>
          <w:szCs w:val="24"/>
          <w:u w:val="none"/>
          <w14:textFill>
            <w14:solidFill>
              <w14:schemeClr w14:val="tx1"/>
            </w14:solidFill>
          </w14:textFill>
        </w:rPr>
        <w:t>分值为8分，并按下列规则评分：</w:t>
      </w:r>
    </w:p>
    <w:p w14:paraId="2AC01130">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住宅建筑：通风开口面积与房间地板面积的比例在夏热</w:t>
      </w:r>
      <w:r>
        <w:rPr>
          <w:rFonts w:hint="default" w:ascii="Times New Roman" w:hAnsi="Times New Roman" w:cs="Times New Roman"/>
          <w:color w:val="000000" w:themeColor="text1"/>
          <w:spacing w:val="13"/>
          <w:sz w:val="24"/>
          <w:szCs w:val="24"/>
          <w:u w:val="none"/>
          <w14:textFill>
            <w14:solidFill>
              <w14:schemeClr w14:val="tx1"/>
            </w14:solidFill>
          </w14:textFill>
        </w:rPr>
        <w:t>冬暖和温和B地区达到12%</w:t>
      </w:r>
      <w:r>
        <w:rPr>
          <w:rFonts w:hint="default" w:ascii="Times New Roman" w:hAnsi="Times New Roman" w:cs="Times New Roman"/>
          <w:color w:val="000000" w:themeColor="text1"/>
          <w:spacing w:val="13"/>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3"/>
          <w:sz w:val="24"/>
          <w:szCs w:val="24"/>
          <w:u w:val="none"/>
          <w14:textFill>
            <w14:solidFill>
              <w14:schemeClr w14:val="tx1"/>
            </w14:solidFill>
          </w14:textFill>
        </w:rPr>
        <w:t>在夏热冬冷和</w:t>
      </w:r>
      <w:r>
        <w:rPr>
          <w:rFonts w:hint="default" w:ascii="Times New Roman" w:hAnsi="Times New Roman" w:cs="Times New Roman"/>
          <w:color w:val="000000" w:themeColor="text1"/>
          <w:spacing w:val="-4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2"/>
          <w:sz w:val="24"/>
          <w:szCs w:val="24"/>
          <w:u w:val="none"/>
          <w14:textFill>
            <w14:solidFill>
              <w14:schemeClr w14:val="tx1"/>
            </w14:solidFill>
          </w14:textFill>
        </w:rPr>
        <w:t>温</w:t>
      </w:r>
      <w:r>
        <w:rPr>
          <w:rFonts w:hint="default" w:ascii="Times New Roman" w:hAnsi="Times New Roman" w:cs="Times New Roman"/>
          <w:color w:val="000000" w:themeColor="text1"/>
          <w:spacing w:val="-4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2"/>
          <w:sz w:val="24"/>
          <w:szCs w:val="24"/>
          <w:u w:val="none"/>
          <w14:textFill>
            <w14:solidFill>
              <w14:schemeClr w14:val="tx1"/>
            </w14:solidFill>
          </w14:textFill>
        </w:rPr>
        <w:t>和</w:t>
      </w:r>
      <w:r>
        <w:rPr>
          <w:rFonts w:hint="default" w:ascii="Times New Roman" w:hAnsi="Times New Roman" w:cs="Times New Roman"/>
          <w:color w:val="000000" w:themeColor="text1"/>
          <w:spacing w:val="-5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2"/>
          <w:sz w:val="24"/>
          <w:szCs w:val="24"/>
          <w:u w:val="none"/>
          <w14:textFill>
            <w14:solidFill>
              <w14:schemeClr w14:val="tx1"/>
            </w14:solidFill>
          </w14:textFill>
        </w:rPr>
        <w:t>A地区达到</w:t>
      </w:r>
      <w:r>
        <w:rPr>
          <w:rFonts w:hint="default" w:ascii="Times New Roman" w:hAnsi="Times New Roman" w:cs="Times New Roman"/>
          <w:color w:val="000000" w:themeColor="text1"/>
          <w:spacing w:val="26"/>
          <w:sz w:val="24"/>
          <w:szCs w:val="24"/>
          <w:u w:val="none"/>
          <w14:textFill>
            <w14:solidFill>
              <w14:schemeClr w14:val="tx1"/>
            </w14:solidFill>
          </w14:textFill>
        </w:rPr>
        <w:t>8%</w:t>
      </w:r>
      <w:r>
        <w:rPr>
          <w:rFonts w:hint="default" w:ascii="Times New Roman" w:hAnsi="Times New Roman" w:cs="Times New Roman"/>
          <w:color w:val="000000" w:themeColor="text1"/>
          <w:spacing w:val="26"/>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6"/>
          <w:sz w:val="24"/>
          <w:szCs w:val="24"/>
          <w:u w:val="none"/>
          <w14:textFill>
            <w14:solidFill>
              <w14:schemeClr w14:val="tx1"/>
            </w14:solidFill>
          </w14:textFill>
        </w:rPr>
        <w:t>在其他地区达到5%</w:t>
      </w:r>
      <w:r>
        <w:rPr>
          <w:rFonts w:hint="default" w:ascii="Times New Roman" w:hAnsi="Times New Roman" w:cs="Times New Roman"/>
          <w:color w:val="000000" w:themeColor="text1"/>
          <w:spacing w:val="26"/>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6"/>
          <w:sz w:val="24"/>
          <w:szCs w:val="24"/>
          <w:u w:val="none"/>
          <w14:textFill>
            <w14:solidFill>
              <w14:schemeClr w14:val="tx1"/>
            </w14:solidFill>
          </w14:textFill>
        </w:rPr>
        <w:t>得5分；每再增加2%</w:t>
      </w:r>
      <w:r>
        <w:rPr>
          <w:rFonts w:hint="default" w:ascii="Times New Roman" w:hAnsi="Times New Roman" w:cs="Times New Roman"/>
          <w:color w:val="000000" w:themeColor="text1"/>
          <w:spacing w:val="26"/>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6"/>
          <w:sz w:val="24"/>
          <w:szCs w:val="24"/>
          <w:u w:val="none"/>
          <w14:textFill>
            <w14:solidFill>
              <w14:schemeClr w14:val="tx1"/>
            </w14:solidFill>
          </w14:textFill>
        </w:rPr>
        <w:t>再得1分，</w:t>
      </w:r>
      <w:r>
        <w:rPr>
          <w:rFonts w:hint="default" w:ascii="Times New Roman" w:hAnsi="Times New Roman" w:cs="Times New Roman"/>
          <w:color w:val="000000" w:themeColor="text1"/>
          <w:spacing w:val="-1"/>
          <w:sz w:val="24"/>
          <w:szCs w:val="24"/>
          <w:u w:val="none"/>
          <w14:textFill>
            <w14:solidFill>
              <w14:schemeClr w14:val="tx1"/>
            </w14:solidFill>
          </w14:textFill>
        </w:rPr>
        <w:t>最高得8分。</w:t>
      </w:r>
    </w:p>
    <w:p w14:paraId="11EB80BA">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8"/>
          <w:sz w:val="24"/>
          <w:szCs w:val="24"/>
          <w:u w:val="none"/>
          <w14:textFill>
            <w14:solidFill>
              <w14:schemeClr w14:val="tx1"/>
            </w14:solidFill>
          </w14:textFill>
        </w:rPr>
        <w:t>公共建筑：过渡季典型工况下主要功能房间平均自然通</w:t>
      </w:r>
      <w:r>
        <w:rPr>
          <w:rFonts w:hint="default" w:ascii="Times New Roman" w:hAnsi="Times New Roman" w:cs="Times New Roman"/>
          <w:color w:val="000000" w:themeColor="text1"/>
          <w:spacing w:val="12"/>
          <w:sz w:val="24"/>
          <w:szCs w:val="24"/>
          <w:u w:val="none"/>
          <w14:textFill>
            <w14:solidFill>
              <w14:schemeClr w14:val="tx1"/>
            </w14:solidFill>
          </w14:textFill>
        </w:rPr>
        <w:t>风换气次数不小于2次/h的面积比例达到</w:t>
      </w:r>
      <w:r>
        <w:rPr>
          <w:rFonts w:hint="default" w:ascii="Times New Roman" w:hAnsi="Times New Roman" w:cs="Times New Roman"/>
          <w:color w:val="000000" w:themeColor="text1"/>
          <w:spacing w:val="11"/>
          <w:sz w:val="24"/>
          <w:szCs w:val="24"/>
          <w:u w:val="none"/>
          <w14:textFill>
            <w14:solidFill>
              <w14:schemeClr w14:val="tx1"/>
            </w14:solidFill>
          </w14:textFill>
        </w:rPr>
        <w:t>70%</w:t>
      </w:r>
      <w:r>
        <w:rPr>
          <w:rFonts w:hint="default" w:ascii="Times New Roman" w:hAnsi="Times New Roman"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1"/>
          <w:sz w:val="24"/>
          <w:szCs w:val="24"/>
          <w:u w:val="none"/>
          <w14:textFill>
            <w14:solidFill>
              <w14:schemeClr w14:val="tx1"/>
            </w14:solidFill>
          </w14:textFill>
        </w:rPr>
        <w:t>得5分；每再</w:t>
      </w:r>
      <w:r>
        <w:rPr>
          <w:rFonts w:hint="default" w:ascii="Times New Roman" w:hAnsi="Times New Roman" w:cs="Times New Roman"/>
          <w:color w:val="000000" w:themeColor="text1"/>
          <w:spacing w:val="17"/>
          <w:sz w:val="24"/>
          <w:szCs w:val="24"/>
          <w:u w:val="none"/>
          <w14:textFill>
            <w14:solidFill>
              <w14:schemeClr w14:val="tx1"/>
            </w14:solidFill>
          </w14:textFill>
        </w:rPr>
        <w:t>增加10%</w:t>
      </w:r>
      <w:r>
        <w:rPr>
          <w:rFonts w:hint="default" w:ascii="Times New Roman" w:hAnsi="Times New Roman" w:cs="Times New Roman"/>
          <w:color w:val="000000" w:themeColor="text1"/>
          <w:spacing w:val="1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7"/>
          <w:sz w:val="24"/>
          <w:szCs w:val="24"/>
          <w:u w:val="none"/>
          <w14:textFill>
            <w14:solidFill>
              <w14:schemeClr w14:val="tx1"/>
            </w14:solidFill>
          </w14:textFill>
        </w:rPr>
        <w:t>再得1分，最高得8分。</w:t>
      </w:r>
    </w:p>
    <w:p w14:paraId="744952D6">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5.2.11</w:t>
      </w:r>
      <w:r>
        <w:rPr>
          <w:rFonts w:hint="default" w:ascii="Times New Roman" w:hAnsi="Times New Roman" w:cs="Times New Roman"/>
          <w:bCs/>
          <w:color w:val="000000" w:themeColor="text1"/>
          <w:spacing w:val="-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设置可调节遮阳设施，改善室内热舒适，评价总分值为</w:t>
      </w:r>
      <w:r>
        <w:rPr>
          <w:rFonts w:hint="default" w:ascii="Times New Roman" w:hAnsi="Times New Roman" w:cs="Times New Roman"/>
          <w:color w:val="000000" w:themeColor="text1"/>
          <w:spacing w:val="1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9分，根据可调节遮阳设施的面积占外窗透明部分的比例按表</w:t>
      </w:r>
      <w:r>
        <w:rPr>
          <w:rFonts w:hint="default" w:ascii="Times New Roman" w:hAnsi="Times New Roman" w:cs="Times New Roman"/>
          <w:color w:val="000000" w:themeColor="text1"/>
          <w:spacing w:val="6"/>
          <w:sz w:val="24"/>
          <w:szCs w:val="24"/>
          <w:u w:val="none"/>
          <w14:textFill>
            <w14:solidFill>
              <w14:schemeClr w14:val="tx1"/>
            </w14:solidFill>
          </w14:textFill>
        </w:rPr>
        <w:t>5.2.11的规则评分。</w:t>
      </w:r>
    </w:p>
    <w:p w14:paraId="5E415865">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bookmarkStart w:id="51" w:name="bookmark94"/>
      <w:bookmarkEnd w:id="51"/>
      <w:r>
        <w:rPr>
          <w:rFonts w:hint="default" w:ascii="Times New Roman" w:hAnsi="Times New Roman" w:cs="Times New Roman"/>
          <w:b/>
          <w:color w:val="000000" w:themeColor="text1"/>
          <w:spacing w:val="-7"/>
          <w:szCs w:val="21"/>
          <w:u w:val="none"/>
          <w14:textFill>
            <w14:solidFill>
              <w14:schemeClr w14:val="tx1"/>
            </w14:solidFill>
          </w14:textFill>
        </w:rPr>
        <w:t>表5.2.11 可调节遮阳设施的面积占外窗透明部分比例评分规则</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14"/>
        <w:gridCol w:w="3208"/>
      </w:tblGrid>
      <w:tr w14:paraId="22052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3118" w:type="pct"/>
          </w:tcPr>
          <w:p w14:paraId="6254297D">
            <w:pPr>
              <w:pStyle w:val="24"/>
              <w:spacing w:before="81" w:line="360" w:lineRule="auto"/>
              <w:ind w:left="175"/>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lang w:eastAsia="zh-CN"/>
                <w14:textFill>
                  <w14:solidFill>
                    <w14:schemeClr w14:val="tx1"/>
                  </w14:solidFill>
                </w14:textFill>
              </w:rPr>
              <w:t>可调节遮阳设施的面积占外窗透明部分比例S₂</w:t>
            </w:r>
          </w:p>
        </w:tc>
        <w:tc>
          <w:tcPr>
            <w:tcW w:w="1882" w:type="pct"/>
          </w:tcPr>
          <w:p w14:paraId="0F9510A6">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得分</w:t>
            </w:r>
          </w:p>
        </w:tc>
      </w:tr>
      <w:tr w14:paraId="64A7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3118" w:type="pct"/>
          </w:tcPr>
          <w:p w14:paraId="270D0969">
            <w:pPr>
              <w:pStyle w:val="24"/>
              <w:spacing w:before="76" w:line="360" w:lineRule="auto"/>
              <w:ind w:left="137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25%≤S</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&lt;35%</w:t>
            </w:r>
          </w:p>
        </w:tc>
        <w:tc>
          <w:tcPr>
            <w:tcW w:w="1882" w:type="pct"/>
          </w:tcPr>
          <w:p w14:paraId="4EDDA673">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3</w:t>
            </w:r>
          </w:p>
        </w:tc>
      </w:tr>
      <w:tr w14:paraId="5DD16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3118" w:type="pct"/>
          </w:tcPr>
          <w:p w14:paraId="262320E1">
            <w:pPr>
              <w:pStyle w:val="24"/>
              <w:spacing w:before="80" w:line="360" w:lineRule="auto"/>
              <w:ind w:left="133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35%≤S₂&lt;45%</w:t>
            </w:r>
          </w:p>
        </w:tc>
        <w:tc>
          <w:tcPr>
            <w:tcW w:w="1882" w:type="pct"/>
          </w:tcPr>
          <w:p w14:paraId="181B326E">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5</w:t>
            </w:r>
          </w:p>
        </w:tc>
      </w:tr>
      <w:tr w14:paraId="7A33D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3118" w:type="pct"/>
          </w:tcPr>
          <w:p w14:paraId="6C92FA5A">
            <w:pPr>
              <w:pStyle w:val="24"/>
              <w:spacing w:before="82" w:line="360" w:lineRule="auto"/>
              <w:ind w:left="133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45%≤S₂&lt;55%</w:t>
            </w:r>
          </w:p>
        </w:tc>
        <w:tc>
          <w:tcPr>
            <w:tcW w:w="1882" w:type="pct"/>
          </w:tcPr>
          <w:p w14:paraId="22EA46C5">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7</w:t>
            </w:r>
          </w:p>
        </w:tc>
      </w:tr>
      <w:tr w14:paraId="7EE4A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3118" w:type="pct"/>
          </w:tcPr>
          <w:p w14:paraId="4A3CD855">
            <w:pPr>
              <w:pStyle w:val="24"/>
              <w:spacing w:before="84" w:line="360" w:lineRule="auto"/>
              <w:ind w:left="149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S₂</w:t>
            </w:r>
            <w:r>
              <w:rPr>
                <w:rFonts w:hint="default" w:ascii="Times New Roman" w:hAnsi="Times New Roman" w:cs="Times New Roman" w:eastAsiaTheme="minorEastAsia"/>
                <w:color w:val="000000" w:themeColor="text1"/>
                <w:spacing w:val="-10"/>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≥55%</w:t>
            </w:r>
          </w:p>
        </w:tc>
        <w:tc>
          <w:tcPr>
            <w:tcW w:w="1882" w:type="pct"/>
          </w:tcPr>
          <w:p w14:paraId="487B2691">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9</w:t>
            </w:r>
          </w:p>
        </w:tc>
      </w:tr>
    </w:tbl>
    <w:p w14:paraId="1BDCBB8E">
      <w:pPr>
        <w:spacing w:before="47" w:line="360" w:lineRule="auto"/>
        <w:ind w:left="15" w:firstLine="430"/>
        <w:rPr>
          <w:rFonts w:hint="default" w:ascii="Times New Roman" w:hAnsi="Times New Roman" w:cs="Times New Roman"/>
          <w:color w:val="000000" w:themeColor="text1"/>
          <w:spacing w:val="-3"/>
          <w:sz w:val="24"/>
          <w:szCs w:val="24"/>
          <w:u w:val="none"/>
          <w14:textFill>
            <w14:solidFill>
              <w14:schemeClr w14:val="tx1"/>
            </w14:solidFill>
          </w14:textFill>
        </w:rPr>
      </w:pPr>
    </w:p>
    <w:p w14:paraId="2F96530E">
      <w:pPr>
        <w:spacing w:line="360" w:lineRule="auto"/>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color w:val="000000" w:themeColor="text1"/>
          <w:spacing w:val="-5"/>
          <w:sz w:val="24"/>
          <w:szCs w:val="24"/>
          <w:u w:val="none"/>
          <w14:textFill>
            <w14:solidFill>
              <w14:schemeClr w14:val="tx1"/>
            </w14:solidFill>
          </w14:textFill>
        </w:rPr>
        <w:br w:type="page"/>
      </w:r>
    </w:p>
    <w:p w14:paraId="705CC291">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52" w:name="_Toc204247718"/>
      <w:bookmarkStart w:id="53" w:name="_Toc26895"/>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6 生活便利</w:t>
      </w:r>
      <w:bookmarkEnd w:id="52"/>
      <w:bookmarkEnd w:id="53"/>
    </w:p>
    <w:p w14:paraId="13F96393">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54" w:name="bookmark18"/>
      <w:bookmarkEnd w:id="54"/>
      <w:bookmarkStart w:id="55" w:name="_Toc204247719"/>
      <w:bookmarkStart w:id="56" w:name="_Toc17446"/>
      <w:r>
        <w:rPr>
          <w:rFonts w:hint="default" w:ascii="Times New Roman" w:hAnsi="Times New Roman" w:cs="Times New Roman" w:eastAsiaTheme="minorEastAsia"/>
          <w:color w:val="000000" w:themeColor="text1"/>
          <w:spacing w:val="-8"/>
          <w:u w:val="none"/>
          <w:lang w:eastAsia="zh-CN"/>
          <w14:textFill>
            <w14:solidFill>
              <w14:schemeClr w14:val="tx1"/>
            </w14:solidFill>
          </w14:textFill>
        </w:rPr>
        <w:t>6.1 控制项</w:t>
      </w:r>
      <w:bookmarkEnd w:id="55"/>
      <w:bookmarkEnd w:id="56"/>
    </w:p>
    <w:p w14:paraId="6D11AE17">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6.1.1</w:t>
      </w:r>
      <w:r>
        <w:rPr>
          <w:rFonts w:hint="default" w:ascii="Times New Roman" w:hAnsi="Times New Roman" w:cs="Times New Roman"/>
          <w:color w:val="000000" w:themeColor="text1"/>
          <w:spacing w:val="7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建筑、室外场地、公共绿地、城市道路相互之间应</w:t>
      </w:r>
      <w:r>
        <w:rPr>
          <w:rFonts w:hint="default" w:ascii="Times New Roman" w:hAnsi="Times New Roman" w:cs="Times New Roman"/>
          <w:color w:val="000000" w:themeColor="text1"/>
          <w:spacing w:val="-7"/>
          <w:sz w:val="24"/>
          <w:szCs w:val="24"/>
          <w:u w:val="none"/>
          <w14:textFill>
            <w14:solidFill>
              <w14:schemeClr w14:val="tx1"/>
            </w14:solidFill>
          </w14:textFill>
        </w:rPr>
        <w:t>设置</w:t>
      </w:r>
      <w:r>
        <w:rPr>
          <w:rFonts w:hint="default" w:ascii="Times New Roman" w:hAnsi="Times New Roman" w:cs="Times New Roman"/>
          <w:color w:val="000000" w:themeColor="text1"/>
          <w:spacing w:val="-12"/>
          <w:sz w:val="24"/>
          <w:szCs w:val="24"/>
          <w:u w:val="none"/>
          <w14:textFill>
            <w14:solidFill>
              <w14:schemeClr w14:val="tx1"/>
            </w14:solidFill>
          </w14:textFill>
        </w:rPr>
        <w:t>连贯的无障碍步行系统。</w:t>
      </w:r>
    </w:p>
    <w:p w14:paraId="6A506B9B">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6.1.2</w:t>
      </w:r>
      <w:r>
        <w:rPr>
          <w:rFonts w:hint="default" w:ascii="Times New Roman" w:hAnsi="Times New Roman" w:cs="Times New Roman"/>
          <w:bCs/>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场地人行出入口500m 内应设有公共交通站点或配备联</w:t>
      </w:r>
      <w:r>
        <w:rPr>
          <w:rFonts w:hint="default" w:ascii="Times New Roman" w:hAnsi="Times New Roman" w:cs="Times New Roman"/>
          <w:color w:val="000000" w:themeColor="text1"/>
          <w:spacing w:val="-12"/>
          <w:sz w:val="24"/>
          <w:szCs w:val="24"/>
          <w:u w:val="none"/>
          <w14:textFill>
            <w14:solidFill>
              <w14:schemeClr w14:val="tx1"/>
            </w14:solidFill>
          </w14:textFill>
        </w:rPr>
        <w:t>系公共交通站点的专用接驳车。</w:t>
      </w:r>
    </w:p>
    <w:p w14:paraId="7A6AE490">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6.1.3</w:t>
      </w:r>
      <w:r>
        <w:rPr>
          <w:rFonts w:hint="default" w:ascii="Times New Roman" w:hAnsi="Times New Roman" w:cs="Times New Roman"/>
          <w:color w:val="000000" w:themeColor="text1"/>
          <w:spacing w:val="7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停车场应具有电动汽车充电设施或具备充电设施的安装</w:t>
      </w:r>
      <w:r>
        <w:rPr>
          <w:rFonts w:hint="default" w:ascii="Times New Roman" w:hAnsi="Times New Roman" w:cs="Times New Roman"/>
          <w:color w:val="000000" w:themeColor="text1"/>
          <w:spacing w:val="-11"/>
          <w:sz w:val="24"/>
          <w:szCs w:val="24"/>
          <w:u w:val="none"/>
          <w14:textFill>
            <w14:solidFill>
              <w14:schemeClr w14:val="tx1"/>
            </w14:solidFill>
          </w14:textFill>
        </w:rPr>
        <w:t>条件，并应合理设置电动汽车和无障碍汽车停车位。</w:t>
      </w:r>
    </w:p>
    <w:p w14:paraId="41F299FB">
      <w:pPr>
        <w:spacing w:line="360" w:lineRule="auto"/>
        <w:rPr>
          <w:rFonts w:hint="default" w:ascii="Times New Roman" w:hAnsi="Times New Roman" w:cs="Times New Roman"/>
          <w:color w:val="000000" w:themeColor="text1"/>
          <w:sz w:val="24"/>
          <w:szCs w:val="24"/>
          <w:highlight w:val="yellow"/>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6.1.4</w:t>
      </w:r>
      <w:r>
        <w:rPr>
          <w:rFonts w:hint="default" w:ascii="Times New Roman" w:hAnsi="Times New Roman" w:cs="Times New Roman"/>
          <w:bCs/>
          <w:color w:val="000000" w:themeColor="text1"/>
          <w:spacing w:val="-9"/>
          <w:sz w:val="24"/>
          <w:szCs w:val="24"/>
          <w:u w:val="none"/>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非机动车停车场</w:t>
      </w:r>
      <w:r>
        <w:rPr>
          <w:rFonts w:hint="default" w:ascii="Times New Roman" w:hAnsi="Times New Roman" w:cs="Times New Roman"/>
          <w:color w:val="000000" w:themeColor="text1"/>
          <w:sz w:val="24"/>
          <w:szCs w:val="24"/>
          <w:u w:val="none"/>
          <w:shd w:val="clear" w:color="auto" w:fill="FFFFFF"/>
          <w14:textFill>
            <w14:solidFill>
              <w14:schemeClr w14:val="tx1"/>
            </w14:solidFill>
          </w14:textFill>
        </w:rPr>
        <w:t>所应位置合理、方便出入。</w:t>
      </w:r>
      <w:bookmarkStart w:id="57" w:name="OLE_LINK7"/>
      <w:bookmarkStart w:id="58" w:name="OLE_LINK8"/>
      <w:r>
        <w:rPr>
          <w:rFonts w:hint="default" w:ascii="Times New Roman" w:hAnsi="Times New Roman" w:cs="Times New Roman"/>
          <w:bCs/>
          <w:color w:val="000000" w:themeColor="text1"/>
          <w:sz w:val="24"/>
          <w:szCs w:val="24"/>
          <w:u w:val="none"/>
          <w:shd w:val="clear" w:color="auto" w:fill="FFFFFF"/>
          <w14:textFill>
            <w14:solidFill>
              <w14:schemeClr w14:val="tx1"/>
            </w14:solidFill>
          </w14:textFill>
        </w:rPr>
        <w:t>居住建筑</w:t>
      </w:r>
      <w:r>
        <w:rPr>
          <w:rFonts w:hint="default" w:ascii="Times New Roman" w:hAnsi="Times New Roman" w:cs="Times New Roman"/>
          <w:color w:val="000000" w:themeColor="text1"/>
          <w:sz w:val="24"/>
          <w:szCs w:val="24"/>
          <w:u w:val="none"/>
          <w:shd w:val="clear" w:color="auto" w:fill="FFFFFF"/>
          <w14:textFill>
            <w14:solidFill>
              <w14:schemeClr w14:val="tx1"/>
            </w14:solidFill>
          </w14:textFill>
        </w:rPr>
        <w:t>的非机动车</w:t>
      </w:r>
      <w:r>
        <w:rPr>
          <w:rFonts w:hint="default" w:ascii="Times New Roman" w:hAnsi="Times New Roman" w:cs="Times New Roman"/>
          <w:color w:val="000000" w:themeColor="text1"/>
          <w:sz w:val="24"/>
          <w:szCs w:val="24"/>
          <w:u w:val="none"/>
          <w14:textFill>
            <w14:solidFill>
              <w14:schemeClr w14:val="tx1"/>
            </w14:solidFill>
          </w14:textFill>
        </w:rPr>
        <w:t>停车场</w:t>
      </w:r>
      <w:r>
        <w:rPr>
          <w:rFonts w:hint="default" w:ascii="Times New Roman" w:hAnsi="Times New Roman" w:cs="Times New Roman"/>
          <w:color w:val="000000" w:themeColor="text1"/>
          <w:sz w:val="24"/>
          <w:szCs w:val="24"/>
          <w:u w:val="none"/>
          <w:shd w:val="clear" w:color="auto" w:fill="FFFFFF"/>
          <w14:textFill>
            <w14:solidFill>
              <w14:schemeClr w14:val="tx1"/>
            </w14:solidFill>
          </w14:textFill>
        </w:rPr>
        <w:t>所出入口设置不得影响居民日常活动。</w:t>
      </w:r>
      <w:bookmarkEnd w:id="57"/>
      <w:bookmarkEnd w:id="58"/>
    </w:p>
    <w:p w14:paraId="72F7BD13">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6.1.5</w:t>
      </w:r>
      <w:r>
        <w:rPr>
          <w:rFonts w:hint="default" w:ascii="Times New Roman" w:hAnsi="Times New Roman" w:cs="Times New Roman"/>
          <w:color w:val="000000" w:themeColor="text1"/>
          <w:spacing w:val="8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0"/>
          <w:sz w:val="24"/>
          <w:szCs w:val="24"/>
          <w:u w:val="none"/>
          <w14:textFill>
            <w14:solidFill>
              <w14:schemeClr w14:val="tx1"/>
            </w14:solidFill>
          </w14:textFill>
        </w:rPr>
        <w:t>建筑设备管理系统应具有自动监控管理功能。</w:t>
      </w:r>
    </w:p>
    <w:p w14:paraId="3D140C46">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6.1.6</w:t>
      </w:r>
      <w:r>
        <w:rPr>
          <w:rFonts w:hint="default" w:ascii="Times New Roman" w:hAnsi="Times New Roman" w:cs="Times New Roman"/>
          <w:color w:val="000000" w:themeColor="text1"/>
          <w:spacing w:val="5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建筑应设置信息网络系统。</w:t>
      </w:r>
    </w:p>
    <w:p w14:paraId="112AE7EA">
      <w:pPr>
        <w:tabs>
          <w:tab w:val="left" w:pos="115"/>
        </w:tabs>
        <w:spacing w:line="360" w:lineRule="auto"/>
        <w:rPr>
          <w:rFonts w:hint="default" w:ascii="Times New Roman" w:hAnsi="Times New Roman" w:cs="Times New Roman"/>
          <w:color w:val="000000" w:themeColor="text1"/>
          <w:spacing w:val="-4"/>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6.1.7</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生活便利相关技术要求应符合现行强制性工程建设规范</w:t>
      </w:r>
      <w:r>
        <w:rPr>
          <w:rFonts w:hint="default" w:ascii="Times New Roman" w:hAnsi="Times New Roman" w:cs="Times New Roman"/>
          <w:color w:val="000000" w:themeColor="text1"/>
          <w:spacing w:val="-10"/>
          <w:sz w:val="24"/>
          <w:szCs w:val="24"/>
          <w:u w:val="none"/>
          <w14:textFill>
            <w14:solidFill>
              <w14:schemeClr w14:val="tx1"/>
            </w14:solidFill>
          </w14:textFill>
        </w:rPr>
        <w:t>《建筑与市政工程无障碍通用规范》GB 55019、《建筑电气与智能化通用规范》GB 55024、《建筑节能与可再生能源利用通</w:t>
      </w:r>
      <w:r>
        <w:rPr>
          <w:rFonts w:hint="default" w:ascii="Times New Roman" w:hAnsi="Times New Roman" w:cs="Times New Roman"/>
          <w:color w:val="000000" w:themeColor="text1"/>
          <w:spacing w:val="-11"/>
          <w:sz w:val="24"/>
          <w:szCs w:val="24"/>
          <w:u w:val="none"/>
          <w14:textFill>
            <w14:solidFill>
              <w14:schemeClr w14:val="tx1"/>
            </w14:solidFill>
          </w14:textFill>
        </w:rPr>
        <w:t>用规</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范》GB 55015等的规定。</w:t>
      </w:r>
    </w:p>
    <w:p w14:paraId="6CFF164B">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59" w:name="_Toc204247720"/>
      <w:bookmarkStart w:id="60" w:name="_Toc15919"/>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6.2 评分项</w:t>
      </w:r>
      <w:bookmarkEnd w:id="59"/>
      <w:bookmarkEnd w:id="60"/>
    </w:p>
    <w:p w14:paraId="1F619BE8">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61" w:name="bookmark20"/>
      <w:bookmarkEnd w:id="61"/>
      <w:bookmarkStart w:id="62" w:name="_Toc204247721"/>
      <w:bookmarkStart w:id="63" w:name="_Toc12820"/>
      <w:r>
        <w:rPr>
          <w:rFonts w:hint="default" w:ascii="Times New Roman" w:hAnsi="Times New Roman" w:cs="Times New Roman"/>
          <w:color w:val="000000" w:themeColor="text1"/>
          <w:sz w:val="24"/>
          <w:szCs w:val="24"/>
          <w:u w:val="none"/>
          <w:lang w:eastAsia="zh-CN"/>
          <w14:textFill>
            <w14:solidFill>
              <w14:schemeClr w14:val="tx1"/>
            </w14:solidFill>
          </w14:textFill>
        </w:rPr>
        <w:t>I 出行与无障碍</w:t>
      </w:r>
      <w:bookmarkEnd w:id="62"/>
      <w:bookmarkEnd w:id="63"/>
    </w:p>
    <w:p w14:paraId="66D4B2E3">
      <w:pPr>
        <w:tabs>
          <w:tab w:val="left" w:pos="115"/>
        </w:tabs>
        <w:spacing w:line="360" w:lineRule="auto"/>
        <w:rPr>
          <w:rFonts w:hint="default" w:ascii="Times New Roman" w:hAnsi="Times New Roman" w:cs="Times New Roman"/>
          <w:color w:val="000000" w:themeColor="text1"/>
          <w:spacing w:val="-10"/>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6.2.1</w:t>
      </w:r>
      <w:r>
        <w:rPr>
          <w:rFonts w:hint="default" w:ascii="Times New Roman" w:hAnsi="Times New Roman" w:cs="Times New Roman"/>
          <w:color w:val="000000" w:themeColor="text1"/>
          <w:spacing w:val="-10"/>
          <w:sz w:val="24"/>
          <w:szCs w:val="24"/>
          <w:u w:val="none"/>
          <w14:textFill>
            <w14:solidFill>
              <w14:schemeClr w14:val="tx1"/>
            </w14:solidFill>
          </w14:textFill>
        </w:rPr>
        <w:t xml:space="preserve">  场地与公共交通站点联系便捷，评价总分值为8分，并按下列规则分别评分并累计：</w:t>
      </w:r>
    </w:p>
    <w:p w14:paraId="073790DD">
      <w:pPr>
        <w:tabs>
          <w:tab w:val="left" w:pos="115"/>
        </w:tabs>
        <w:spacing w:line="360" w:lineRule="auto"/>
        <w:ind w:firstLine="325" w:firstLineChars="150"/>
        <w:rPr>
          <w:rFonts w:hint="default" w:ascii="Times New Roman" w:hAnsi="Times New Roman" w:cs="Times New Roman"/>
          <w:color w:val="000000" w:themeColor="text1"/>
          <w:spacing w:val="-10"/>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0"/>
          <w:sz w:val="24"/>
          <w:szCs w:val="24"/>
          <w:u w:val="none"/>
          <w14:textFill>
            <w14:solidFill>
              <w14:schemeClr w14:val="tx1"/>
            </w14:solidFill>
          </w14:textFill>
        </w:rPr>
        <w:t xml:space="preserve"> 场地出入口到达公共交通站点的步行距离不超过500m</w:t>
      </w:r>
      <w:r>
        <w:rPr>
          <w:rFonts w:hint="default" w:ascii="Times New Roman" w:hAnsi="Times New Roman" w:cs="Times New Roman"/>
          <w:color w:val="000000" w:themeColor="text1"/>
          <w:spacing w:val="-10"/>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0"/>
          <w:sz w:val="24"/>
          <w:szCs w:val="24"/>
          <w:u w:val="none"/>
          <w14:textFill>
            <w14:solidFill>
              <w14:schemeClr w14:val="tx1"/>
            </w14:solidFill>
          </w14:textFill>
        </w:rPr>
        <w:t>或到达轨道交通站的步行距离不大于800m</w:t>
      </w:r>
      <w:r>
        <w:rPr>
          <w:rFonts w:hint="default" w:ascii="Times New Roman" w:hAnsi="Times New Roman" w:cs="Times New Roman"/>
          <w:color w:val="000000" w:themeColor="text1"/>
          <w:spacing w:val="-10"/>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0"/>
          <w:sz w:val="24"/>
          <w:szCs w:val="24"/>
          <w:u w:val="none"/>
          <w14:textFill>
            <w14:solidFill>
              <w14:schemeClr w14:val="tx1"/>
            </w14:solidFill>
          </w14:textFill>
        </w:rPr>
        <w:t xml:space="preserve"> 得2分；场地出入 口到达公共交通站点的步行距离不超过300m</w:t>
      </w:r>
      <w:r>
        <w:rPr>
          <w:rFonts w:hint="default" w:ascii="Times New Roman" w:hAnsi="Times New Roman" w:cs="Times New Roman"/>
          <w:color w:val="000000" w:themeColor="text1"/>
          <w:spacing w:val="-10"/>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0"/>
          <w:sz w:val="24"/>
          <w:szCs w:val="24"/>
          <w:u w:val="none"/>
          <w14:textFill>
            <w14:solidFill>
              <w14:schemeClr w14:val="tx1"/>
            </w14:solidFill>
          </w14:textFill>
        </w:rPr>
        <w:t xml:space="preserve">  或到达轨道交通 站的步行距离不大于500m</w:t>
      </w:r>
      <w:r>
        <w:rPr>
          <w:rFonts w:hint="default" w:ascii="Times New Roman" w:hAnsi="Times New Roman" w:cs="Times New Roman"/>
          <w:color w:val="000000" w:themeColor="text1"/>
          <w:spacing w:val="-10"/>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0"/>
          <w:sz w:val="24"/>
          <w:szCs w:val="24"/>
          <w:u w:val="none"/>
          <w14:textFill>
            <w14:solidFill>
              <w14:schemeClr w14:val="tx1"/>
            </w14:solidFill>
          </w14:textFill>
        </w:rPr>
        <w:t>得4分；</w:t>
      </w:r>
    </w:p>
    <w:p w14:paraId="270CE598">
      <w:pPr>
        <w:tabs>
          <w:tab w:val="left" w:pos="115"/>
        </w:tabs>
        <w:spacing w:line="360" w:lineRule="auto"/>
        <w:ind w:firstLine="325" w:firstLineChars="150"/>
        <w:rPr>
          <w:rFonts w:hint="default" w:ascii="Times New Roman" w:hAnsi="Times New Roman" w:cs="Times New Roman"/>
          <w:color w:val="000000" w:themeColor="text1"/>
          <w:spacing w:val="-10"/>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0"/>
          <w:sz w:val="24"/>
          <w:szCs w:val="24"/>
          <w:u w:val="none"/>
          <w14:textFill>
            <w14:solidFill>
              <w14:schemeClr w14:val="tx1"/>
            </w14:solidFill>
          </w14:textFill>
        </w:rPr>
        <w:t>场地出入口步行距离800m 范围内设有不少于2条线路</w:t>
      </w:r>
      <w:bookmarkStart w:id="64" w:name="bookmark95"/>
      <w:bookmarkEnd w:id="64"/>
      <w:r>
        <w:rPr>
          <w:rFonts w:hint="default" w:ascii="Times New Roman" w:hAnsi="Times New Roman" w:cs="Times New Roman"/>
          <w:color w:val="000000" w:themeColor="text1"/>
          <w:spacing w:val="-10"/>
          <w:sz w:val="24"/>
          <w:szCs w:val="24"/>
          <w:u w:val="none"/>
          <w14:textFill>
            <w14:solidFill>
              <w14:schemeClr w14:val="tx1"/>
            </w14:solidFill>
          </w14:textFill>
        </w:rPr>
        <w:t>的公共交通站点，得4分。</w:t>
      </w:r>
    </w:p>
    <w:p w14:paraId="7D97E283">
      <w:pPr>
        <w:tabs>
          <w:tab w:val="left" w:pos="115"/>
        </w:tabs>
        <w:spacing w:line="360" w:lineRule="auto"/>
        <w:rPr>
          <w:rFonts w:hint="default" w:ascii="Times New Roman" w:hAnsi="Times New Roman" w:cs="Times New Roman"/>
          <w:color w:val="000000" w:themeColor="text1"/>
          <w:spacing w:val="-10"/>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6.2.2</w:t>
      </w:r>
      <w:r>
        <w:rPr>
          <w:rFonts w:hint="default" w:ascii="Times New Roman" w:hAnsi="Times New Roman" w:cs="Times New Roman"/>
          <w:color w:val="000000" w:themeColor="text1"/>
          <w:spacing w:val="-10"/>
          <w:sz w:val="24"/>
          <w:szCs w:val="24"/>
          <w:u w:val="none"/>
          <w14:textFill>
            <w14:solidFill>
              <w14:schemeClr w14:val="tx1"/>
            </w14:solidFill>
          </w14:textFill>
        </w:rPr>
        <w:t xml:space="preserve"> 建筑室内公共区域满足全龄化设计要求，评价总分值为 8分，并按下列规则分别评分并累计：</w:t>
      </w:r>
    </w:p>
    <w:p w14:paraId="470D5F4D">
      <w:pPr>
        <w:tabs>
          <w:tab w:val="left" w:pos="115"/>
        </w:tabs>
        <w:spacing w:line="360" w:lineRule="auto"/>
        <w:ind w:firstLine="325" w:firstLineChars="150"/>
        <w:rPr>
          <w:rFonts w:hint="default" w:ascii="Times New Roman" w:hAnsi="Times New Roman" w:cs="Times New Roman"/>
          <w:color w:val="000000" w:themeColor="text1"/>
          <w:spacing w:val="-10"/>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0"/>
          <w:sz w:val="24"/>
          <w:szCs w:val="24"/>
          <w:u w:val="none"/>
          <w14:textFill>
            <w14:solidFill>
              <w14:schemeClr w14:val="tx1"/>
            </w14:solidFill>
          </w14:textFill>
        </w:rPr>
        <w:t xml:space="preserve"> 建筑室内公共区域的墙、柱等处的阳角均为圆角，并设有安全抓杆或扶手，得5分；</w:t>
      </w:r>
    </w:p>
    <w:p w14:paraId="78560464">
      <w:pPr>
        <w:tabs>
          <w:tab w:val="left" w:pos="115"/>
        </w:tabs>
        <w:spacing w:line="360" w:lineRule="auto"/>
        <w:ind w:firstLine="325" w:firstLineChars="150"/>
        <w:rPr>
          <w:rFonts w:hint="default" w:ascii="Times New Roman" w:hAnsi="Times New Roman" w:cs="Times New Roman"/>
          <w:color w:val="000000" w:themeColor="text1"/>
          <w:spacing w:val="-10"/>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0"/>
          <w:sz w:val="24"/>
          <w:szCs w:val="24"/>
          <w:u w:val="none"/>
          <w14:textFill>
            <w14:solidFill>
              <w14:schemeClr w14:val="tx1"/>
            </w14:solidFill>
          </w14:textFill>
        </w:rPr>
        <w:t xml:space="preserve"> 设有可容纳担架的无障碍电梯，得3分。</w:t>
      </w:r>
    </w:p>
    <w:p w14:paraId="0DFE4C9E">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65" w:name="_Toc204247722"/>
      <w:bookmarkStart w:id="66" w:name="_Toc25753"/>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Ⅱ</w:t>
      </w:r>
      <w:r>
        <w:rPr>
          <w:rFonts w:hint="default" w:ascii="Times New Roman" w:hAnsi="Times New Roman" w:cs="Times New Roman"/>
          <w:color w:val="000000" w:themeColor="text1"/>
          <w:sz w:val="24"/>
          <w:szCs w:val="24"/>
          <w:u w:val="none"/>
          <w:lang w:eastAsia="zh-CN"/>
          <w14:textFill>
            <w14:solidFill>
              <w14:schemeClr w14:val="tx1"/>
            </w14:solidFill>
          </w14:textFill>
        </w:rPr>
        <w:t xml:space="preserve"> 服务设施</w:t>
      </w:r>
      <w:bookmarkEnd w:id="65"/>
      <w:bookmarkEnd w:id="66"/>
    </w:p>
    <w:p w14:paraId="4780B28A">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6.2.3</w:t>
      </w:r>
      <w:r>
        <w:rPr>
          <w:rFonts w:hint="default" w:ascii="Times New Roman" w:hAnsi="Times New Roman" w:cs="Times New Roman"/>
          <w:color w:val="000000" w:themeColor="text1"/>
          <w:spacing w:val="5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5"/>
          <w:sz w:val="24"/>
          <w:szCs w:val="24"/>
          <w:u w:val="none"/>
          <w14:textFill>
            <w14:solidFill>
              <w14:schemeClr w14:val="tx1"/>
            </w14:solidFill>
          </w14:textFill>
        </w:rPr>
        <w:t>提供便利的公共服务，评价总分值为10分，并</w:t>
      </w:r>
      <w:r>
        <w:rPr>
          <w:rFonts w:hint="default" w:ascii="Times New Roman" w:hAnsi="Times New Roman" w:cs="Times New Roman"/>
          <w:color w:val="000000" w:themeColor="text1"/>
          <w:spacing w:val="-6"/>
          <w:sz w:val="24"/>
          <w:szCs w:val="24"/>
          <w:u w:val="none"/>
          <w14:textFill>
            <w14:solidFill>
              <w14:schemeClr w14:val="tx1"/>
            </w14:solidFill>
          </w14:textFill>
        </w:rPr>
        <w:t>按下列规</w:t>
      </w:r>
      <w:r>
        <w:rPr>
          <w:rFonts w:hint="default" w:ascii="Times New Roman" w:hAnsi="Times New Roman" w:cs="Times New Roman"/>
          <w:color w:val="000000" w:themeColor="text1"/>
          <w:spacing w:val="-12"/>
          <w:sz w:val="24"/>
          <w:szCs w:val="24"/>
          <w:u w:val="none"/>
          <w14:textFill>
            <w14:solidFill>
              <w14:schemeClr w14:val="tx1"/>
            </w14:solidFill>
          </w14:textFill>
        </w:rPr>
        <w:t>则评分：</w:t>
      </w:r>
    </w:p>
    <w:p w14:paraId="2171DE86">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住宅建筑，满足下列要求中的4项，得5分；满足6项</w:t>
      </w:r>
      <w:r>
        <w:rPr>
          <w:rFonts w:hint="default" w:ascii="Times New Roman" w:hAnsi="Times New Roman" w:cs="Times New Roman"/>
          <w:color w:val="000000" w:themeColor="text1"/>
          <w:spacing w:val="-1"/>
          <w:sz w:val="24"/>
          <w:szCs w:val="24"/>
          <w:u w:val="none"/>
          <w14:textFill>
            <w14:solidFill>
              <w14:schemeClr w14:val="tx1"/>
            </w14:solidFill>
          </w14:textFill>
        </w:rPr>
        <w:t>及以上，得10分。</w:t>
      </w:r>
    </w:p>
    <w:p w14:paraId="69426C93">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3"/>
          <w:sz w:val="24"/>
          <w:szCs w:val="24"/>
          <w:u w:val="none"/>
          <w14:textFill>
            <w14:solidFill>
              <w14:schemeClr w14:val="tx1"/>
            </w14:solidFill>
          </w14:textFill>
        </w:rPr>
        <w:t>场地出入口到达幼儿园的步行距离不大于300m；</w:t>
      </w:r>
    </w:p>
    <w:p w14:paraId="3599D2D2">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3"/>
          <w:sz w:val="24"/>
          <w:szCs w:val="24"/>
          <w:u w:val="none"/>
          <w14:textFill>
            <w14:solidFill>
              <w14:schemeClr w14:val="tx1"/>
            </w14:solidFill>
          </w14:textFill>
        </w:rPr>
        <w:t>场地出入口到达小学的步行距离不大于500m；</w:t>
      </w:r>
    </w:p>
    <w:p w14:paraId="7634A147">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default" w:ascii="Times New Roman" w:hAnsi="Times New Roman" w:cs="Times New Roman"/>
          <w:color w:val="000000" w:themeColor="text1"/>
          <w:spacing w:val="-2"/>
          <w:sz w:val="24"/>
          <w:szCs w:val="24"/>
          <w:u w:val="none"/>
          <w14:textFill>
            <w14:solidFill>
              <w14:schemeClr w14:val="tx1"/>
            </w14:solidFill>
          </w14:textFill>
        </w:rPr>
        <w:t>场地出入口到达中学的步行距离不大于10</w:t>
      </w:r>
      <w:r>
        <w:rPr>
          <w:rFonts w:hint="default" w:ascii="Times New Roman" w:hAnsi="Times New Roman" w:cs="Times New Roman"/>
          <w:color w:val="000000" w:themeColor="text1"/>
          <w:spacing w:val="-3"/>
          <w:sz w:val="24"/>
          <w:szCs w:val="24"/>
          <w:u w:val="none"/>
          <w14:textFill>
            <w14:solidFill>
              <w14:schemeClr w14:val="tx1"/>
            </w14:solidFill>
          </w14:textFill>
        </w:rPr>
        <w:t>00m；</w:t>
      </w:r>
    </w:p>
    <w:p w14:paraId="664906C0">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4）</w:t>
      </w:r>
      <w:r>
        <w:rPr>
          <w:rFonts w:hint="default" w:ascii="Times New Roman" w:hAnsi="Times New Roman" w:cs="Times New Roman"/>
          <w:color w:val="000000" w:themeColor="text1"/>
          <w:spacing w:val="-3"/>
          <w:sz w:val="24"/>
          <w:szCs w:val="24"/>
          <w:u w:val="none"/>
          <w14:textFill>
            <w14:solidFill>
              <w14:schemeClr w14:val="tx1"/>
            </w14:solidFill>
          </w14:textFill>
        </w:rPr>
        <w:t>场地出入口到达医院的步行距离不大于1000m；</w:t>
      </w:r>
    </w:p>
    <w:p w14:paraId="7095D3CB">
      <w:pPr>
        <w:spacing w:line="360" w:lineRule="auto"/>
        <w:ind w:firstLine="434" w:firstLineChars="200"/>
        <w:rPr>
          <w:rFonts w:hint="default" w:ascii="Times New Roman" w:hAnsi="Times New Roman" w:cs="Times New Roman"/>
          <w:color w:val="000000" w:themeColor="text1"/>
          <w:spacing w:val="-3"/>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w:t>
      </w:r>
      <w:r>
        <w:rPr>
          <w:rFonts w:hint="default" w:ascii="Times New Roman" w:hAnsi="Times New Roman" w:cs="Times New Roman"/>
          <w:color w:val="000000" w:themeColor="text1"/>
          <w:spacing w:val="-3"/>
          <w:sz w:val="24"/>
          <w:szCs w:val="24"/>
          <w:u w:val="none"/>
          <w14:textFill>
            <w14:solidFill>
              <w14:schemeClr w14:val="tx1"/>
            </w14:solidFill>
          </w14:textFill>
        </w:rPr>
        <w:t>场地出入口到达群众文化活动设施的步行距离不大于800m；</w:t>
      </w:r>
    </w:p>
    <w:p w14:paraId="39BD08A5">
      <w:pPr>
        <w:spacing w:line="360" w:lineRule="auto"/>
        <w:ind w:firstLine="434" w:firstLineChars="200"/>
        <w:rPr>
          <w:rFonts w:hint="default" w:ascii="Times New Roman" w:hAnsi="Times New Roman" w:cs="Times New Roman"/>
          <w:color w:val="000000" w:themeColor="text1"/>
          <w:spacing w:val="-3"/>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w:t>
      </w:r>
      <w:r>
        <w:rPr>
          <w:rFonts w:hint="default" w:ascii="Times New Roman" w:hAnsi="Times New Roman" w:cs="Times New Roman"/>
          <w:color w:val="000000" w:themeColor="text1"/>
          <w:spacing w:val="-3"/>
          <w:sz w:val="24"/>
          <w:szCs w:val="24"/>
          <w:u w:val="none"/>
          <w14:textFill>
            <w14:solidFill>
              <w14:schemeClr w14:val="tx1"/>
            </w14:solidFill>
          </w14:textFill>
        </w:rPr>
        <w:t>场地出入口到达老年人日间照料设施的步行距离不大于500m:</w:t>
      </w:r>
    </w:p>
    <w:p w14:paraId="46A57E39">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w:t>
      </w:r>
      <w:r>
        <w:rPr>
          <w:rFonts w:hint="default" w:ascii="Times New Roman" w:hAnsi="Times New Roman" w:cs="Times New Roman"/>
          <w:color w:val="000000" w:themeColor="text1"/>
          <w:spacing w:val="1"/>
          <w:sz w:val="24"/>
          <w:szCs w:val="24"/>
          <w:u w:val="none"/>
          <w14:textFill>
            <w14:solidFill>
              <w14:schemeClr w14:val="tx1"/>
            </w14:solidFill>
          </w14:textFill>
        </w:rPr>
        <w:t>场地周边500m范围内具有不少于3种商业服务设施。</w:t>
      </w:r>
    </w:p>
    <w:p w14:paraId="5C8139E9">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8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公共建筑，满足下列要求中的3项，得5分；满足5项，</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得10分。</w:t>
      </w:r>
    </w:p>
    <w:p w14:paraId="174E5763">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4"/>
          <w:sz w:val="24"/>
          <w:szCs w:val="24"/>
          <w:u w:val="none"/>
          <w14:textFill>
            <w14:solidFill>
              <w14:schemeClr w14:val="tx1"/>
            </w14:solidFill>
          </w14:textFill>
        </w:rPr>
        <w:t>建筑内至少兼容2种面向社会的公共服务功能；</w:t>
      </w:r>
    </w:p>
    <w:p w14:paraId="6CA05AB6">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7"/>
          <w:sz w:val="24"/>
          <w:szCs w:val="24"/>
          <w:u w:val="none"/>
          <w14:textFill>
            <w14:solidFill>
              <w14:schemeClr w14:val="tx1"/>
            </w14:solidFill>
          </w14:textFill>
        </w:rPr>
        <w:t>建筑向社会公众提供开放的公共活动空间；</w:t>
      </w:r>
    </w:p>
    <w:p w14:paraId="5CD5FA2F">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default" w:ascii="Times New Roman" w:hAnsi="Times New Roman" w:cs="Times New Roman"/>
          <w:color w:val="000000" w:themeColor="text1"/>
          <w:spacing w:val="16"/>
          <w:sz w:val="24"/>
          <w:szCs w:val="24"/>
          <w:u w:val="none"/>
          <w14:textFill>
            <w14:solidFill>
              <w14:schemeClr w14:val="tx1"/>
            </w14:solidFill>
          </w14:textFill>
        </w:rPr>
        <w:t>电动汽车充电桩的车位数占总车位数的比例不</w:t>
      </w:r>
      <w:r>
        <w:rPr>
          <w:rFonts w:hint="default" w:ascii="Times New Roman" w:hAnsi="Times New Roman" w:cs="Times New Roman"/>
          <w:color w:val="000000" w:themeColor="text1"/>
          <w:spacing w:val="-3"/>
          <w:sz w:val="24"/>
          <w:szCs w:val="24"/>
          <w:u w:val="none"/>
          <w14:textFill>
            <w14:solidFill>
              <w14:schemeClr w14:val="tx1"/>
            </w14:solidFill>
          </w14:textFill>
        </w:rPr>
        <w:t>低于</w:t>
      </w:r>
      <w:r>
        <w:rPr>
          <w:rFonts w:hint="default" w:ascii="Times New Roman" w:hAnsi="Times New Roman" w:cs="Times New Roman"/>
          <w:color w:val="000000" w:themeColor="text1"/>
          <w:spacing w:val="25"/>
          <w:sz w:val="24"/>
          <w:szCs w:val="24"/>
          <w:u w:val="none"/>
          <w14:textFill>
            <w14:solidFill>
              <w14:schemeClr w14:val="tx1"/>
            </w14:solidFill>
          </w14:textFill>
        </w:rPr>
        <w:t>10%；</w:t>
      </w:r>
    </w:p>
    <w:p w14:paraId="6DB730BF">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4）</w:t>
      </w:r>
      <w:r>
        <w:rPr>
          <w:rFonts w:hint="default" w:ascii="Times New Roman" w:hAnsi="Times New Roman" w:cs="Times New Roman"/>
          <w:color w:val="000000" w:themeColor="text1"/>
          <w:spacing w:val="4"/>
          <w:sz w:val="24"/>
          <w:szCs w:val="24"/>
          <w:u w:val="none"/>
          <w14:textFill>
            <w14:solidFill>
              <w14:schemeClr w14:val="tx1"/>
            </w14:solidFill>
          </w14:textFill>
        </w:rPr>
        <w:t>周边500m范围内设有社会公共停车场</w:t>
      </w:r>
      <w:r>
        <w:rPr>
          <w:rFonts w:hint="default" w:ascii="Times New Roman" w:hAnsi="Times New Roman" w:cs="Times New Roman"/>
          <w:color w:val="000000" w:themeColor="text1"/>
          <w:spacing w:val="3"/>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3"/>
          <w:sz w:val="24"/>
          <w:szCs w:val="24"/>
          <w:u w:val="none"/>
          <w14:textFill>
            <w14:solidFill>
              <w14:schemeClr w14:val="tx1"/>
            </w14:solidFill>
          </w14:textFill>
        </w:rPr>
        <w:t>库</w:t>
      </w:r>
      <w:r>
        <w:rPr>
          <w:rFonts w:hint="default" w:ascii="Times New Roman" w:hAnsi="Times New Roman" w:cs="Times New Roman"/>
          <w:color w:val="000000" w:themeColor="text1"/>
          <w:spacing w:val="3"/>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3"/>
          <w:sz w:val="24"/>
          <w:szCs w:val="24"/>
          <w:u w:val="none"/>
          <w14:textFill>
            <w14:solidFill>
              <w14:schemeClr w14:val="tx1"/>
            </w14:solidFill>
          </w14:textFill>
        </w:rPr>
        <w:t>；</w:t>
      </w:r>
    </w:p>
    <w:p w14:paraId="25619D16">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w:t>
      </w:r>
      <w:r>
        <w:rPr>
          <w:rFonts w:hint="default" w:ascii="Times New Roman" w:hAnsi="Times New Roman" w:cs="Times New Roman"/>
          <w:color w:val="000000" w:themeColor="text1"/>
          <w:spacing w:val="-7"/>
          <w:sz w:val="24"/>
          <w:szCs w:val="24"/>
          <w:u w:val="none"/>
          <w14:textFill>
            <w14:solidFill>
              <w14:schemeClr w14:val="tx1"/>
            </w14:solidFill>
          </w14:textFill>
        </w:rPr>
        <w:t>场地不封闭或场地内步行公共通道向社会</w:t>
      </w:r>
      <w:r>
        <w:rPr>
          <w:rFonts w:hint="default" w:ascii="Times New Roman" w:hAnsi="Times New Roman" w:cs="Times New Roman"/>
          <w:color w:val="000000" w:themeColor="text1"/>
          <w:spacing w:val="-8"/>
          <w:sz w:val="24"/>
          <w:szCs w:val="24"/>
          <w:u w:val="none"/>
          <w14:textFill>
            <w14:solidFill>
              <w14:schemeClr w14:val="tx1"/>
            </w14:solidFill>
          </w14:textFill>
        </w:rPr>
        <w:t>开放。</w:t>
      </w:r>
    </w:p>
    <w:p w14:paraId="3ECB05FD">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6.2.4 </w:t>
      </w:r>
      <w:r>
        <w:rPr>
          <w:rFonts w:hint="default" w:ascii="Times New Roman" w:hAnsi="Times New Roman" w:cs="Times New Roman"/>
          <w:bCs/>
          <w:color w:val="000000" w:themeColor="text1"/>
          <w:spacing w:val="-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城市绿地、广场及公共运动场地等开敞空间，步行可达，</w:t>
      </w:r>
      <w:r>
        <w:rPr>
          <w:rFonts w:hint="default" w:ascii="Times New Roman" w:hAnsi="Times New Roman" w:cs="Times New Roman"/>
          <w:color w:val="000000" w:themeColor="text1"/>
          <w:spacing w:val="-7"/>
          <w:sz w:val="24"/>
          <w:szCs w:val="24"/>
          <w:u w:val="none"/>
          <w14:textFill>
            <w14:solidFill>
              <w14:schemeClr w14:val="tx1"/>
            </w14:solidFill>
          </w14:textFill>
        </w:rPr>
        <w:t>评价总分值为5分，并按下列规则分别评分并累计：</w:t>
      </w:r>
    </w:p>
    <w:p w14:paraId="5259D313">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7"/>
          <w:sz w:val="24"/>
          <w:szCs w:val="24"/>
          <w:u w:val="none"/>
          <w14:textFill>
            <w14:solidFill>
              <w14:schemeClr w14:val="tx1"/>
            </w14:solidFill>
          </w14:textFill>
        </w:rPr>
        <w:t>场地出入口到达城市公园绿地、居住区公园、广场的步</w:t>
      </w:r>
      <w:r>
        <w:rPr>
          <w:rFonts w:hint="default" w:ascii="Times New Roman" w:hAnsi="Times New Roman" w:cs="Times New Roman"/>
          <w:color w:val="000000" w:themeColor="text1"/>
          <w:spacing w:val="2"/>
          <w:sz w:val="24"/>
          <w:szCs w:val="24"/>
          <w:u w:val="none"/>
          <w14:textFill>
            <w14:solidFill>
              <w14:schemeClr w14:val="tx1"/>
            </w14:solidFill>
          </w14:textFill>
        </w:rPr>
        <w:t>行距离不大于300m</w:t>
      </w:r>
      <w:r>
        <w:rPr>
          <w:rFonts w:hint="default" w:ascii="Times New Roman" w:hAnsi="Times New Roman" w:cs="Times New Roman"/>
          <w:color w:val="000000" w:themeColor="text1"/>
          <w:spacing w:val="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
          <w:sz w:val="24"/>
          <w:szCs w:val="24"/>
          <w:u w:val="none"/>
          <w14:textFill>
            <w14:solidFill>
              <w14:schemeClr w14:val="tx1"/>
            </w14:solidFill>
          </w14:textFill>
        </w:rPr>
        <w:t>得3分；</w:t>
      </w:r>
    </w:p>
    <w:p w14:paraId="37DA15C1">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
          <w:sz w:val="24"/>
          <w:szCs w:val="24"/>
          <w:u w:val="none"/>
          <w14:textFill>
            <w14:solidFill>
              <w14:schemeClr w14:val="tx1"/>
            </w14:solidFill>
          </w14:textFill>
        </w:rPr>
        <w:t>到达中型多功能运动场地的步行距离不大于500m</w:t>
      </w:r>
      <w:r>
        <w:rPr>
          <w:rFonts w:hint="default" w:ascii="Times New Roman" w:hAnsi="Times New Roman" w:cs="Times New Roman"/>
          <w:color w:val="000000" w:themeColor="text1"/>
          <w:spacing w:val="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 xml:space="preserve"> 得 </w:t>
      </w:r>
      <w:r>
        <w:rPr>
          <w:rFonts w:hint="default" w:ascii="Times New Roman" w:hAnsi="Times New Roman" w:cs="Times New Roman"/>
          <w:color w:val="000000" w:themeColor="text1"/>
          <w:spacing w:val="-1"/>
          <w:sz w:val="24"/>
          <w:szCs w:val="24"/>
          <w:u w:val="none"/>
          <w14:textFill>
            <w14:solidFill>
              <w14:schemeClr w14:val="tx1"/>
            </w14:solidFill>
          </w14:textFill>
        </w:rPr>
        <w:t>2分。</w:t>
      </w:r>
    </w:p>
    <w:p w14:paraId="58039F40">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6.2.5</w:t>
      </w:r>
      <w:r>
        <w:rPr>
          <w:rFonts w:hint="default" w:ascii="Times New Roman" w:hAnsi="Times New Roman" w:cs="Times New Roman"/>
          <w:color w:val="000000" w:themeColor="text1"/>
          <w:spacing w:val="7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合理设置健身场地和空间，评价总分</w:t>
      </w:r>
      <w:r>
        <w:rPr>
          <w:rFonts w:hint="default" w:ascii="Times New Roman" w:hAnsi="Times New Roman" w:cs="Times New Roman"/>
          <w:color w:val="000000" w:themeColor="text1"/>
          <w:spacing w:val="-7"/>
          <w:sz w:val="24"/>
          <w:szCs w:val="24"/>
          <w:u w:val="none"/>
          <w14:textFill>
            <w14:solidFill>
              <w14:schemeClr w14:val="tx1"/>
            </w14:solidFill>
          </w14:textFill>
        </w:rPr>
        <w:t>值为10分，并按下</w:t>
      </w:r>
      <w:r>
        <w:rPr>
          <w:rFonts w:hint="default" w:ascii="Times New Roman" w:hAnsi="Times New Roman" w:cs="Times New Roman"/>
          <w:color w:val="000000" w:themeColor="text1"/>
          <w:spacing w:val="-12"/>
          <w:sz w:val="24"/>
          <w:szCs w:val="24"/>
          <w:u w:val="none"/>
          <w14:textFill>
            <w14:solidFill>
              <w14:schemeClr w14:val="tx1"/>
            </w14:solidFill>
          </w14:textFill>
        </w:rPr>
        <w:t>列规则分别评分并累计：</w:t>
      </w:r>
    </w:p>
    <w:p w14:paraId="57B7C3B2">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bCs/>
          <w:color w:val="000000" w:themeColor="text1"/>
          <w:sz w:val="24"/>
          <w:szCs w:val="24"/>
          <w:u w:val="none"/>
          <w14:textFill>
            <w14:solidFill>
              <w14:schemeClr w14:val="tx1"/>
            </w14:solidFill>
          </w14:textFill>
        </w:rPr>
        <w:t>室外健身场地面积不少于总用地面积的0.5%</w:t>
      </w:r>
      <w:r>
        <w:rPr>
          <w:rFonts w:hint="default" w:ascii="Times New Roman" w:hAnsi="Times New Roman" w:cs="Times New Roman"/>
          <w:bCs/>
          <w:color w:val="000000" w:themeColor="text1"/>
          <w:sz w:val="24"/>
          <w:szCs w:val="24"/>
          <w:u w:val="none"/>
          <w:lang w:eastAsia="zh-CN"/>
          <w14:textFill>
            <w14:solidFill>
              <w14:schemeClr w14:val="tx1"/>
            </w14:solidFill>
          </w14:textFill>
        </w:rPr>
        <w:t>，</w:t>
      </w:r>
      <w:r>
        <w:rPr>
          <w:rFonts w:hint="default" w:ascii="Times New Roman" w:hAnsi="Times New Roman" w:cs="Times New Roman"/>
          <w:bCs/>
          <w:color w:val="000000" w:themeColor="text1"/>
          <w:sz w:val="24"/>
          <w:szCs w:val="24"/>
          <w:u w:val="none"/>
          <w14:textFill>
            <w14:solidFill>
              <w14:schemeClr w14:val="tx1"/>
            </w14:solidFill>
          </w14:textFill>
        </w:rPr>
        <w:t>得3分；</w:t>
      </w:r>
    </w:p>
    <w:p w14:paraId="04C2DD85">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6"/>
          <w:sz w:val="24"/>
          <w:szCs w:val="24"/>
          <w:u w:val="none"/>
          <w14:textFill>
            <w14:solidFill>
              <w14:schemeClr w14:val="tx1"/>
            </w14:solidFill>
          </w14:textFill>
        </w:rPr>
        <w:t>设置宽度不少于1.25m 的专用健身慢行</w:t>
      </w:r>
      <w:r>
        <w:rPr>
          <w:rFonts w:hint="default" w:ascii="Times New Roman" w:hAnsi="Times New Roman" w:cs="Times New Roman"/>
          <w:color w:val="000000" w:themeColor="text1"/>
          <w:spacing w:val="-7"/>
          <w:sz w:val="24"/>
          <w:szCs w:val="24"/>
          <w:u w:val="none"/>
          <w14:textFill>
            <w14:solidFill>
              <w14:schemeClr w14:val="tx1"/>
            </w14:solidFill>
          </w14:textFill>
        </w:rPr>
        <w:t>道，健身慢行道</w:t>
      </w:r>
      <w:r>
        <w:rPr>
          <w:rFonts w:hint="default" w:ascii="Times New Roman" w:hAnsi="Times New Roman" w:cs="Times New Roman"/>
          <w:color w:val="000000" w:themeColor="text1"/>
          <w:spacing w:val="1"/>
          <w:sz w:val="24"/>
          <w:szCs w:val="24"/>
          <w:u w:val="none"/>
          <w14:textFill>
            <w14:solidFill>
              <w14:schemeClr w14:val="tx1"/>
            </w14:solidFill>
          </w14:textFill>
        </w:rPr>
        <w:t>长度不少于用地红线周长的1/4且不少于100m</w:t>
      </w:r>
      <w:r>
        <w:rPr>
          <w:rFonts w:hint="default" w:ascii="Times New Roman" w:hAnsi="Times New Roman" w:cs="Times New Roman"/>
          <w:color w:val="000000" w:themeColor="text1"/>
          <w:spacing w:val="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得2分；</w:t>
      </w:r>
    </w:p>
    <w:p w14:paraId="6A93E142">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1"/>
          <w:sz w:val="24"/>
          <w:szCs w:val="24"/>
          <w:u w:val="none"/>
          <w14:textFill>
            <w14:solidFill>
              <w14:schemeClr w14:val="tx1"/>
            </w14:solidFill>
          </w14:textFill>
        </w:rPr>
        <w:t>室内健身空间的面积不少于地上建筑面积的0.3%且不</w:t>
      </w:r>
      <w:r>
        <w:rPr>
          <w:rFonts w:hint="default" w:ascii="Times New Roman" w:hAnsi="Times New Roman" w:cs="Times New Roman"/>
          <w:color w:val="000000" w:themeColor="text1"/>
          <w:spacing w:val="5"/>
          <w:sz w:val="24"/>
          <w:szCs w:val="24"/>
          <w:u w:val="none"/>
          <w14:textFill>
            <w14:solidFill>
              <w14:schemeClr w14:val="tx1"/>
            </w14:solidFill>
          </w14:textFill>
        </w:rPr>
        <w:t>少于60 m²</w:t>
      </w:r>
      <w:r>
        <w:rPr>
          <w:rFonts w:hint="default" w:ascii="Times New Roman" w:hAnsi="Times New Roman" w:cs="Times New Roman"/>
          <w:color w:val="000000" w:themeColor="text1"/>
          <w:spacing w:val="5"/>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5"/>
          <w:sz w:val="24"/>
          <w:szCs w:val="24"/>
          <w:u w:val="none"/>
          <w14:textFill>
            <w14:solidFill>
              <w14:schemeClr w14:val="tx1"/>
            </w14:solidFill>
          </w14:textFill>
        </w:rPr>
        <w:t>得3分；</w:t>
      </w:r>
    </w:p>
    <w:p w14:paraId="6C383241">
      <w:pPr>
        <w:spacing w:line="360" w:lineRule="auto"/>
        <w:ind w:firstLine="325" w:firstLineChars="150"/>
        <w:rPr>
          <w:rFonts w:hint="default" w:ascii="Times New Roman" w:hAnsi="Times New Roman" w:cs="Times New Roman"/>
          <w:color w:val="000000" w:themeColor="text1"/>
          <w:spacing w:val="6"/>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 </w:t>
      </w:r>
      <w:r>
        <w:rPr>
          <w:rFonts w:hint="default" w:ascii="Times New Roman" w:hAnsi="Times New Roman" w:cs="Times New Roman"/>
          <w:color w:val="000000" w:themeColor="text1"/>
          <w:spacing w:val="-7"/>
          <w:sz w:val="24"/>
          <w:szCs w:val="24"/>
          <w:u w:val="none"/>
          <w14:textFill>
            <w14:solidFill>
              <w14:schemeClr w14:val="tx1"/>
            </w14:solidFill>
          </w14:textFill>
        </w:rPr>
        <w:t>楼梯间具有天然采光和良好的视野，且距离主入口的距</w:t>
      </w:r>
      <w:r>
        <w:rPr>
          <w:rFonts w:hint="default" w:ascii="Times New Roman" w:hAnsi="Times New Roman" w:cs="Times New Roman"/>
          <w:color w:val="000000" w:themeColor="text1"/>
          <w:spacing w:val="6"/>
          <w:sz w:val="24"/>
          <w:szCs w:val="24"/>
          <w:u w:val="none"/>
          <w14:textFill>
            <w14:solidFill>
              <w14:schemeClr w14:val="tx1"/>
            </w14:solidFill>
          </w14:textFill>
        </w:rPr>
        <w:t>离不大于15m</w:t>
      </w:r>
      <w:r>
        <w:rPr>
          <w:rFonts w:hint="default" w:ascii="Times New Roman" w:hAnsi="Times New Roman" w:cs="Times New Roman"/>
          <w:color w:val="000000" w:themeColor="text1"/>
          <w:spacing w:val="6"/>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6"/>
          <w:sz w:val="24"/>
          <w:szCs w:val="24"/>
          <w:u w:val="none"/>
          <w14:textFill>
            <w14:solidFill>
              <w14:schemeClr w14:val="tx1"/>
            </w14:solidFill>
          </w14:textFill>
        </w:rPr>
        <w:t>得2分。</w:t>
      </w:r>
    </w:p>
    <w:p w14:paraId="1F1F55C2">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67" w:name="_Toc17891"/>
      <w:bookmarkStart w:id="68" w:name="_Toc204247723"/>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Ⅲ</w:t>
      </w:r>
      <w:r>
        <w:rPr>
          <w:rFonts w:hint="default" w:ascii="Times New Roman" w:hAnsi="Times New Roman" w:cs="Times New Roman"/>
          <w:color w:val="000000" w:themeColor="text1"/>
          <w:sz w:val="24"/>
          <w:szCs w:val="24"/>
          <w:u w:val="none"/>
          <w:lang w:eastAsia="zh-CN"/>
          <w14:textFill>
            <w14:solidFill>
              <w14:schemeClr w14:val="tx1"/>
            </w14:solidFill>
          </w14:textFill>
        </w:rPr>
        <w:t xml:space="preserve"> 智慧运行</w:t>
      </w:r>
      <w:bookmarkEnd w:id="67"/>
      <w:bookmarkEnd w:id="68"/>
    </w:p>
    <w:p w14:paraId="5CB1BFAE">
      <w:pPr>
        <w:spacing w:before="206" w:line="360" w:lineRule="auto"/>
        <w:ind w:right="78"/>
        <w:rPr>
          <w:rFonts w:hint="default" w:ascii="Times New Roman" w:hAnsi="Times New Roman"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6.2.6</w:t>
      </w:r>
      <w:r>
        <w:rPr>
          <w:rFonts w:hint="default" w:ascii="Times New Roman" w:hAnsi="Times New Roman" w:cs="Times New Roman"/>
          <w:color w:val="000000" w:themeColor="text1"/>
          <w:spacing w:val="6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5"/>
          <w:sz w:val="24"/>
          <w:szCs w:val="24"/>
          <w:u w:val="none"/>
          <w14:textFill>
            <w14:solidFill>
              <w14:schemeClr w14:val="tx1"/>
            </w14:solidFill>
          </w14:textFill>
        </w:rPr>
        <w:t>设置分类、分级用能自动远传计量系统，且设置能源管</w:t>
      </w:r>
      <w:r>
        <w:rPr>
          <w:rFonts w:hint="default" w:ascii="Times New Roman" w:hAnsi="Times New Roman" w:cs="Times New Roman"/>
          <w:color w:val="000000" w:themeColor="text1"/>
          <w:spacing w:val="-4"/>
          <w:sz w:val="24"/>
          <w:szCs w:val="24"/>
          <w:u w:val="none"/>
          <w14:textFill>
            <w14:solidFill>
              <w14:schemeClr w14:val="tx1"/>
            </w14:solidFill>
          </w14:textFill>
        </w:rPr>
        <w:t>理系统实现对建筑能耗的监测、数据分析和管理，评价分值为</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8分。</w:t>
      </w:r>
    </w:p>
    <w:p w14:paraId="4FD306E4">
      <w:pPr>
        <w:spacing w:before="49" w:line="360" w:lineRule="auto"/>
        <w:ind w:right="78"/>
        <w:rPr>
          <w:rFonts w:hint="default" w:ascii="Times New Roman" w:hAnsi="Times New Roman"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6.2.7</w:t>
      </w:r>
      <w:r>
        <w:rPr>
          <w:rFonts w:hint="default" w:ascii="Times New Roman" w:hAnsi="Times New Roman" w:cs="Times New Roman"/>
          <w:bCs/>
          <w:color w:val="000000" w:themeColor="text1"/>
          <w:spacing w:val="-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设置PM1o、PM2.5</w:t>
      </w:r>
      <w:r>
        <w:rPr>
          <w:rFonts w:hint="default" w:ascii="Times New Roman" w:hAnsi="Times New Roman" w:cs="Times New Roman"/>
          <w:color w:val="000000" w:themeColor="text1"/>
          <w:spacing w:val="-3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、CO₂浓度的空气质量监</w:t>
      </w:r>
      <w:r>
        <w:rPr>
          <w:rFonts w:hint="default" w:ascii="Times New Roman" w:hAnsi="Times New Roman" w:cs="Times New Roman"/>
          <w:color w:val="000000" w:themeColor="text1"/>
          <w:spacing w:val="-5"/>
          <w:sz w:val="24"/>
          <w:szCs w:val="24"/>
          <w:u w:val="none"/>
          <w14:textFill>
            <w14:solidFill>
              <w14:schemeClr w14:val="tx1"/>
            </w14:solidFill>
          </w14:textFill>
        </w:rPr>
        <w:t>测系统，且</w:t>
      </w:r>
      <w:r>
        <w:rPr>
          <w:rFonts w:hint="default" w:ascii="Times New Roman" w:hAnsi="Times New Roman" w:cs="Times New Roman"/>
          <w:color w:val="000000" w:themeColor="text1"/>
          <w:spacing w:val="-3"/>
          <w:sz w:val="24"/>
          <w:szCs w:val="24"/>
          <w:u w:val="none"/>
          <w14:textFill>
            <w14:solidFill>
              <w14:schemeClr w14:val="tx1"/>
            </w14:solidFill>
          </w14:textFill>
        </w:rPr>
        <w:t>具有存储至少一年的监测数据和实时显示等功能，评价分值为</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5分。</w:t>
      </w:r>
    </w:p>
    <w:p w14:paraId="0D550475">
      <w:pPr>
        <w:spacing w:before="49" w:line="360" w:lineRule="auto"/>
        <w:ind w:right="78"/>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6.2.8</w:t>
      </w:r>
      <w:r>
        <w:rPr>
          <w:rFonts w:hint="default" w:ascii="Times New Roman" w:hAnsi="Times New Roman" w:cs="Times New Roman"/>
          <w:color w:val="000000" w:themeColor="text1"/>
          <w:spacing w:val="8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设置用水远传计量系统、水质在</w:t>
      </w:r>
      <w:r>
        <w:rPr>
          <w:rFonts w:hint="default" w:ascii="Times New Roman" w:hAnsi="Times New Roman" w:cs="Times New Roman"/>
          <w:color w:val="000000" w:themeColor="text1"/>
          <w:spacing w:val="-7"/>
          <w:sz w:val="24"/>
          <w:szCs w:val="24"/>
          <w:u w:val="none"/>
          <w14:textFill>
            <w14:solidFill>
              <w14:schemeClr w14:val="tx1"/>
            </w14:solidFill>
          </w14:textFill>
        </w:rPr>
        <w:t>线监测系统，评价总分</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值为7分，并按下列规则分别评分并累计：</w:t>
      </w:r>
    </w:p>
    <w:p w14:paraId="29EB3076">
      <w:pPr>
        <w:spacing w:before="39" w:line="360" w:lineRule="auto"/>
        <w:ind w:right="100" w:firstLine="41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设置用水量远传计量系统，能分类、分级记录、统计分</w:t>
      </w:r>
      <w:r>
        <w:rPr>
          <w:rFonts w:hint="default" w:ascii="Times New Roman" w:hAnsi="Times New Roman" w:cs="Times New Roman"/>
          <w:color w:val="000000" w:themeColor="text1"/>
          <w:spacing w:val="-5"/>
          <w:sz w:val="24"/>
          <w:szCs w:val="24"/>
          <w:u w:val="none"/>
          <w14:textFill>
            <w14:solidFill>
              <w14:schemeClr w14:val="tx1"/>
            </w14:solidFill>
          </w14:textFill>
        </w:rPr>
        <w:t>析各种用水情况，得3分；</w:t>
      </w:r>
    </w:p>
    <w:p w14:paraId="3A27A499">
      <w:pPr>
        <w:spacing w:before="39" w:line="360" w:lineRule="auto"/>
        <w:ind w:right="98" w:firstLine="41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7"/>
          <w:sz w:val="24"/>
          <w:szCs w:val="24"/>
          <w:u w:val="none"/>
          <w14:textFill>
            <w14:solidFill>
              <w14:schemeClr w14:val="tx1"/>
            </w14:solidFill>
          </w14:textFill>
        </w:rPr>
        <w:t>利用计量数据进行管网漏损自动检测、分析与整改，管</w:t>
      </w:r>
      <w:r>
        <w:rPr>
          <w:rFonts w:hint="default" w:ascii="Times New Roman" w:hAnsi="Times New Roman" w:cs="Times New Roman"/>
          <w:color w:val="000000" w:themeColor="text1"/>
          <w:spacing w:val="16"/>
          <w:sz w:val="24"/>
          <w:szCs w:val="24"/>
          <w:u w:val="none"/>
          <w14:textFill>
            <w14:solidFill>
              <w14:schemeClr w14:val="tx1"/>
            </w14:solidFill>
          </w14:textFill>
        </w:rPr>
        <w:t>道漏损率低于5%</w:t>
      </w:r>
      <w:r>
        <w:rPr>
          <w:rFonts w:hint="default" w:ascii="Times New Roman" w:hAnsi="Times New Roman" w:cs="Times New Roman"/>
          <w:color w:val="000000" w:themeColor="text1"/>
          <w:spacing w:val="16"/>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6"/>
          <w:sz w:val="24"/>
          <w:szCs w:val="24"/>
          <w:u w:val="none"/>
          <w14:textFill>
            <w14:solidFill>
              <w14:schemeClr w14:val="tx1"/>
            </w14:solidFill>
          </w14:textFill>
        </w:rPr>
        <w:t>得2分；</w:t>
      </w:r>
    </w:p>
    <w:p w14:paraId="1EEF051F">
      <w:pPr>
        <w:spacing w:before="46" w:line="360" w:lineRule="auto"/>
        <w:ind w:firstLine="41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11"/>
          <w:sz w:val="24"/>
          <w:szCs w:val="24"/>
          <w:u w:val="none"/>
          <w14:textFill>
            <w14:solidFill>
              <w14:schemeClr w14:val="tx1"/>
            </w14:solidFill>
          </w14:textFill>
        </w:rPr>
        <w:t>设置水质在线监测系统，监测生活饮用水、管道直饮水、</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1"/>
          <w:sz w:val="24"/>
          <w:szCs w:val="24"/>
          <w:u w:val="none"/>
          <w14:textFill>
            <w14:solidFill>
              <w14:schemeClr w14:val="tx1"/>
            </w14:solidFill>
          </w14:textFill>
        </w:rPr>
        <w:t>游泳池水、非传统水源、空调冷却水的水质指标，记录并保存水</w:t>
      </w:r>
    </w:p>
    <w:p w14:paraId="17EE1B52">
      <w:pPr>
        <w:spacing w:before="71"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pacing w:val="-7"/>
          <w:sz w:val="24"/>
          <w:szCs w:val="24"/>
          <w:u w:val="none"/>
          <w14:textFill>
            <w14:solidFill>
              <w14:schemeClr w14:val="tx1"/>
            </w14:solidFill>
          </w14:textFill>
        </w:rPr>
        <w:t>质监测结果，且能随时供用户查询，得2分。</w:t>
      </w:r>
    </w:p>
    <w:p w14:paraId="633CFC09">
      <w:pPr>
        <w:spacing w:before="69" w:line="360" w:lineRule="auto"/>
        <w:ind w:right="100"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6.2.9</w:t>
      </w:r>
      <w:r>
        <w:rPr>
          <w:rFonts w:hint="default" w:ascii="Times New Roman" w:hAnsi="Times New Roman" w:cs="Times New Roman"/>
          <w:color w:val="000000" w:themeColor="text1"/>
          <w:spacing w:val="90"/>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具有智能化服务系统，评价总分值为9分，并按下列规</w:t>
      </w:r>
      <w:r>
        <w:rPr>
          <w:rFonts w:hint="default" w:ascii="Times New Roman" w:hAnsi="Times New Roman" w:cs="Times New Roman"/>
          <w:color w:val="000000" w:themeColor="text1"/>
          <w:spacing w:val="-13"/>
          <w:sz w:val="24"/>
          <w:szCs w:val="24"/>
          <w:u w:val="none"/>
          <w14:textFill>
            <w14:solidFill>
              <w14:schemeClr w14:val="tx1"/>
            </w14:solidFill>
          </w14:textFill>
        </w:rPr>
        <w:t>则分别评分并累计：</w:t>
      </w:r>
    </w:p>
    <w:p w14:paraId="2DD4ED5B">
      <w:pPr>
        <w:spacing w:before="67" w:line="360" w:lineRule="auto"/>
        <w:ind w:right="101" w:firstLine="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具有家电控制、照明控制、安全报警、环境监测、建筑</w:t>
      </w:r>
      <w:r>
        <w:rPr>
          <w:rFonts w:hint="default" w:ascii="Times New Roman" w:hAnsi="Times New Roman" w:cs="Times New Roman"/>
          <w:color w:val="000000" w:themeColor="text1"/>
          <w:spacing w:val="-4"/>
          <w:sz w:val="24"/>
          <w:szCs w:val="24"/>
          <w:u w:val="none"/>
          <w14:textFill>
            <w14:solidFill>
              <w14:schemeClr w14:val="tx1"/>
            </w14:solidFill>
          </w14:textFill>
        </w:rPr>
        <w:t>设备控制、工作生活服务等至少3种类型的服务功能，得3分；</w:t>
      </w:r>
    </w:p>
    <w:p w14:paraId="1059ECFE">
      <w:pPr>
        <w:spacing w:before="49" w:line="360" w:lineRule="auto"/>
        <w:ind w:left="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5"/>
          <w:sz w:val="24"/>
          <w:szCs w:val="24"/>
          <w:u w:val="none"/>
          <w14:textFill>
            <w14:solidFill>
              <w14:schemeClr w14:val="tx1"/>
            </w14:solidFill>
          </w14:textFill>
        </w:rPr>
        <w:t>具有远程监控的功能，得3分；</w:t>
      </w:r>
    </w:p>
    <w:p w14:paraId="5B47F58A">
      <w:pPr>
        <w:spacing w:before="48" w:line="360" w:lineRule="auto"/>
        <w:ind w:left="419"/>
        <w:rPr>
          <w:rFonts w:hint="default" w:ascii="Times New Roman" w:hAnsi="Times New Roman"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1"/>
          <w:sz w:val="24"/>
          <w:szCs w:val="24"/>
          <w:u w:val="none"/>
          <w14:textFill>
            <w14:solidFill>
              <w14:schemeClr w14:val="tx1"/>
            </w14:solidFill>
          </w14:textFill>
        </w:rPr>
        <w:t>具有接入智慧城市（城区、社区）的功能，得3分。</w:t>
      </w:r>
    </w:p>
    <w:p w14:paraId="3070CC4B">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69" w:name="_Toc3368"/>
      <w:r>
        <w:rPr>
          <w:rFonts w:hint="default" w:ascii="Times New Roman" w:hAnsi="Times New Roman" w:cs="Times New Roman"/>
          <w:color w:val="000000" w:themeColor="text1"/>
          <w:sz w:val="24"/>
          <w:szCs w:val="24"/>
          <w:u w:val="none"/>
          <w:lang w:eastAsia="zh-CN"/>
          <w14:textFill>
            <w14:solidFill>
              <w14:schemeClr w14:val="tx1"/>
            </w14:solidFill>
          </w14:textFill>
        </w:rPr>
        <w:t>IV 运营管理</w:t>
      </w:r>
      <w:bookmarkEnd w:id="69"/>
    </w:p>
    <w:p w14:paraId="17F68B6F">
      <w:pPr>
        <w:spacing w:before="48"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6.2.10 </w:t>
      </w:r>
      <w:r>
        <w:rPr>
          <w:rFonts w:hint="default" w:ascii="Times New Roman" w:hAnsi="Times New Roman" w:cs="Times New Roman"/>
          <w:color w:val="000000" w:themeColor="text1"/>
          <w:sz w:val="24"/>
          <w:szCs w:val="24"/>
          <w:u w:val="none"/>
          <w14:textFill>
            <w14:solidFill>
              <w14:schemeClr w14:val="tx1"/>
            </w14:solidFill>
          </w14:textFill>
        </w:rPr>
        <w:t xml:space="preserve"> 制定完善的节能、节水的操作规程，实施能源资源管理激励机制，且有效实施，评价总分值为5分，并按下列规则分别评分并累计：</w:t>
      </w:r>
    </w:p>
    <w:p w14:paraId="65E0A718">
      <w:pPr>
        <w:spacing w:before="48" w:line="360" w:lineRule="auto"/>
        <w:ind w:left="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z w:val="24"/>
          <w:szCs w:val="24"/>
          <w:u w:val="none"/>
          <w14:textFill>
            <w14:solidFill>
              <w14:schemeClr w14:val="tx1"/>
            </w14:solidFill>
          </w14:textFill>
        </w:rPr>
        <w:t>相关设施具有完善的操作规程，得2分；</w:t>
      </w:r>
    </w:p>
    <w:p w14:paraId="5CEDD947">
      <w:pPr>
        <w:spacing w:before="67" w:line="360" w:lineRule="auto"/>
        <w:ind w:right="101" w:firstLine="419"/>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运营管理机构的工作考核体系中包含节能和节水绩效考核激励机制，得3分。</w:t>
      </w:r>
    </w:p>
    <w:p w14:paraId="2A098C6C">
      <w:pPr>
        <w:spacing w:before="48"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6.2.11 </w:t>
      </w:r>
      <w:r>
        <w:rPr>
          <w:rFonts w:hint="default" w:ascii="Times New Roman" w:hAnsi="Times New Roman" w:cs="Times New Roman"/>
          <w:color w:val="000000" w:themeColor="text1"/>
          <w:sz w:val="24"/>
          <w:szCs w:val="24"/>
          <w:u w:val="none"/>
          <w14:textFill>
            <w14:solidFill>
              <w14:schemeClr w14:val="tx1"/>
            </w14:solidFill>
          </w14:textFill>
        </w:rPr>
        <w:t xml:space="preserve"> 建筑平均日用水量满足现行国家标准《民用建筑节水设计标准》GB50555中节水用水定额的要求，评价总分值为5分，并按下列规则评分：</w:t>
      </w:r>
    </w:p>
    <w:p w14:paraId="719D1D4C">
      <w:pPr>
        <w:spacing w:before="48" w:line="360" w:lineRule="auto"/>
        <w:ind w:left="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z w:val="24"/>
          <w:szCs w:val="24"/>
          <w:u w:val="none"/>
          <w14:textFill>
            <w14:solidFill>
              <w14:schemeClr w14:val="tx1"/>
            </w14:solidFill>
          </w14:textFill>
        </w:rPr>
        <w:t xml:space="preserve"> 平均日用水量大于节水用水定额的平均值、不大于上限值，得2分。</w:t>
      </w:r>
    </w:p>
    <w:p w14:paraId="108F0603">
      <w:pPr>
        <w:spacing w:before="48" w:line="360" w:lineRule="auto"/>
        <w:ind w:left="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z w:val="24"/>
          <w:szCs w:val="24"/>
          <w:u w:val="none"/>
          <w14:textFill>
            <w14:solidFill>
              <w14:schemeClr w14:val="tx1"/>
            </w14:solidFill>
          </w14:textFill>
        </w:rPr>
        <w:t xml:space="preserve"> 平均日用水量大于节水用水定额下限值、不大于平均值， 得3分。</w:t>
      </w:r>
    </w:p>
    <w:p w14:paraId="2FF95940">
      <w:pPr>
        <w:spacing w:before="48" w:line="360" w:lineRule="auto"/>
        <w:ind w:left="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default" w:ascii="Times New Roman" w:hAnsi="Times New Roman" w:cs="Times New Roman"/>
          <w:color w:val="000000" w:themeColor="text1"/>
          <w:sz w:val="24"/>
          <w:szCs w:val="24"/>
          <w:u w:val="none"/>
          <w14:textFill>
            <w14:solidFill>
              <w14:schemeClr w14:val="tx1"/>
            </w14:solidFill>
          </w14:textFill>
        </w:rPr>
        <w:t xml:space="preserve"> 平均日用水量不大于节水用水定额下限值，得5分。</w:t>
      </w:r>
    </w:p>
    <w:p w14:paraId="6FEDD360">
      <w:pPr>
        <w:spacing w:before="48"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6.2.12  </w:t>
      </w:r>
      <w:r>
        <w:rPr>
          <w:rFonts w:hint="default" w:ascii="Times New Roman" w:hAnsi="Times New Roman" w:cs="Times New Roman"/>
          <w:color w:val="000000" w:themeColor="text1"/>
          <w:sz w:val="24"/>
          <w:szCs w:val="24"/>
          <w:u w:val="none"/>
          <w14:textFill>
            <w14:solidFill>
              <w14:schemeClr w14:val="tx1"/>
            </w14:solidFill>
          </w14:textFill>
        </w:rPr>
        <w:t>定期对建筑运营效果进行评估，并根据结果进行运行优化，评价总分值为10分，并按下列规则分别评分并累计：</w:t>
      </w:r>
    </w:p>
    <w:p w14:paraId="1D2C3549">
      <w:pPr>
        <w:spacing w:before="48" w:line="360" w:lineRule="auto"/>
        <w:ind w:left="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z w:val="24"/>
          <w:szCs w:val="24"/>
          <w:u w:val="none"/>
          <w14:textFill>
            <w14:solidFill>
              <w14:schemeClr w14:val="tx1"/>
            </w14:solidFill>
          </w14:textFill>
        </w:rPr>
        <w:t>制定绿色建筑运营效果评估的技术方案和计划，得3分；</w:t>
      </w:r>
    </w:p>
    <w:p w14:paraId="67E0CDD0">
      <w:pPr>
        <w:spacing w:before="67" w:line="360" w:lineRule="auto"/>
        <w:ind w:right="101" w:firstLine="419"/>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定期检查、调适公共设施设备，具有检查、调试、运行、标定的记录，且记录完整，得3分；</w:t>
      </w:r>
    </w:p>
    <w:p w14:paraId="62483AF2">
      <w:pPr>
        <w:spacing w:before="48" w:line="360" w:lineRule="auto"/>
        <w:ind w:left="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z w:val="24"/>
          <w:szCs w:val="24"/>
          <w:u w:val="none"/>
          <w14:textFill>
            <w14:solidFill>
              <w14:schemeClr w14:val="tx1"/>
            </w14:solidFill>
          </w14:textFill>
        </w:rPr>
        <w:t>定期开展节能诊断评估，并根据评估结果制定优化方案并实施，得4分。</w:t>
      </w:r>
    </w:p>
    <w:p w14:paraId="065F898D">
      <w:pPr>
        <w:spacing w:before="48"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6.2.13  </w:t>
      </w:r>
      <w:r>
        <w:rPr>
          <w:rFonts w:hint="default" w:ascii="Times New Roman" w:hAnsi="Times New Roman" w:cs="Times New Roman"/>
          <w:color w:val="000000" w:themeColor="text1"/>
          <w:sz w:val="24"/>
          <w:szCs w:val="24"/>
          <w:u w:val="none"/>
          <w14:textFill>
            <w14:solidFill>
              <w14:schemeClr w14:val="tx1"/>
            </w14:solidFill>
          </w14:textFill>
        </w:rPr>
        <w:t>建立绿色低碳教育宣传和实践机制，形成良好的绿色氛围，并定期开展使用者满意度调查，评价总分值为10分，并按下列规则分别评分并累计：</w:t>
      </w:r>
    </w:p>
    <w:p w14:paraId="776A7113">
      <w:pPr>
        <w:spacing w:before="48" w:line="360" w:lineRule="auto"/>
        <w:ind w:left="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z w:val="24"/>
          <w:szCs w:val="24"/>
          <w:u w:val="none"/>
          <w14:textFill>
            <w14:solidFill>
              <w14:schemeClr w14:val="tx1"/>
            </w14:solidFill>
          </w14:textFill>
        </w:rPr>
        <w:t xml:space="preserve"> 每年组织不少于2次的绿色建筑技术宣传、绿色生活引导等绿色低碳教育宣传和实践活动，并有活动记录，得3分</w:t>
      </w:r>
    </w:p>
    <w:p w14:paraId="4194CE76">
      <w:pPr>
        <w:spacing w:before="48" w:line="360" w:lineRule="auto"/>
        <w:ind w:left="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z w:val="24"/>
          <w:szCs w:val="24"/>
          <w:u w:val="none"/>
          <w14:textFill>
            <w14:solidFill>
              <w14:schemeClr w14:val="tx1"/>
            </w14:solidFill>
          </w14:textFill>
        </w:rPr>
        <w:t>具有绿色低碳生活展示、体验或交流分享的渠道，得 3分；</w:t>
      </w:r>
    </w:p>
    <w:p w14:paraId="61BE38A2">
      <w:pPr>
        <w:spacing w:before="67" w:line="360" w:lineRule="auto"/>
        <w:ind w:right="101" w:firstLine="419"/>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每年开展1次针对建筑绿色性能的使用者满意度调查，且根据调查结果制定改进措施并实施、公示，得4分。</w:t>
      </w:r>
    </w:p>
    <w:p w14:paraId="6A83AAE0">
      <w:pPr>
        <w:spacing w:before="48" w:line="360" w:lineRule="auto"/>
        <w:ind w:left="419"/>
        <w:rPr>
          <w:rFonts w:hint="default" w:ascii="Times New Roman" w:hAnsi="Times New Roman" w:cs="Times New Roman"/>
          <w:b/>
          <w:color w:val="000000" w:themeColor="text1"/>
          <w:spacing w:val="-1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br w:type="page"/>
      </w:r>
    </w:p>
    <w:p w14:paraId="4289E9EC">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70" w:name="_Toc13536"/>
      <w:bookmarkStart w:id="71" w:name="_Toc204247725"/>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7 资源节约</w:t>
      </w:r>
      <w:bookmarkEnd w:id="70"/>
      <w:bookmarkEnd w:id="71"/>
    </w:p>
    <w:p w14:paraId="3ADD6E52">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72" w:name="bookmark26"/>
      <w:bookmarkEnd w:id="72"/>
      <w:bookmarkStart w:id="73" w:name="_Toc18513"/>
      <w:bookmarkStart w:id="74" w:name="_Toc204247726"/>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7.1 控制项</w:t>
      </w:r>
      <w:bookmarkEnd w:id="73"/>
      <w:bookmarkEnd w:id="74"/>
    </w:p>
    <w:p w14:paraId="0BA4485B">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7.1.1</w:t>
      </w:r>
      <w:r>
        <w:rPr>
          <w:rFonts w:hint="default" w:ascii="Times New Roman" w:hAnsi="Times New Roman" w:cs="Times New Roman"/>
          <w:color w:val="000000" w:themeColor="text1"/>
          <w:spacing w:val="8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应结合场地自然条件和建筑功能需求</w:t>
      </w:r>
      <w:r>
        <w:rPr>
          <w:rFonts w:hint="default" w:ascii="Times New Roman" w:hAnsi="Times New Roman" w:cs="Times New Roman"/>
          <w:color w:val="000000" w:themeColor="text1"/>
          <w:spacing w:val="-4"/>
          <w:sz w:val="24"/>
          <w:szCs w:val="24"/>
          <w:u w:val="none"/>
          <w14:textFill>
            <w14:solidFill>
              <w14:schemeClr w14:val="tx1"/>
            </w14:solidFill>
          </w14:textFill>
        </w:rPr>
        <w:t>，对建筑的体形、</w:t>
      </w:r>
      <w:r>
        <w:rPr>
          <w:rFonts w:hint="default" w:ascii="Times New Roman" w:hAnsi="Times New Roman" w:cs="Times New Roman"/>
          <w:color w:val="000000" w:themeColor="text1"/>
          <w:spacing w:val="-11"/>
          <w:sz w:val="24"/>
          <w:szCs w:val="24"/>
          <w:u w:val="none"/>
          <w14:textFill>
            <w14:solidFill>
              <w14:schemeClr w14:val="tx1"/>
            </w14:solidFill>
          </w14:textFill>
        </w:rPr>
        <w:t>平面布局、空间尺度、围护结构等进行节能设计，且应符合国家</w:t>
      </w:r>
      <w:r>
        <w:rPr>
          <w:rFonts w:hint="default" w:ascii="Times New Roman" w:hAnsi="Times New Roman" w:cs="Times New Roman"/>
          <w:color w:val="000000" w:themeColor="text1"/>
          <w:spacing w:val="-14"/>
          <w:sz w:val="24"/>
          <w:szCs w:val="24"/>
          <w:u w:val="none"/>
          <w14:textFill>
            <w14:solidFill>
              <w14:schemeClr w14:val="tx1"/>
            </w14:solidFill>
          </w14:textFill>
        </w:rPr>
        <w:t>有关节能设计的要求。</w:t>
      </w:r>
    </w:p>
    <w:p w14:paraId="5D8614CE">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7.1.2</w:t>
      </w:r>
      <w:r>
        <w:rPr>
          <w:rFonts w:hint="default" w:ascii="Times New Roman" w:hAnsi="Times New Roman" w:cs="Times New Roman"/>
          <w:color w:val="000000" w:themeColor="text1"/>
          <w:spacing w:val="9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应采取措施降低部分负荷、部分空间使用下的供暖、空</w:t>
      </w:r>
      <w:r>
        <w:rPr>
          <w:rFonts w:hint="default" w:ascii="Times New Roman" w:hAnsi="Times New Roman" w:cs="Times New Roman"/>
          <w:color w:val="000000" w:themeColor="text1"/>
          <w:spacing w:val="-14"/>
          <w:sz w:val="24"/>
          <w:szCs w:val="24"/>
          <w:u w:val="none"/>
          <w14:textFill>
            <w14:solidFill>
              <w14:schemeClr w14:val="tx1"/>
            </w14:solidFill>
          </w14:textFill>
        </w:rPr>
        <w:t>调系统能耗，并应符合下列规定：</w:t>
      </w:r>
    </w:p>
    <w:p w14:paraId="535399DA">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应区分房间的朝向细分供暖、空调区域，并应对系统进</w:t>
      </w:r>
      <w:r>
        <w:rPr>
          <w:rFonts w:hint="default" w:ascii="Times New Roman" w:hAnsi="Times New Roman" w:cs="Times New Roman"/>
          <w:color w:val="000000" w:themeColor="text1"/>
          <w:spacing w:val="-13"/>
          <w:sz w:val="24"/>
          <w:szCs w:val="24"/>
          <w:u w:val="none"/>
          <w14:textFill>
            <w14:solidFill>
              <w14:schemeClr w14:val="tx1"/>
            </w14:solidFill>
          </w14:textFill>
        </w:rPr>
        <w:t>行分区控制；</w:t>
      </w:r>
    </w:p>
    <w:p w14:paraId="002A3180">
      <w:pPr>
        <w:spacing w:line="360" w:lineRule="auto"/>
        <w:ind w:firstLine="325" w:firstLineChars="150"/>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7"/>
          <w:sz w:val="24"/>
          <w:szCs w:val="24"/>
          <w:u w:val="none"/>
          <w14:textFill>
            <w14:solidFill>
              <w14:schemeClr w14:val="tx1"/>
            </w14:solidFill>
          </w14:textFill>
        </w:rPr>
        <w:t>空调系统的电冷源综合制冷性能系数应符合现行国家标</w:t>
      </w:r>
      <w:r>
        <w:rPr>
          <w:rFonts w:hint="default" w:ascii="Times New Roman" w:hAnsi="Times New Roman" w:cs="Times New Roman"/>
          <w:color w:val="000000" w:themeColor="text1"/>
          <w:spacing w:val="-8"/>
          <w:sz w:val="24"/>
          <w:szCs w:val="24"/>
          <w:u w:val="none"/>
          <w14:textFill>
            <w14:solidFill>
              <w14:schemeClr w14:val="tx1"/>
            </w14:solidFill>
          </w14:textFill>
        </w:rPr>
        <w:t>准《公共建筑节能设计标准》GB 50189的规定。</w:t>
      </w:r>
    </w:p>
    <w:p w14:paraId="0F9E456F">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7.1.3</w:t>
      </w:r>
      <w:r>
        <w:rPr>
          <w:rFonts w:hint="default" w:ascii="Times New Roman" w:hAnsi="Times New Roman" w:cs="Times New Roman"/>
          <w:color w:val="000000" w:themeColor="text1"/>
          <w:spacing w:val="9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应根据建筑空间功能设置分区温度，合理降低室内过渡</w:t>
      </w:r>
      <w:r>
        <w:rPr>
          <w:rFonts w:hint="default" w:ascii="Times New Roman" w:hAnsi="Times New Roman" w:cs="Times New Roman"/>
          <w:color w:val="000000" w:themeColor="text1"/>
          <w:spacing w:val="-15"/>
          <w:sz w:val="24"/>
          <w:szCs w:val="24"/>
          <w:u w:val="none"/>
          <w14:textFill>
            <w14:solidFill>
              <w14:schemeClr w14:val="tx1"/>
            </w14:solidFill>
          </w14:textFill>
        </w:rPr>
        <w:t>区空间的温度设定标准。</w:t>
      </w:r>
    </w:p>
    <w:p w14:paraId="1E07A174">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7.1.4</w:t>
      </w:r>
      <w:r>
        <w:rPr>
          <w:rFonts w:hint="default" w:ascii="Times New Roman" w:hAnsi="Times New Roman" w:cs="Times New Roman"/>
          <w:color w:val="000000" w:themeColor="text1"/>
          <w:spacing w:val="7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公共区域的照明系统应采用分区、定时、感应</w:t>
      </w:r>
      <w:r>
        <w:rPr>
          <w:rFonts w:hint="default" w:ascii="Times New Roman" w:hAnsi="Times New Roman" w:cs="Times New Roman"/>
          <w:color w:val="000000" w:themeColor="text1"/>
          <w:spacing w:val="-7"/>
          <w:sz w:val="24"/>
          <w:szCs w:val="24"/>
          <w:u w:val="none"/>
          <w14:textFill>
            <w14:solidFill>
              <w14:schemeClr w14:val="tx1"/>
            </w14:solidFill>
          </w14:textFill>
        </w:rPr>
        <w:t>等节能控</w:t>
      </w:r>
      <w:r>
        <w:rPr>
          <w:rFonts w:hint="default" w:ascii="Times New Roman" w:hAnsi="Times New Roman" w:cs="Times New Roman"/>
          <w:color w:val="000000" w:themeColor="text1"/>
          <w:spacing w:val="-12"/>
          <w:sz w:val="24"/>
          <w:szCs w:val="24"/>
          <w:u w:val="none"/>
          <w14:textFill>
            <w14:solidFill>
              <w14:schemeClr w14:val="tx1"/>
            </w14:solidFill>
          </w14:textFill>
        </w:rPr>
        <w:t>制；采光区域的照明控制应独立于其他区域的照明控制。</w:t>
      </w:r>
    </w:p>
    <w:p w14:paraId="48A1CAAD">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7.1.5</w:t>
      </w:r>
      <w:r>
        <w:rPr>
          <w:rFonts w:hint="default" w:ascii="Times New Roman" w:hAnsi="Times New Roman" w:cs="Times New Roman"/>
          <w:color w:val="000000" w:themeColor="text1"/>
          <w:spacing w:val="8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冷热源、输配系统和照明等各部</w:t>
      </w:r>
      <w:r>
        <w:rPr>
          <w:rFonts w:hint="default" w:ascii="Times New Roman" w:hAnsi="Times New Roman" w:cs="Times New Roman"/>
          <w:color w:val="000000" w:themeColor="text1"/>
          <w:spacing w:val="-7"/>
          <w:sz w:val="24"/>
          <w:szCs w:val="24"/>
          <w:u w:val="none"/>
          <w14:textFill>
            <w14:solidFill>
              <w14:schemeClr w14:val="tx1"/>
            </w14:solidFill>
          </w14:textFill>
        </w:rPr>
        <w:t>分能耗应进行独立分项</w:t>
      </w:r>
      <w:r>
        <w:rPr>
          <w:rFonts w:hint="default" w:ascii="Times New Roman" w:hAnsi="Times New Roman" w:cs="Times New Roman"/>
          <w:color w:val="000000" w:themeColor="text1"/>
          <w:spacing w:val="-9"/>
          <w:sz w:val="24"/>
          <w:szCs w:val="24"/>
          <w:u w:val="none"/>
          <w14:textFill>
            <w14:solidFill>
              <w14:schemeClr w14:val="tx1"/>
            </w14:solidFill>
          </w14:textFill>
        </w:rPr>
        <w:t>计量。</w:t>
      </w:r>
    </w:p>
    <w:p w14:paraId="7398A06D">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7.1.6</w:t>
      </w:r>
      <w:r>
        <w:rPr>
          <w:rFonts w:hint="default" w:ascii="Times New Roman" w:hAnsi="Times New Roman" w:cs="Times New Roman"/>
          <w:color w:val="000000" w:themeColor="text1"/>
          <w:spacing w:val="8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1"/>
          <w:sz w:val="24"/>
          <w:szCs w:val="24"/>
          <w:u w:val="none"/>
          <w14:textFill>
            <w14:solidFill>
              <w14:schemeClr w14:val="tx1"/>
            </w14:solidFill>
          </w14:textFill>
        </w:rPr>
        <w:t>垂直电梯应采取群控、变频调速或能量反馈等节能措施；</w:t>
      </w:r>
      <w:r>
        <w:rPr>
          <w:rFonts w:hint="default" w:ascii="Times New Roman" w:hAnsi="Times New Roman" w:cs="Times New Roman"/>
          <w:color w:val="000000" w:themeColor="text1"/>
          <w:spacing w:val="-14"/>
          <w:sz w:val="24"/>
          <w:szCs w:val="24"/>
          <w:u w:val="none"/>
          <w14:textFill>
            <w14:solidFill>
              <w14:schemeClr w14:val="tx1"/>
            </w14:solidFill>
          </w14:textFill>
        </w:rPr>
        <w:t>自动扶梯应采用变频感应启动等节能控制措施。</w:t>
      </w:r>
    </w:p>
    <w:p w14:paraId="1085385A">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7.1.7</w:t>
      </w:r>
      <w:r>
        <w:rPr>
          <w:rFonts w:hint="default" w:ascii="Times New Roman" w:hAnsi="Times New Roman" w:cs="Times New Roman"/>
          <w:color w:val="000000" w:themeColor="text1"/>
          <w:spacing w:val="6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应制定水资源利用方案，统筹利用各种水资源，并应符</w:t>
      </w:r>
      <w:r>
        <w:rPr>
          <w:rFonts w:hint="default" w:ascii="Times New Roman" w:hAnsi="Times New Roman" w:cs="Times New Roman"/>
          <w:color w:val="000000" w:themeColor="text1"/>
          <w:spacing w:val="-2"/>
          <w:sz w:val="24"/>
          <w:szCs w:val="24"/>
          <w:u w:val="none"/>
          <w14:textFill>
            <w14:solidFill>
              <w14:schemeClr w14:val="tx1"/>
            </w14:solidFill>
          </w14:textFill>
        </w:rPr>
        <w:t>合下列规定</w:t>
      </w:r>
    </w:p>
    <w:p w14:paraId="67F3705D">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2"/>
          <w:sz w:val="24"/>
          <w:szCs w:val="24"/>
          <w:u w:val="none"/>
          <w14:textFill>
            <w14:solidFill>
              <w14:schemeClr w14:val="tx1"/>
            </w14:solidFill>
          </w14:textFill>
        </w:rPr>
        <w:t>应按使用用途、付费或管理单元，分别设置用水计量</w:t>
      </w:r>
      <w:r>
        <w:rPr>
          <w:rFonts w:hint="default" w:ascii="Times New Roman" w:hAnsi="Times New Roman" w:cs="Times New Roman"/>
          <w:color w:val="000000" w:themeColor="text1"/>
          <w:spacing w:val="-14"/>
          <w:sz w:val="24"/>
          <w:szCs w:val="24"/>
          <w:u w:val="none"/>
          <w14:textFill>
            <w14:solidFill>
              <w14:schemeClr w14:val="tx1"/>
            </w14:solidFill>
          </w14:textFill>
        </w:rPr>
        <w:t>装置；</w:t>
      </w:r>
    </w:p>
    <w:p w14:paraId="1E9E7A8E">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7"/>
          <w:sz w:val="24"/>
          <w:szCs w:val="24"/>
          <w:u w:val="none"/>
          <w14:textFill>
            <w14:solidFill>
              <w14:schemeClr w14:val="tx1"/>
            </w14:solidFill>
          </w14:textFill>
        </w:rPr>
        <w:t>用水点处水压大于0.2MPa 的配水支管应设置减压设施，</w:t>
      </w:r>
      <w:r>
        <w:rPr>
          <w:rFonts w:hint="default" w:ascii="Times New Roman" w:hAnsi="Times New Roman" w:cs="Times New Roman"/>
          <w:color w:val="000000" w:themeColor="text1"/>
          <w:spacing w:val="-14"/>
          <w:sz w:val="24"/>
          <w:szCs w:val="24"/>
          <w:u w:val="none"/>
          <w14:textFill>
            <w14:solidFill>
              <w14:schemeClr w14:val="tx1"/>
            </w14:solidFill>
          </w14:textFill>
        </w:rPr>
        <w:t>并应满足用水器具最低工作压力的要求；</w:t>
      </w:r>
    </w:p>
    <w:p w14:paraId="6CE992C5">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6"/>
          <w:sz w:val="24"/>
          <w:szCs w:val="24"/>
          <w:u w:val="none"/>
          <w14:textFill>
            <w14:solidFill>
              <w14:schemeClr w14:val="tx1"/>
            </w14:solidFill>
          </w14:textFill>
        </w:rPr>
        <w:t>用水器具和设备应满足现行国家标准《节水</w:t>
      </w:r>
      <w:r>
        <w:rPr>
          <w:rFonts w:hint="default" w:ascii="Times New Roman" w:hAnsi="Times New Roman" w:cs="Times New Roman"/>
          <w:color w:val="000000" w:themeColor="text1"/>
          <w:spacing w:val="-7"/>
          <w:sz w:val="24"/>
          <w:szCs w:val="24"/>
          <w:u w:val="none"/>
          <w14:textFill>
            <w14:solidFill>
              <w14:schemeClr w14:val="tx1"/>
            </w14:solidFill>
          </w14:textFill>
        </w:rPr>
        <w:t>型产品通用</w:t>
      </w:r>
      <w:r>
        <w:rPr>
          <w:rFonts w:hint="default" w:ascii="Times New Roman" w:hAnsi="Times New Roman" w:cs="Times New Roman"/>
          <w:color w:val="000000" w:themeColor="text1"/>
          <w:spacing w:val="-2"/>
          <w:sz w:val="24"/>
          <w:szCs w:val="24"/>
          <w:u w:val="none"/>
          <w14:textFill>
            <w14:solidFill>
              <w14:schemeClr w14:val="tx1"/>
            </w14:solidFill>
          </w14:textFill>
        </w:rPr>
        <w:t>技术条件》GB/T</w:t>
      </w:r>
      <w:r>
        <w:rPr>
          <w:rFonts w:hint="default" w:ascii="Times New Roman" w:hAnsi="Times New Roman" w:cs="Times New Roman"/>
          <w:color w:val="000000" w:themeColor="text1"/>
          <w:spacing w:val="25"/>
          <w:w w:val="10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18870的要求。</w:t>
      </w:r>
    </w:p>
    <w:p w14:paraId="6EBD8B3E">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7.1.8</w:t>
      </w:r>
      <w:r>
        <w:rPr>
          <w:rFonts w:hint="default" w:ascii="Times New Roman" w:hAnsi="Times New Roman" w:cs="Times New Roman"/>
          <w:color w:val="000000" w:themeColor="text1"/>
          <w:spacing w:val="8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9"/>
          <w:sz w:val="24"/>
          <w:szCs w:val="24"/>
          <w:u w:val="none"/>
          <w14:textFill>
            <w14:solidFill>
              <w14:schemeClr w14:val="tx1"/>
            </w14:solidFill>
          </w14:textFill>
        </w:rPr>
        <w:t>不应采用建筑形体和布置严重不规则的建筑结构。</w:t>
      </w:r>
    </w:p>
    <w:p w14:paraId="4375FB3E">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7.1.9</w:t>
      </w:r>
      <w:r>
        <w:rPr>
          <w:rFonts w:hint="default" w:ascii="Times New Roman" w:hAnsi="Times New Roman" w:cs="Times New Roman"/>
          <w:color w:val="000000" w:themeColor="text1"/>
          <w:spacing w:val="10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建筑造型要素应简约，应无大量装饰性构件，并应符合</w:t>
      </w:r>
      <w:r>
        <w:rPr>
          <w:rFonts w:hint="default" w:ascii="Times New Roman" w:hAnsi="Times New Roman" w:cs="Times New Roman"/>
          <w:color w:val="000000" w:themeColor="text1"/>
          <w:spacing w:val="-11"/>
          <w:sz w:val="24"/>
          <w:szCs w:val="24"/>
          <w:u w:val="none"/>
          <w14:textFill>
            <w14:solidFill>
              <w14:schemeClr w14:val="tx1"/>
            </w14:solidFill>
          </w14:textFill>
        </w:rPr>
        <w:t>下列规定：</w:t>
      </w:r>
    </w:p>
    <w:p w14:paraId="5D5F33A8">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住宅建筑的装饰性构件造价占建筑总造价的比例不应大于</w:t>
      </w:r>
      <w:r>
        <w:rPr>
          <w:rFonts w:hint="default" w:ascii="Times New Roman" w:hAnsi="Times New Roman" w:cs="Times New Roman"/>
          <w:color w:val="000000" w:themeColor="text1"/>
          <w:spacing w:val="-4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2</w:t>
      </w:r>
      <w:r>
        <w:rPr>
          <w:rFonts w:hint="default" w:ascii="Times New Roman" w:hAnsi="Times New Roman" w:cs="Times New Roman"/>
          <w:color w:val="000000" w:themeColor="text1"/>
          <w:spacing w:val="-5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w:t>
      </w:r>
      <w:r>
        <w:rPr>
          <w:rFonts w:hint="default" w:ascii="Times New Roman" w:hAnsi="Times New Roman" w:cs="Times New Roman"/>
          <w:color w:val="000000" w:themeColor="text1"/>
          <w:spacing w:val="-10"/>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w:t>
      </w:r>
    </w:p>
    <w:p w14:paraId="0CA7267A">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6"/>
          <w:sz w:val="24"/>
          <w:szCs w:val="24"/>
          <w:u w:val="none"/>
          <w14:textFill>
            <w14:solidFill>
              <w14:schemeClr w14:val="tx1"/>
            </w14:solidFill>
          </w14:textFill>
        </w:rPr>
        <w:t>公共建筑的装饰性构件造价占建筑总造价的比例不应大</w:t>
      </w:r>
      <w:r>
        <w:rPr>
          <w:rFonts w:hint="default" w:ascii="Times New Roman" w:hAnsi="Times New Roman" w:cs="Times New Roman"/>
          <w:color w:val="000000" w:themeColor="text1"/>
          <w:spacing w:val="19"/>
          <w:sz w:val="24"/>
          <w:szCs w:val="24"/>
          <w:u w:val="none"/>
          <w14:textFill>
            <w14:solidFill>
              <w14:schemeClr w14:val="tx1"/>
            </w14:solidFill>
          </w14:textFill>
        </w:rPr>
        <w:t>于1%。</w:t>
      </w:r>
    </w:p>
    <w:p w14:paraId="44646163">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7.1.10</w:t>
      </w:r>
      <w:r>
        <w:rPr>
          <w:rFonts w:hint="default" w:ascii="Times New Roman" w:hAnsi="Times New Roman" w:cs="Times New Roman"/>
          <w:color w:val="000000" w:themeColor="text1"/>
          <w:spacing w:val="7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0"/>
          <w:sz w:val="24"/>
          <w:szCs w:val="24"/>
          <w:u w:val="none"/>
          <w14:textFill>
            <w14:solidFill>
              <w14:schemeClr w14:val="tx1"/>
            </w14:solidFill>
          </w14:textFill>
        </w:rPr>
        <w:t>选用的建筑材料应符合下列规定：</w:t>
      </w:r>
    </w:p>
    <w:p w14:paraId="126F3C1A">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6"/>
          <w:sz w:val="24"/>
          <w:szCs w:val="24"/>
          <w:u w:val="none"/>
          <w14:textFill>
            <w14:solidFill>
              <w14:schemeClr w14:val="tx1"/>
            </w14:solidFill>
          </w14:textFill>
        </w:rPr>
        <w:t xml:space="preserve"> 500km以内生产的建筑材料重量占建筑材料总重量的比</w:t>
      </w:r>
      <w:r>
        <w:rPr>
          <w:rFonts w:hint="default" w:ascii="Times New Roman" w:hAnsi="Times New Roman" w:cs="Times New Roman"/>
          <w:color w:val="000000" w:themeColor="text1"/>
          <w:spacing w:val="17"/>
          <w:sz w:val="24"/>
          <w:szCs w:val="24"/>
          <w:u w:val="none"/>
          <w14:textFill>
            <w14:solidFill>
              <w14:schemeClr w14:val="tx1"/>
            </w14:solidFill>
          </w14:textFill>
        </w:rPr>
        <w:t>例应大于60%；</w:t>
      </w:r>
    </w:p>
    <w:p w14:paraId="3A1F32EF">
      <w:pPr>
        <w:spacing w:line="360" w:lineRule="auto"/>
        <w:ind w:firstLine="325" w:firstLineChars="150"/>
        <w:rPr>
          <w:rFonts w:hint="default" w:ascii="Times New Roman" w:hAnsi="Times New Roman" w:cs="Times New Roman"/>
          <w:color w:val="000000" w:themeColor="text1"/>
          <w:spacing w:val="-9"/>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2"/>
          <w:sz w:val="24"/>
          <w:szCs w:val="24"/>
          <w:u w:val="none"/>
          <w14:textFill>
            <w14:solidFill>
              <w14:schemeClr w14:val="tx1"/>
            </w14:solidFill>
          </w14:textFill>
        </w:rPr>
        <w:t xml:space="preserve"> 现浇混凝土应采用预拌混凝土，建筑砂浆</w:t>
      </w:r>
      <w:r>
        <w:rPr>
          <w:rFonts w:hint="default" w:ascii="Times New Roman" w:hAnsi="Times New Roman" w:cs="Times New Roman"/>
          <w:color w:val="000000" w:themeColor="text1"/>
          <w:spacing w:val="1"/>
          <w:sz w:val="24"/>
          <w:szCs w:val="24"/>
          <w:u w:val="none"/>
          <w14:textFill>
            <w14:solidFill>
              <w14:schemeClr w14:val="tx1"/>
            </w14:solidFill>
          </w14:textFill>
        </w:rPr>
        <w:t>应采用预拌</w:t>
      </w:r>
      <w:r>
        <w:rPr>
          <w:rFonts w:hint="default" w:ascii="Times New Roman" w:hAnsi="Times New Roman" w:cs="Times New Roman"/>
          <w:color w:val="000000" w:themeColor="text1"/>
          <w:spacing w:val="-9"/>
          <w:sz w:val="24"/>
          <w:szCs w:val="24"/>
          <w:u w:val="none"/>
          <w14:textFill>
            <w14:solidFill>
              <w14:schemeClr w14:val="tx1"/>
            </w14:solidFill>
          </w14:textFill>
        </w:rPr>
        <w:t>砂浆。</w:t>
      </w:r>
    </w:p>
    <w:p w14:paraId="685A76CE">
      <w:pPr>
        <w:tabs>
          <w:tab w:val="left" w:pos="116"/>
        </w:tabs>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7.1.11</w:t>
      </w:r>
      <w:r>
        <w:rPr>
          <w:rFonts w:hint="default" w:ascii="Times New Roman" w:hAnsi="Times New Roman" w:cs="Times New Roman"/>
          <w:color w:val="000000" w:themeColor="text1"/>
          <w:spacing w:val="9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9"/>
          <w:sz w:val="24"/>
          <w:szCs w:val="24"/>
          <w:u w:val="none"/>
          <w14:textFill>
            <w14:solidFill>
              <w14:schemeClr w14:val="tx1"/>
            </w14:solidFill>
          </w14:textFill>
        </w:rPr>
        <w:t>资源节约相关技术要求应符合现行强制性工程建设规范</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9"/>
          <w:sz w:val="24"/>
          <w:szCs w:val="24"/>
          <w:u w:val="none"/>
          <w14:textFill>
            <w14:solidFill>
              <w14:schemeClr w14:val="tx1"/>
            </w14:solidFill>
          </w14:textFill>
        </w:rPr>
        <w:t>《建筑节能与可再生能源利用通用规范》GB 55015、《建</w:t>
      </w:r>
      <w:r>
        <w:rPr>
          <w:rFonts w:hint="default" w:ascii="Times New Roman" w:hAnsi="Times New Roman" w:cs="Times New Roman"/>
          <w:color w:val="000000" w:themeColor="text1"/>
          <w:spacing w:val="-10"/>
          <w:sz w:val="24"/>
          <w:szCs w:val="24"/>
          <w:u w:val="none"/>
          <w14:textFill>
            <w14:solidFill>
              <w14:schemeClr w14:val="tx1"/>
            </w14:solidFill>
          </w14:textFill>
        </w:rPr>
        <w:t>筑给水</w:t>
      </w:r>
      <w:r>
        <w:rPr>
          <w:rFonts w:hint="default" w:ascii="Times New Roman" w:hAnsi="Times New Roman" w:cs="Times New Roman"/>
          <w:color w:val="000000" w:themeColor="text1"/>
          <w:sz w:val="24"/>
          <w:szCs w:val="24"/>
          <w:u w:val="none"/>
          <w14:textFill>
            <w14:solidFill>
              <w14:schemeClr w14:val="tx1"/>
            </w14:solidFill>
          </w14:textFill>
        </w:rPr>
        <w:t>排水与节水通用规范》GB 55020等的规定。</w:t>
      </w:r>
    </w:p>
    <w:p w14:paraId="43270F8E">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75" w:name="_Toc9375"/>
      <w:bookmarkStart w:id="76" w:name="_Toc204247727"/>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7.2 评分项</w:t>
      </w:r>
      <w:bookmarkEnd w:id="75"/>
      <w:bookmarkEnd w:id="76"/>
    </w:p>
    <w:p w14:paraId="1918BFE9">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77" w:name="bookmark28"/>
      <w:bookmarkEnd w:id="77"/>
      <w:bookmarkStart w:id="78" w:name="_Toc26758"/>
      <w:bookmarkStart w:id="79" w:name="_Toc204247728"/>
      <w:r>
        <w:rPr>
          <w:rFonts w:hint="default" w:ascii="Times New Roman" w:hAnsi="Times New Roman" w:cs="Times New Roman"/>
          <w:color w:val="000000" w:themeColor="text1"/>
          <w:sz w:val="24"/>
          <w:szCs w:val="24"/>
          <w:u w:val="none"/>
          <w:lang w:eastAsia="zh-CN"/>
          <w14:textFill>
            <w14:solidFill>
              <w14:schemeClr w14:val="tx1"/>
            </w14:solidFill>
          </w14:textFill>
        </w:rPr>
        <w:t>I 节地与土地利用</w:t>
      </w:r>
      <w:bookmarkEnd w:id="78"/>
      <w:bookmarkEnd w:id="79"/>
    </w:p>
    <w:p w14:paraId="595E25B9">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7.2.1</w:t>
      </w:r>
      <w:r>
        <w:rPr>
          <w:rFonts w:hint="default" w:ascii="Times New Roman" w:hAnsi="Times New Roman" w:cs="Times New Roman"/>
          <w:color w:val="000000" w:themeColor="text1"/>
          <w:spacing w:val="8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5"/>
          <w:sz w:val="24"/>
          <w:szCs w:val="24"/>
          <w:u w:val="none"/>
          <w14:textFill>
            <w14:solidFill>
              <w14:schemeClr w14:val="tx1"/>
            </w14:solidFill>
          </w14:textFill>
        </w:rPr>
        <w:t>节约集约利用土地，评价总分值为20</w:t>
      </w:r>
      <w:r>
        <w:rPr>
          <w:rFonts w:hint="default" w:ascii="Times New Roman" w:hAnsi="Times New Roman" w:cs="Times New Roman"/>
          <w:color w:val="000000" w:themeColor="text1"/>
          <w:spacing w:val="-6"/>
          <w:sz w:val="24"/>
          <w:szCs w:val="24"/>
          <w:u w:val="none"/>
          <w14:textFill>
            <w14:solidFill>
              <w14:schemeClr w14:val="tx1"/>
            </w14:solidFill>
          </w14:textFill>
        </w:rPr>
        <w:t>分，并按下列规则</w:t>
      </w:r>
      <w:r>
        <w:rPr>
          <w:rFonts w:hint="default" w:ascii="Times New Roman" w:hAnsi="Times New Roman" w:cs="Times New Roman"/>
          <w:color w:val="000000" w:themeColor="text1"/>
          <w:spacing w:val="-13"/>
          <w:sz w:val="24"/>
          <w:szCs w:val="24"/>
          <w:u w:val="none"/>
          <w14:textFill>
            <w14:solidFill>
              <w14:schemeClr w14:val="tx1"/>
            </w14:solidFill>
          </w14:textFill>
        </w:rPr>
        <w:t>评分：</w:t>
      </w:r>
    </w:p>
    <w:p w14:paraId="11685699">
      <w:pPr>
        <w:spacing w:line="360" w:lineRule="auto"/>
        <w:ind w:firstLine="325" w:firstLineChars="150"/>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对于住宅建筑，根据其所在居住街坊人均住宅用地指标</w:t>
      </w:r>
      <w:r>
        <w:rPr>
          <w:rFonts w:hint="default" w:ascii="Times New Roman" w:hAnsi="Times New Roman" w:cs="Times New Roman"/>
          <w:color w:val="000000" w:themeColor="text1"/>
          <w:spacing w:val="1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5"/>
          <w:sz w:val="24"/>
          <w:szCs w:val="24"/>
          <w:u w:val="none"/>
          <w14:textFill>
            <w14:solidFill>
              <w14:schemeClr w14:val="tx1"/>
            </w14:solidFill>
          </w14:textFill>
        </w:rPr>
        <w:t>按表7.2.1-1的规则评分。</w:t>
      </w:r>
    </w:p>
    <w:p w14:paraId="75BE37D6">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表7.2.1-1 居住街坊人均住宅用地指标评分规则</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3"/>
        <w:gridCol w:w="1277"/>
        <w:gridCol w:w="1263"/>
        <w:gridCol w:w="1263"/>
        <w:gridCol w:w="1277"/>
        <w:gridCol w:w="1278"/>
        <w:gridCol w:w="891"/>
      </w:tblGrid>
      <w:tr w14:paraId="78BE7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747" w:type="pct"/>
            <w:vMerge w:val="restart"/>
            <w:tcBorders>
              <w:bottom w:val="nil"/>
            </w:tcBorders>
            <w:vAlign w:val="center"/>
          </w:tcPr>
          <w:p w14:paraId="2B6396D2">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建筑气候</w:t>
            </w: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6"/>
                <w:sz w:val="21"/>
                <w:szCs w:val="21"/>
                <w:u w:val="none"/>
                <w14:textFill>
                  <w14:solidFill>
                    <w14:schemeClr w14:val="tx1"/>
                  </w14:solidFill>
                </w14:textFill>
              </w:rPr>
              <w:t>区划</w:t>
            </w:r>
          </w:p>
        </w:tc>
        <w:tc>
          <w:tcPr>
            <w:tcW w:w="3730" w:type="pct"/>
            <w:gridSpan w:val="5"/>
            <w:vAlign w:val="center"/>
          </w:tcPr>
          <w:p w14:paraId="4FCAEFB3">
            <w:pPr>
              <w:pStyle w:val="24"/>
              <w:spacing w:line="360" w:lineRule="auto"/>
              <w:jc w:val="cente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9"/>
                <w:sz w:val="21"/>
                <w:szCs w:val="21"/>
                <w:u w:val="none"/>
                <w:lang w:eastAsia="zh-CN"/>
                <w14:textFill>
                  <w14:solidFill>
                    <w14:schemeClr w14:val="tx1"/>
                  </w14:solidFill>
                </w14:textFill>
              </w:rPr>
              <w:t>人均住宅用地指标A（m²）</w:t>
            </w:r>
          </w:p>
        </w:tc>
        <w:tc>
          <w:tcPr>
            <w:tcW w:w="523" w:type="pct"/>
            <w:vMerge w:val="restart"/>
            <w:tcBorders>
              <w:bottom w:val="nil"/>
            </w:tcBorders>
            <w:vAlign w:val="center"/>
          </w:tcPr>
          <w:p w14:paraId="461DE958">
            <w:pPr>
              <w:spacing w:line="360" w:lineRule="auto"/>
              <w:jc w:val="center"/>
              <w:rPr>
                <w:rFonts w:hint="default" w:ascii="Times New Roman" w:hAnsi="Times New Roman" w:cs="Times New Roman"/>
                <w:color w:val="000000" w:themeColor="text1"/>
                <w:u w:val="none"/>
                <w14:textFill>
                  <w14:solidFill>
                    <w14:schemeClr w14:val="tx1"/>
                  </w14:solidFill>
                </w14:textFill>
              </w:rPr>
            </w:pPr>
          </w:p>
          <w:p w14:paraId="14115BDB">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得分</w:t>
            </w:r>
          </w:p>
        </w:tc>
      </w:tr>
      <w:tr w14:paraId="41B0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47" w:type="pct"/>
            <w:vMerge w:val="continue"/>
            <w:tcBorders>
              <w:top w:val="nil"/>
              <w:bottom w:val="single" w:color="000000" w:sz="4" w:space="0"/>
            </w:tcBorders>
            <w:vAlign w:val="center"/>
          </w:tcPr>
          <w:p w14:paraId="654AD3C5">
            <w:pPr>
              <w:spacing w:line="360" w:lineRule="auto"/>
              <w:jc w:val="center"/>
              <w:rPr>
                <w:rFonts w:hint="default" w:ascii="Times New Roman" w:hAnsi="Times New Roman" w:cs="Times New Roman"/>
                <w:color w:val="000000" w:themeColor="text1"/>
                <w:u w:val="none"/>
                <w14:textFill>
                  <w14:solidFill>
                    <w14:schemeClr w14:val="tx1"/>
                  </w14:solidFill>
                </w14:textFill>
              </w:rPr>
            </w:pPr>
          </w:p>
        </w:tc>
        <w:tc>
          <w:tcPr>
            <w:tcW w:w="749" w:type="pct"/>
            <w:vAlign w:val="center"/>
          </w:tcPr>
          <w:p w14:paraId="269BCD73">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平均3层</w:t>
            </w: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及以下</w:t>
            </w:r>
          </w:p>
        </w:tc>
        <w:tc>
          <w:tcPr>
            <w:tcW w:w="741" w:type="pct"/>
            <w:vAlign w:val="center"/>
          </w:tcPr>
          <w:p w14:paraId="4F786083">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2"/>
                <w:sz w:val="21"/>
                <w:szCs w:val="21"/>
                <w:u w:val="none"/>
                <w14:textFill>
                  <w14:solidFill>
                    <w14:schemeClr w14:val="tx1"/>
                  </w14:solidFill>
                </w14:textFill>
              </w:rPr>
              <w:t>平均4~</w:t>
            </w: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6层</w:t>
            </w:r>
          </w:p>
        </w:tc>
        <w:tc>
          <w:tcPr>
            <w:tcW w:w="741" w:type="pct"/>
            <w:vAlign w:val="center"/>
          </w:tcPr>
          <w:p w14:paraId="5C007CB9">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2"/>
                <w:sz w:val="21"/>
                <w:szCs w:val="21"/>
                <w:u w:val="none"/>
                <w14:textFill>
                  <w14:solidFill>
                    <w14:schemeClr w14:val="tx1"/>
                  </w14:solidFill>
                </w14:textFill>
              </w:rPr>
              <w:t>平均7~</w:t>
            </w: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9层</w:t>
            </w:r>
          </w:p>
        </w:tc>
        <w:tc>
          <w:tcPr>
            <w:tcW w:w="749" w:type="pct"/>
            <w:vAlign w:val="center"/>
          </w:tcPr>
          <w:p w14:paraId="3F4B7986">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3"/>
                <w:sz w:val="21"/>
                <w:szCs w:val="21"/>
                <w:u w:val="none"/>
                <w14:textFill>
                  <w14:solidFill>
                    <w14:schemeClr w14:val="tx1"/>
                  </w14:solidFill>
                </w14:textFill>
              </w:rPr>
              <w:t>平均10~</w:t>
            </w:r>
            <w:r>
              <w:rPr>
                <w:rFonts w:hint="default" w:ascii="Times New Roman" w:hAnsi="Times New Roman" w:cs="Times New Roman" w:eastAsiaTheme="minorEastAsia"/>
                <w:color w:val="000000" w:themeColor="text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18层</w:t>
            </w:r>
          </w:p>
        </w:tc>
        <w:tc>
          <w:tcPr>
            <w:tcW w:w="750" w:type="pct"/>
            <w:vAlign w:val="center"/>
          </w:tcPr>
          <w:p w14:paraId="1E80169E">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平均19层</w:t>
            </w: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及以上</w:t>
            </w:r>
          </w:p>
        </w:tc>
        <w:tc>
          <w:tcPr>
            <w:tcW w:w="523" w:type="pct"/>
            <w:vMerge w:val="continue"/>
            <w:tcBorders>
              <w:top w:val="nil"/>
            </w:tcBorders>
            <w:vAlign w:val="center"/>
          </w:tcPr>
          <w:p w14:paraId="0F5A3CF5">
            <w:pPr>
              <w:spacing w:line="360" w:lineRule="auto"/>
              <w:jc w:val="center"/>
              <w:rPr>
                <w:rFonts w:hint="default" w:ascii="Times New Roman" w:hAnsi="Times New Roman" w:cs="Times New Roman"/>
                <w:color w:val="000000" w:themeColor="text1"/>
                <w:u w:val="none"/>
                <w14:textFill>
                  <w14:solidFill>
                    <w14:schemeClr w14:val="tx1"/>
                  </w14:solidFill>
                </w14:textFill>
              </w:rPr>
            </w:pPr>
          </w:p>
        </w:tc>
      </w:tr>
      <w:tr w14:paraId="19083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747" w:type="pct"/>
            <w:vMerge w:val="restart"/>
            <w:tcBorders>
              <w:bottom w:val="nil"/>
            </w:tcBorders>
            <w:vAlign w:val="center"/>
          </w:tcPr>
          <w:p w14:paraId="34096BB6">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I、M</w:t>
            </w:r>
          </w:p>
        </w:tc>
        <w:tc>
          <w:tcPr>
            <w:tcW w:w="749" w:type="pct"/>
            <w:vAlign w:val="center"/>
          </w:tcPr>
          <w:p w14:paraId="205D0532">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33&lt;A≤36</w:t>
            </w:r>
          </w:p>
        </w:tc>
        <w:tc>
          <w:tcPr>
            <w:tcW w:w="741" w:type="pct"/>
            <w:vAlign w:val="center"/>
          </w:tcPr>
          <w:p w14:paraId="2AD78B26">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29&lt;A≤32</w:t>
            </w:r>
          </w:p>
        </w:tc>
        <w:tc>
          <w:tcPr>
            <w:tcW w:w="741" w:type="pct"/>
            <w:vAlign w:val="center"/>
          </w:tcPr>
          <w:p w14:paraId="082CE76E">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21&lt;A≤22</w:t>
            </w:r>
          </w:p>
        </w:tc>
        <w:tc>
          <w:tcPr>
            <w:tcW w:w="749" w:type="pct"/>
            <w:vAlign w:val="center"/>
          </w:tcPr>
          <w:p w14:paraId="59C8452E">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17&lt;A≤19</w:t>
            </w:r>
          </w:p>
        </w:tc>
        <w:tc>
          <w:tcPr>
            <w:tcW w:w="750" w:type="pct"/>
            <w:vAlign w:val="center"/>
          </w:tcPr>
          <w:p w14:paraId="61F44A56">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12&lt;A≤13</w:t>
            </w:r>
          </w:p>
        </w:tc>
        <w:tc>
          <w:tcPr>
            <w:tcW w:w="523" w:type="pct"/>
            <w:vAlign w:val="center"/>
          </w:tcPr>
          <w:p w14:paraId="0BFA1AAE">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position w:val="-2"/>
                <w:sz w:val="21"/>
                <w:szCs w:val="21"/>
                <w:u w:val="none"/>
                <w14:textFill>
                  <w14:solidFill>
                    <w14:schemeClr w14:val="tx1"/>
                  </w14:solidFill>
                </w14:textFill>
              </w:rPr>
              <w:t>15</w:t>
            </w:r>
          </w:p>
        </w:tc>
      </w:tr>
      <w:tr w14:paraId="75760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trPr>
        <w:tc>
          <w:tcPr>
            <w:tcW w:w="747" w:type="pct"/>
            <w:vMerge w:val="continue"/>
            <w:tcBorders>
              <w:top w:val="nil"/>
              <w:bottom w:val="nil"/>
            </w:tcBorders>
            <w:vAlign w:val="center"/>
          </w:tcPr>
          <w:p w14:paraId="567124AF">
            <w:pPr>
              <w:spacing w:line="360" w:lineRule="auto"/>
              <w:jc w:val="center"/>
              <w:rPr>
                <w:rFonts w:hint="default" w:ascii="Times New Roman" w:hAnsi="Times New Roman" w:cs="Times New Roman"/>
                <w:color w:val="000000" w:themeColor="text1"/>
                <w:u w:val="none"/>
                <w14:textFill>
                  <w14:solidFill>
                    <w14:schemeClr w14:val="tx1"/>
                  </w14:solidFill>
                </w14:textFill>
              </w:rPr>
            </w:pPr>
          </w:p>
        </w:tc>
        <w:tc>
          <w:tcPr>
            <w:tcW w:w="749" w:type="pct"/>
            <w:vAlign w:val="center"/>
          </w:tcPr>
          <w:p w14:paraId="5F676E57">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A≤33</w:t>
            </w:r>
          </w:p>
        </w:tc>
        <w:tc>
          <w:tcPr>
            <w:tcW w:w="741" w:type="pct"/>
            <w:vAlign w:val="center"/>
          </w:tcPr>
          <w:p w14:paraId="2F51A0A0">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A≤29</w:t>
            </w:r>
          </w:p>
        </w:tc>
        <w:tc>
          <w:tcPr>
            <w:tcW w:w="741" w:type="pct"/>
            <w:vAlign w:val="center"/>
          </w:tcPr>
          <w:p w14:paraId="036C2AEA">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A≤21</w:t>
            </w:r>
          </w:p>
        </w:tc>
        <w:tc>
          <w:tcPr>
            <w:tcW w:w="749" w:type="pct"/>
            <w:vAlign w:val="center"/>
          </w:tcPr>
          <w:p w14:paraId="6B1C349F">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A≤17</w:t>
            </w:r>
          </w:p>
        </w:tc>
        <w:tc>
          <w:tcPr>
            <w:tcW w:w="750" w:type="pct"/>
            <w:vAlign w:val="center"/>
          </w:tcPr>
          <w:p w14:paraId="70CD854C">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A≤12</w:t>
            </w:r>
          </w:p>
        </w:tc>
        <w:tc>
          <w:tcPr>
            <w:tcW w:w="523" w:type="pct"/>
            <w:vAlign w:val="center"/>
          </w:tcPr>
          <w:p w14:paraId="088A7F48">
            <w:pPr>
              <w:pStyle w:val="24"/>
              <w:spacing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position w:val="-2"/>
                <w:sz w:val="21"/>
                <w:szCs w:val="21"/>
                <w:u w:val="none"/>
                <w14:textFill>
                  <w14:solidFill>
                    <w14:schemeClr w14:val="tx1"/>
                  </w14:solidFill>
                </w14:textFill>
              </w:rPr>
              <w:t>20</w:t>
            </w:r>
          </w:p>
        </w:tc>
      </w:tr>
      <w:tr w14:paraId="22C67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trPr>
        <w:tc>
          <w:tcPr>
            <w:tcW w:w="747" w:type="pct"/>
            <w:vMerge w:val="restart"/>
            <w:tcBorders>
              <w:top w:val="single" w:color="auto" w:sz="4" w:space="0"/>
            </w:tcBorders>
            <w:vAlign w:val="center"/>
          </w:tcPr>
          <w:p w14:paraId="7620230B">
            <w:pPr>
              <w:spacing w:line="360"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宋体" w:cs="Times New Roman"/>
                <w:color w:val="000000" w:themeColor="text1"/>
                <w:spacing w:val="-11"/>
                <w:szCs w:val="21"/>
                <w:u w:val="none"/>
                <w14:textFill>
                  <w14:solidFill>
                    <w14:schemeClr w14:val="tx1"/>
                  </w14:solidFill>
                </w14:textFill>
              </w:rPr>
              <w:t>Ⅱ</w:t>
            </w:r>
            <w:r>
              <w:rPr>
                <w:rFonts w:hint="default" w:ascii="Times New Roman" w:hAnsi="Times New Roman" w:cs="Times New Roman"/>
                <w:color w:val="000000" w:themeColor="text1"/>
                <w:spacing w:val="-11"/>
                <w:szCs w:val="21"/>
                <w:u w:val="none"/>
                <w14:textFill>
                  <w14:solidFill>
                    <w14:schemeClr w14:val="tx1"/>
                  </w14:solidFill>
                </w14:textFill>
              </w:rPr>
              <w:t>、V</w:t>
            </w:r>
          </w:p>
        </w:tc>
        <w:tc>
          <w:tcPr>
            <w:tcW w:w="749" w:type="pct"/>
          </w:tcPr>
          <w:p w14:paraId="6A63959F">
            <w:pPr>
              <w:pStyle w:val="24"/>
              <w:spacing w:before="88" w:line="360" w:lineRule="auto"/>
              <w:ind w:left="62"/>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33&lt;A≤36</w:t>
            </w:r>
          </w:p>
        </w:tc>
        <w:tc>
          <w:tcPr>
            <w:tcW w:w="741" w:type="pct"/>
          </w:tcPr>
          <w:p w14:paraId="059459A7">
            <w:pPr>
              <w:pStyle w:val="24"/>
              <w:spacing w:before="88" w:line="360" w:lineRule="auto"/>
              <w:ind w:left="63"/>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27&lt;A≤30</w:t>
            </w:r>
          </w:p>
        </w:tc>
        <w:tc>
          <w:tcPr>
            <w:tcW w:w="741" w:type="pct"/>
          </w:tcPr>
          <w:p w14:paraId="3A5A3F19">
            <w:pPr>
              <w:pStyle w:val="24"/>
              <w:spacing w:before="88" w:line="360" w:lineRule="auto"/>
              <w:ind w:left="6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20&lt;A≤21</w:t>
            </w:r>
          </w:p>
        </w:tc>
        <w:tc>
          <w:tcPr>
            <w:tcW w:w="749" w:type="pct"/>
          </w:tcPr>
          <w:p w14:paraId="613E2194">
            <w:pPr>
              <w:pStyle w:val="24"/>
              <w:spacing w:before="88" w:line="360" w:lineRule="auto"/>
              <w:ind w:left="76"/>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16&lt;A≤17</w:t>
            </w:r>
          </w:p>
        </w:tc>
        <w:tc>
          <w:tcPr>
            <w:tcW w:w="750" w:type="pct"/>
          </w:tcPr>
          <w:p w14:paraId="0377116C">
            <w:pPr>
              <w:pStyle w:val="24"/>
              <w:spacing w:before="88" w:line="360" w:lineRule="auto"/>
              <w:ind w:left="69"/>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12&lt;A≤13</w:t>
            </w:r>
          </w:p>
        </w:tc>
        <w:tc>
          <w:tcPr>
            <w:tcW w:w="523" w:type="pct"/>
          </w:tcPr>
          <w:p w14:paraId="1D08B23B">
            <w:pPr>
              <w:pStyle w:val="24"/>
              <w:spacing w:before="117" w:line="360" w:lineRule="auto"/>
              <w:ind w:left="21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6"/>
                <w:sz w:val="21"/>
                <w:szCs w:val="21"/>
                <w:u w:val="none"/>
                <w14:textFill>
                  <w14:solidFill>
                    <w14:schemeClr w14:val="tx1"/>
                  </w14:solidFill>
                </w14:textFill>
              </w:rPr>
              <w:t>15</w:t>
            </w:r>
          </w:p>
        </w:tc>
      </w:tr>
      <w:tr w14:paraId="742B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trPr>
        <w:tc>
          <w:tcPr>
            <w:tcW w:w="747" w:type="pct"/>
            <w:vMerge w:val="continue"/>
            <w:tcBorders>
              <w:bottom w:val="single" w:color="auto" w:sz="4" w:space="0"/>
            </w:tcBorders>
            <w:vAlign w:val="center"/>
          </w:tcPr>
          <w:p w14:paraId="4C70BC22">
            <w:pPr>
              <w:spacing w:line="360" w:lineRule="auto"/>
              <w:jc w:val="center"/>
              <w:rPr>
                <w:rFonts w:hint="default" w:ascii="Times New Roman" w:hAnsi="Times New Roman" w:cs="Times New Roman"/>
                <w:color w:val="000000" w:themeColor="text1"/>
                <w:u w:val="none"/>
                <w14:textFill>
                  <w14:solidFill>
                    <w14:schemeClr w14:val="tx1"/>
                  </w14:solidFill>
                </w14:textFill>
              </w:rPr>
            </w:pPr>
          </w:p>
        </w:tc>
        <w:tc>
          <w:tcPr>
            <w:tcW w:w="749" w:type="pct"/>
          </w:tcPr>
          <w:p w14:paraId="35ED902E">
            <w:pPr>
              <w:pStyle w:val="24"/>
              <w:spacing w:before="89" w:line="360" w:lineRule="auto"/>
              <w:ind w:left="202"/>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A≤33</w:t>
            </w:r>
          </w:p>
        </w:tc>
        <w:tc>
          <w:tcPr>
            <w:tcW w:w="741" w:type="pct"/>
          </w:tcPr>
          <w:p w14:paraId="73C47ECE">
            <w:pPr>
              <w:pStyle w:val="24"/>
              <w:spacing w:before="89" w:line="360" w:lineRule="auto"/>
              <w:ind w:left="204"/>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A≤27</w:t>
            </w:r>
          </w:p>
        </w:tc>
        <w:tc>
          <w:tcPr>
            <w:tcW w:w="741" w:type="pct"/>
          </w:tcPr>
          <w:p w14:paraId="7134C401">
            <w:pPr>
              <w:pStyle w:val="24"/>
              <w:spacing w:before="89" w:line="360" w:lineRule="auto"/>
              <w:ind w:left="20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A≤20</w:t>
            </w:r>
          </w:p>
        </w:tc>
        <w:tc>
          <w:tcPr>
            <w:tcW w:w="749" w:type="pct"/>
          </w:tcPr>
          <w:p w14:paraId="41091C47">
            <w:pPr>
              <w:pStyle w:val="24"/>
              <w:spacing w:before="89" w:line="360" w:lineRule="auto"/>
              <w:ind w:left="207"/>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A≤16</w:t>
            </w:r>
          </w:p>
        </w:tc>
        <w:tc>
          <w:tcPr>
            <w:tcW w:w="750" w:type="pct"/>
          </w:tcPr>
          <w:p w14:paraId="0273AEA1">
            <w:pPr>
              <w:pStyle w:val="24"/>
              <w:spacing w:before="89" w:line="360" w:lineRule="auto"/>
              <w:ind w:left="208"/>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A≤12</w:t>
            </w:r>
          </w:p>
        </w:tc>
        <w:tc>
          <w:tcPr>
            <w:tcW w:w="523" w:type="pct"/>
          </w:tcPr>
          <w:p w14:paraId="23C31966">
            <w:pPr>
              <w:pStyle w:val="24"/>
              <w:spacing w:before="119" w:line="360" w:lineRule="auto"/>
              <w:ind w:left="21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20</w:t>
            </w:r>
          </w:p>
        </w:tc>
      </w:tr>
      <w:tr w14:paraId="47F5A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trPr>
        <w:tc>
          <w:tcPr>
            <w:tcW w:w="747" w:type="pct"/>
            <w:vMerge w:val="restart"/>
            <w:tcBorders>
              <w:top w:val="single" w:color="auto" w:sz="4" w:space="0"/>
            </w:tcBorders>
            <w:vAlign w:val="center"/>
          </w:tcPr>
          <w:p w14:paraId="684EF36B">
            <w:pPr>
              <w:spacing w:line="360"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Ⅲ</w:t>
            </w:r>
            <w:r>
              <w:rPr>
                <w:rFonts w:hint="default" w:ascii="Times New Roman" w:hAnsi="Times New Roman" w:cs="Times New Roman"/>
                <w:color w:val="000000" w:themeColor="text1"/>
                <w:spacing w:val="-1"/>
                <w:szCs w:val="21"/>
                <w:u w:val="none"/>
                <w14:textFill>
                  <w14:solidFill>
                    <w14:schemeClr w14:val="tx1"/>
                  </w14:solidFill>
                </w14:textFill>
              </w:rPr>
              <w:t>、IV、V</w:t>
            </w:r>
          </w:p>
        </w:tc>
        <w:tc>
          <w:tcPr>
            <w:tcW w:w="749" w:type="pct"/>
          </w:tcPr>
          <w:p w14:paraId="467A337C">
            <w:pPr>
              <w:pStyle w:val="24"/>
              <w:spacing w:before="91" w:line="360" w:lineRule="auto"/>
              <w:ind w:left="62"/>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33&lt;A≤36</w:t>
            </w:r>
          </w:p>
        </w:tc>
        <w:tc>
          <w:tcPr>
            <w:tcW w:w="741" w:type="pct"/>
          </w:tcPr>
          <w:p w14:paraId="43102077">
            <w:pPr>
              <w:pStyle w:val="24"/>
              <w:spacing w:before="91" w:line="360" w:lineRule="auto"/>
              <w:ind w:left="63"/>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24&lt;A≤27</w:t>
            </w:r>
          </w:p>
        </w:tc>
        <w:tc>
          <w:tcPr>
            <w:tcW w:w="741" w:type="pct"/>
          </w:tcPr>
          <w:p w14:paraId="7C0BD809">
            <w:pPr>
              <w:pStyle w:val="24"/>
              <w:spacing w:before="91" w:line="360" w:lineRule="auto"/>
              <w:ind w:left="6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19&lt;A≤20</w:t>
            </w:r>
          </w:p>
        </w:tc>
        <w:tc>
          <w:tcPr>
            <w:tcW w:w="749" w:type="pct"/>
          </w:tcPr>
          <w:p w14:paraId="4213BA38">
            <w:pPr>
              <w:pStyle w:val="24"/>
              <w:spacing w:before="91" w:line="360" w:lineRule="auto"/>
              <w:ind w:left="76"/>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15&lt;A≤16</w:t>
            </w:r>
          </w:p>
        </w:tc>
        <w:tc>
          <w:tcPr>
            <w:tcW w:w="750" w:type="pct"/>
          </w:tcPr>
          <w:p w14:paraId="0F133F00">
            <w:pPr>
              <w:pStyle w:val="24"/>
              <w:spacing w:before="91" w:line="360" w:lineRule="auto"/>
              <w:ind w:left="69"/>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11&lt;A≤12</w:t>
            </w:r>
          </w:p>
        </w:tc>
        <w:tc>
          <w:tcPr>
            <w:tcW w:w="523" w:type="pct"/>
          </w:tcPr>
          <w:p w14:paraId="73AC3C44">
            <w:pPr>
              <w:pStyle w:val="24"/>
              <w:spacing w:before="120" w:line="360" w:lineRule="auto"/>
              <w:ind w:left="21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6"/>
                <w:sz w:val="21"/>
                <w:szCs w:val="21"/>
                <w:u w:val="none"/>
                <w14:textFill>
                  <w14:solidFill>
                    <w14:schemeClr w14:val="tx1"/>
                  </w14:solidFill>
                </w14:textFill>
              </w:rPr>
              <w:t>15</w:t>
            </w:r>
          </w:p>
        </w:tc>
      </w:tr>
      <w:tr w14:paraId="14434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trPr>
        <w:tc>
          <w:tcPr>
            <w:tcW w:w="747" w:type="pct"/>
            <w:vMerge w:val="continue"/>
            <w:vAlign w:val="center"/>
          </w:tcPr>
          <w:p w14:paraId="4672A0B7">
            <w:pPr>
              <w:spacing w:line="360" w:lineRule="auto"/>
              <w:jc w:val="center"/>
              <w:rPr>
                <w:rFonts w:hint="default" w:ascii="Times New Roman" w:hAnsi="Times New Roman" w:cs="Times New Roman"/>
                <w:color w:val="000000" w:themeColor="text1"/>
                <w:u w:val="none"/>
                <w14:textFill>
                  <w14:solidFill>
                    <w14:schemeClr w14:val="tx1"/>
                  </w14:solidFill>
                </w14:textFill>
              </w:rPr>
            </w:pPr>
          </w:p>
        </w:tc>
        <w:tc>
          <w:tcPr>
            <w:tcW w:w="749" w:type="pct"/>
          </w:tcPr>
          <w:p w14:paraId="34A1D875">
            <w:pPr>
              <w:pStyle w:val="24"/>
              <w:spacing w:before="92" w:line="360" w:lineRule="auto"/>
              <w:ind w:left="202"/>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A≤33</w:t>
            </w:r>
          </w:p>
        </w:tc>
        <w:tc>
          <w:tcPr>
            <w:tcW w:w="741" w:type="pct"/>
          </w:tcPr>
          <w:p w14:paraId="679C791B">
            <w:pPr>
              <w:pStyle w:val="24"/>
              <w:spacing w:before="92" w:line="360" w:lineRule="auto"/>
              <w:ind w:left="204"/>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A≤24</w:t>
            </w:r>
          </w:p>
        </w:tc>
        <w:tc>
          <w:tcPr>
            <w:tcW w:w="741" w:type="pct"/>
          </w:tcPr>
          <w:p w14:paraId="266A0962">
            <w:pPr>
              <w:pStyle w:val="24"/>
              <w:spacing w:before="92" w:line="360" w:lineRule="auto"/>
              <w:ind w:left="20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A≤19</w:t>
            </w:r>
          </w:p>
        </w:tc>
        <w:tc>
          <w:tcPr>
            <w:tcW w:w="749" w:type="pct"/>
          </w:tcPr>
          <w:p w14:paraId="65578BAA">
            <w:pPr>
              <w:pStyle w:val="24"/>
              <w:spacing w:before="92" w:line="360" w:lineRule="auto"/>
              <w:ind w:left="207"/>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A≤15</w:t>
            </w:r>
          </w:p>
        </w:tc>
        <w:tc>
          <w:tcPr>
            <w:tcW w:w="750" w:type="pct"/>
          </w:tcPr>
          <w:p w14:paraId="797B620E">
            <w:pPr>
              <w:pStyle w:val="24"/>
              <w:spacing w:before="92" w:line="360" w:lineRule="auto"/>
              <w:ind w:left="208"/>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A≤11</w:t>
            </w:r>
          </w:p>
        </w:tc>
        <w:tc>
          <w:tcPr>
            <w:tcW w:w="523" w:type="pct"/>
          </w:tcPr>
          <w:p w14:paraId="79C3D84C">
            <w:pPr>
              <w:pStyle w:val="24"/>
              <w:spacing w:before="122" w:line="360" w:lineRule="auto"/>
              <w:ind w:left="21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20</w:t>
            </w:r>
          </w:p>
        </w:tc>
      </w:tr>
    </w:tbl>
    <w:p w14:paraId="735AB890">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bookmarkStart w:id="80" w:name="bookmark97"/>
      <w:bookmarkEnd w:id="80"/>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对于公共建筑，根据不同功能建筑的容积率 </w:t>
      </w:r>
      <w:r>
        <w:rPr>
          <w:rFonts w:hint="default" w:ascii="Times New Roman" w:hAnsi="Times New Roman" w:cs="Times New Roman"/>
          <w:color w:val="000000" w:themeColor="text1"/>
          <w:spacing w:val="-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7"/>
          <w:sz w:val="24"/>
          <w:szCs w:val="24"/>
          <w:u w:val="none"/>
          <w14:textFill>
            <w14:solidFill>
              <w14:schemeClr w14:val="tx1"/>
            </w14:solidFill>
          </w14:textFill>
        </w:rPr>
        <w:t>R</w:t>
      </w:r>
      <w:r>
        <w:rPr>
          <w:rFonts w:hint="default" w:ascii="Times New Roman" w:hAnsi="Times New Roman" w:cs="Times New Roman"/>
          <w:color w:val="000000" w:themeColor="text1"/>
          <w:spacing w:val="-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7"/>
          <w:sz w:val="24"/>
          <w:szCs w:val="24"/>
          <w:u w:val="none"/>
          <w14:textFill>
            <w14:solidFill>
              <w14:schemeClr w14:val="tx1"/>
            </w14:solidFill>
          </w14:textFill>
        </w:rPr>
        <w:t>按表7.2.1-2的规则评分。</w:t>
      </w:r>
    </w:p>
    <w:p w14:paraId="79D2B827">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 xml:space="preserve">表7.2.1-2 公共建筑容积率 </w:t>
      </w:r>
      <w:r>
        <w:rPr>
          <w:rFonts w:hint="default" w:ascii="Times New Roman" w:hAnsi="Times New Roman" w:cs="Times New Roman"/>
          <w:b/>
          <w:color w:val="000000" w:themeColor="text1"/>
          <w:spacing w:val="-7"/>
          <w:szCs w:val="21"/>
          <w:u w:val="none"/>
          <w:lang w:eastAsia="zh-CN"/>
          <w14:textFill>
            <w14:solidFill>
              <w14:schemeClr w14:val="tx1"/>
            </w14:solidFill>
          </w14:textFill>
        </w:rPr>
        <w:t>（</w:t>
      </w:r>
      <w:r>
        <w:rPr>
          <w:rFonts w:hint="default" w:ascii="Times New Roman" w:hAnsi="Times New Roman" w:cs="Times New Roman"/>
          <w:b/>
          <w:color w:val="000000" w:themeColor="text1"/>
          <w:spacing w:val="-7"/>
          <w:szCs w:val="21"/>
          <w:u w:val="none"/>
          <w14:textFill>
            <w14:solidFill>
              <w14:schemeClr w14:val="tx1"/>
            </w14:solidFill>
          </w14:textFill>
        </w:rPr>
        <w:t>R</w:t>
      </w:r>
      <w:r>
        <w:rPr>
          <w:rFonts w:hint="default" w:ascii="Times New Roman" w:hAnsi="Times New Roman" w:cs="Times New Roman"/>
          <w:b/>
          <w:color w:val="000000" w:themeColor="text1"/>
          <w:spacing w:val="-7"/>
          <w:szCs w:val="21"/>
          <w:u w:val="none"/>
          <w:lang w:eastAsia="zh-CN"/>
          <w14:textFill>
            <w14:solidFill>
              <w14:schemeClr w14:val="tx1"/>
            </w14:solidFill>
          </w14:textFill>
        </w:rPr>
        <w:t>）</w:t>
      </w:r>
      <w:r>
        <w:rPr>
          <w:rFonts w:hint="default" w:ascii="Times New Roman" w:hAnsi="Times New Roman" w:cs="Times New Roman"/>
          <w:b/>
          <w:color w:val="000000" w:themeColor="text1"/>
          <w:spacing w:val="-7"/>
          <w:szCs w:val="21"/>
          <w:u w:val="none"/>
          <w14:textFill>
            <w14:solidFill>
              <w14:schemeClr w14:val="tx1"/>
            </w14:solidFill>
          </w14:textFill>
        </w:rPr>
        <w:t xml:space="preserve">  评分规则</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27"/>
        <w:gridCol w:w="3641"/>
        <w:gridCol w:w="954"/>
      </w:tblGrid>
      <w:tr w14:paraId="6F328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2304" w:type="pct"/>
          </w:tcPr>
          <w:p w14:paraId="7DE5A53E">
            <w:pPr>
              <w:pStyle w:val="24"/>
              <w:spacing w:before="112" w:line="360" w:lineRule="auto"/>
              <w:ind w:left="534" w:right="65" w:hanging="400"/>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lang w:eastAsia="zh-CN"/>
                <w14:textFill>
                  <w14:solidFill>
                    <w14:schemeClr w14:val="tx1"/>
                  </w14:solidFill>
                </w14:textFill>
              </w:rPr>
              <w:t>行政办公、商务办公、商业金融、</w:t>
            </w:r>
            <w:r>
              <w:rPr>
                <w:rFonts w:hint="default" w:ascii="Times New Roman" w:hAnsi="Times New Roman" w:cs="Times New Roman" w:eastAsiaTheme="minorEastAsia"/>
                <w:color w:val="000000" w:themeColor="text1"/>
                <w:spacing w:val="4"/>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旅馆饭店、交通枢纽等</w:t>
            </w:r>
          </w:p>
        </w:tc>
        <w:tc>
          <w:tcPr>
            <w:tcW w:w="2136" w:type="pct"/>
          </w:tcPr>
          <w:p w14:paraId="53A48164">
            <w:pPr>
              <w:pStyle w:val="24"/>
              <w:spacing w:before="110" w:line="360" w:lineRule="auto"/>
              <w:ind w:left="694" w:right="468" w:hanging="240"/>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教育、文化、体育、医疗</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卫生、社会福利等</w:t>
            </w:r>
          </w:p>
        </w:tc>
        <w:tc>
          <w:tcPr>
            <w:tcW w:w="561" w:type="pct"/>
          </w:tcPr>
          <w:p w14:paraId="39822E94">
            <w:pPr>
              <w:pStyle w:val="24"/>
              <w:spacing w:before="241" w:line="360" w:lineRule="auto"/>
              <w:ind w:left="69"/>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得分</w:t>
            </w:r>
          </w:p>
        </w:tc>
      </w:tr>
      <w:tr w14:paraId="798C8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2304" w:type="pct"/>
          </w:tcPr>
          <w:p w14:paraId="42ED938B">
            <w:pPr>
              <w:pStyle w:val="24"/>
              <w:spacing w:before="93" w:line="360" w:lineRule="auto"/>
              <w:ind w:left="93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1.0≤R&lt;1.5</w:t>
            </w:r>
          </w:p>
        </w:tc>
        <w:tc>
          <w:tcPr>
            <w:tcW w:w="2136" w:type="pct"/>
          </w:tcPr>
          <w:p w14:paraId="73EEB07C">
            <w:pPr>
              <w:pStyle w:val="24"/>
              <w:spacing w:before="93" w:line="360" w:lineRule="auto"/>
              <w:ind w:left="934"/>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0.5≤R&lt;0.8</w:t>
            </w:r>
          </w:p>
        </w:tc>
        <w:tc>
          <w:tcPr>
            <w:tcW w:w="561" w:type="pct"/>
          </w:tcPr>
          <w:p w14:paraId="1685EF75">
            <w:pPr>
              <w:pStyle w:val="24"/>
              <w:spacing w:before="120" w:line="360" w:lineRule="auto"/>
              <w:ind w:left="189"/>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8</w:t>
            </w:r>
          </w:p>
        </w:tc>
      </w:tr>
      <w:tr w14:paraId="1FA7C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2304" w:type="pct"/>
          </w:tcPr>
          <w:p w14:paraId="64CF70D6">
            <w:pPr>
              <w:pStyle w:val="24"/>
              <w:spacing w:before="96" w:line="360" w:lineRule="auto"/>
              <w:ind w:left="93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1.5≤R&lt;2.5</w:t>
            </w:r>
          </w:p>
        </w:tc>
        <w:tc>
          <w:tcPr>
            <w:tcW w:w="2136" w:type="pct"/>
          </w:tcPr>
          <w:p w14:paraId="68444D80">
            <w:pPr>
              <w:pStyle w:val="24"/>
              <w:spacing w:before="96" w:line="360" w:lineRule="auto"/>
              <w:ind w:left="109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R≥2.0</w:t>
            </w:r>
          </w:p>
        </w:tc>
        <w:tc>
          <w:tcPr>
            <w:tcW w:w="561" w:type="pct"/>
          </w:tcPr>
          <w:p w14:paraId="4DDAF07D">
            <w:pPr>
              <w:pStyle w:val="24"/>
              <w:spacing w:before="121" w:line="360" w:lineRule="auto"/>
              <w:ind w:left="15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12</w:t>
            </w:r>
          </w:p>
        </w:tc>
      </w:tr>
      <w:tr w14:paraId="4B968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2304" w:type="pct"/>
          </w:tcPr>
          <w:p w14:paraId="4C92A9AC">
            <w:pPr>
              <w:pStyle w:val="24"/>
              <w:spacing w:before="97" w:line="360" w:lineRule="auto"/>
              <w:ind w:left="93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2.5≤R&lt;3.5</w:t>
            </w:r>
          </w:p>
        </w:tc>
        <w:tc>
          <w:tcPr>
            <w:tcW w:w="2136" w:type="pct"/>
          </w:tcPr>
          <w:p w14:paraId="03095A7A">
            <w:pPr>
              <w:pStyle w:val="24"/>
              <w:spacing w:before="97" w:line="360" w:lineRule="auto"/>
              <w:ind w:left="934"/>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0.8≤R&lt;1.5</w:t>
            </w:r>
          </w:p>
        </w:tc>
        <w:tc>
          <w:tcPr>
            <w:tcW w:w="561" w:type="pct"/>
          </w:tcPr>
          <w:p w14:paraId="223048B9">
            <w:pPr>
              <w:pStyle w:val="24"/>
              <w:spacing w:before="123" w:line="360" w:lineRule="auto"/>
              <w:ind w:left="15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16</w:t>
            </w:r>
          </w:p>
        </w:tc>
      </w:tr>
      <w:tr w14:paraId="507F5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2304" w:type="pct"/>
          </w:tcPr>
          <w:p w14:paraId="34FB2BB2">
            <w:pPr>
              <w:pStyle w:val="24"/>
              <w:spacing w:before="91" w:line="360" w:lineRule="auto"/>
              <w:ind w:left="1094"/>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R≥3.5</w:t>
            </w:r>
          </w:p>
        </w:tc>
        <w:tc>
          <w:tcPr>
            <w:tcW w:w="2136" w:type="pct"/>
          </w:tcPr>
          <w:p w14:paraId="46652605">
            <w:pPr>
              <w:pStyle w:val="24"/>
              <w:spacing w:before="90" w:line="360" w:lineRule="auto"/>
              <w:ind w:left="934"/>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1.5≤R&lt;2.0</w:t>
            </w:r>
          </w:p>
        </w:tc>
        <w:tc>
          <w:tcPr>
            <w:tcW w:w="561" w:type="pct"/>
          </w:tcPr>
          <w:p w14:paraId="0DCFC36F">
            <w:pPr>
              <w:pStyle w:val="24"/>
              <w:spacing w:before="116" w:line="360" w:lineRule="auto"/>
              <w:ind w:left="15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20</w:t>
            </w:r>
          </w:p>
        </w:tc>
      </w:tr>
    </w:tbl>
    <w:p w14:paraId="7B1D2AD9">
      <w:pPr>
        <w:spacing w:line="360" w:lineRule="auto"/>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7.2.2</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合理开发利用地下空间，评价总分值为12分，根据地下空间开发利用指标，按表7.2.2的规则评分。</w:t>
      </w:r>
    </w:p>
    <w:p w14:paraId="453CB579">
      <w:pPr>
        <w:spacing w:line="360" w:lineRule="auto"/>
        <w:rPr>
          <w:rFonts w:hint="default" w:ascii="Times New Roman" w:hAnsi="Times New Roman" w:cs="Times New Roman"/>
          <w:color w:val="000000" w:themeColor="text1"/>
          <w:spacing w:val="-7"/>
          <w:sz w:val="24"/>
          <w:szCs w:val="24"/>
          <w:u w:val="none"/>
          <w14:textFill>
            <w14:solidFill>
              <w14:schemeClr w14:val="tx1"/>
            </w14:solidFill>
          </w14:textFill>
        </w:rPr>
      </w:pPr>
    </w:p>
    <w:p w14:paraId="11629902">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表7.2.2 地下空间开发利用指标评分规则</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7"/>
        <w:gridCol w:w="4152"/>
        <w:gridCol w:w="2303"/>
        <w:gridCol w:w="910"/>
      </w:tblGrid>
      <w:tr w14:paraId="20C44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679" w:type="pct"/>
          </w:tcPr>
          <w:p w14:paraId="4A25D0E3">
            <w:pPr>
              <w:pStyle w:val="24"/>
              <w:spacing w:before="72" w:line="360" w:lineRule="auto"/>
              <w:ind w:left="4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建筑类型</w:t>
            </w:r>
          </w:p>
        </w:tc>
        <w:tc>
          <w:tcPr>
            <w:tcW w:w="3787" w:type="pct"/>
            <w:gridSpan w:val="2"/>
          </w:tcPr>
          <w:p w14:paraId="1E88797D">
            <w:pPr>
              <w:pStyle w:val="24"/>
              <w:spacing w:before="72" w:line="360" w:lineRule="auto"/>
              <w:ind w:left="1412"/>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地下空间开发利用指标</w:t>
            </w:r>
          </w:p>
        </w:tc>
        <w:tc>
          <w:tcPr>
            <w:tcW w:w="534" w:type="pct"/>
          </w:tcPr>
          <w:p w14:paraId="49B4AC6E">
            <w:pPr>
              <w:pStyle w:val="24"/>
              <w:spacing w:before="72" w:line="360" w:lineRule="auto"/>
              <w:ind w:left="139"/>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得分</w:t>
            </w:r>
          </w:p>
        </w:tc>
      </w:tr>
      <w:tr w14:paraId="5413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679" w:type="pct"/>
            <w:vMerge w:val="restart"/>
            <w:tcBorders>
              <w:bottom w:val="nil"/>
            </w:tcBorders>
          </w:tcPr>
          <w:p w14:paraId="32401DA6">
            <w:pPr>
              <w:spacing w:line="360" w:lineRule="auto"/>
              <w:rPr>
                <w:rFonts w:hint="default" w:ascii="Times New Roman" w:hAnsi="Times New Roman" w:cs="Times New Roman"/>
                <w:color w:val="000000" w:themeColor="text1"/>
                <w:u w:val="none"/>
                <w14:textFill>
                  <w14:solidFill>
                    <w14:schemeClr w14:val="tx1"/>
                  </w14:solidFill>
                </w14:textFill>
              </w:rPr>
            </w:pPr>
          </w:p>
          <w:p w14:paraId="07B064A5">
            <w:pPr>
              <w:pStyle w:val="24"/>
              <w:spacing w:before="55" w:line="360" w:lineRule="auto"/>
              <w:ind w:left="4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住宅建筑</w:t>
            </w:r>
          </w:p>
        </w:tc>
        <w:tc>
          <w:tcPr>
            <w:tcW w:w="2436" w:type="pct"/>
            <w:vMerge w:val="restart"/>
            <w:tcBorders>
              <w:bottom w:val="nil"/>
            </w:tcBorders>
          </w:tcPr>
          <w:p w14:paraId="5EEEC99D">
            <w:pPr>
              <w:pStyle w:val="24"/>
              <w:spacing w:before="139" w:line="360" w:lineRule="auto"/>
              <w:ind w:left="11"/>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地下建筑面积与地上建筑面积的比率R地下一层建筑面积与总用地面积</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的比率</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Rp</w:t>
            </w:r>
          </w:p>
        </w:tc>
        <w:tc>
          <w:tcPr>
            <w:tcW w:w="1350" w:type="pct"/>
          </w:tcPr>
          <w:p w14:paraId="502453FB">
            <w:pPr>
              <w:pStyle w:val="24"/>
              <w:spacing w:before="84" w:line="360" w:lineRule="auto"/>
              <w:ind w:left="396"/>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5%≤R</w:t>
            </w:r>
            <w:r>
              <w:rPr>
                <w:rFonts w:hint="eastAsia" w:ascii="Times New Roman" w:hAnsi="Times New Roman" w:cs="Times New Roman" w:eastAsiaTheme="minorEastAsia"/>
                <w:color w:val="000000" w:themeColor="text1"/>
                <w:spacing w:val="-2"/>
                <w:sz w:val="21"/>
                <w:szCs w:val="21"/>
                <w:u w:val="none"/>
                <w:vertAlign w:val="subscript"/>
                <w:lang w:val="en-US" w:eastAsia="zh-CN"/>
                <w14:textFill>
                  <w14:solidFill>
                    <w14:schemeClr w14:val="tx1"/>
                  </w14:solidFill>
                </w14:textFill>
              </w:rPr>
              <w:t>r</w:t>
            </w: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&lt;20%</w:t>
            </w:r>
          </w:p>
        </w:tc>
        <w:tc>
          <w:tcPr>
            <w:tcW w:w="534" w:type="pct"/>
          </w:tcPr>
          <w:p w14:paraId="2FCF276F">
            <w:pPr>
              <w:pStyle w:val="24"/>
              <w:spacing w:before="113" w:line="360" w:lineRule="auto"/>
              <w:ind w:left="259"/>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5</w:t>
            </w:r>
          </w:p>
        </w:tc>
      </w:tr>
      <w:tr w14:paraId="32F72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679" w:type="pct"/>
            <w:vMerge w:val="continue"/>
            <w:tcBorders>
              <w:top w:val="nil"/>
              <w:bottom w:val="nil"/>
            </w:tcBorders>
          </w:tcPr>
          <w:p w14:paraId="4D3BFA92">
            <w:pPr>
              <w:spacing w:line="360" w:lineRule="auto"/>
              <w:rPr>
                <w:rFonts w:hint="default" w:ascii="Times New Roman" w:hAnsi="Times New Roman" w:cs="Times New Roman"/>
                <w:color w:val="000000" w:themeColor="text1"/>
                <w:u w:val="none"/>
                <w14:textFill>
                  <w14:solidFill>
                    <w14:schemeClr w14:val="tx1"/>
                  </w14:solidFill>
                </w14:textFill>
              </w:rPr>
            </w:pPr>
          </w:p>
        </w:tc>
        <w:tc>
          <w:tcPr>
            <w:tcW w:w="2436" w:type="pct"/>
            <w:vMerge w:val="continue"/>
            <w:tcBorders>
              <w:top w:val="nil"/>
              <w:bottom w:val="nil"/>
            </w:tcBorders>
          </w:tcPr>
          <w:p w14:paraId="4E877E12">
            <w:pPr>
              <w:spacing w:line="360" w:lineRule="auto"/>
              <w:rPr>
                <w:rFonts w:hint="default" w:ascii="Times New Roman" w:hAnsi="Times New Roman" w:cs="Times New Roman"/>
                <w:color w:val="000000" w:themeColor="text1"/>
                <w:u w:val="none"/>
                <w14:textFill>
                  <w14:solidFill>
                    <w14:schemeClr w14:val="tx1"/>
                  </w14:solidFill>
                </w14:textFill>
              </w:rPr>
            </w:pPr>
          </w:p>
        </w:tc>
        <w:tc>
          <w:tcPr>
            <w:tcW w:w="1350" w:type="pct"/>
          </w:tcPr>
          <w:p w14:paraId="5E7CB03E">
            <w:pPr>
              <w:pStyle w:val="24"/>
              <w:spacing w:before="70" w:line="360" w:lineRule="auto"/>
              <w:ind w:left="446"/>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R</w:t>
            </w:r>
            <w:r>
              <w:rPr>
                <w:rFonts w:hint="eastAsia" w:ascii="Times New Roman" w:hAnsi="Times New Roman" w:cs="Times New Roman" w:eastAsiaTheme="minorEastAsia"/>
                <w:color w:val="000000" w:themeColor="text1"/>
                <w:spacing w:val="-4"/>
                <w:sz w:val="21"/>
                <w:szCs w:val="21"/>
                <w:u w:val="none"/>
                <w:vertAlign w:val="subscript"/>
                <w:lang w:val="en-US" w:eastAsia="zh-CN"/>
                <w14:textFill>
                  <w14:solidFill>
                    <w14:schemeClr w14:val="tx1"/>
                  </w14:solidFill>
                </w14:textFill>
              </w:rPr>
              <w:t>r</w:t>
            </w: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≥20%</w:t>
            </w:r>
          </w:p>
        </w:tc>
        <w:tc>
          <w:tcPr>
            <w:tcW w:w="534" w:type="pct"/>
          </w:tcPr>
          <w:p w14:paraId="63E00971">
            <w:pPr>
              <w:pStyle w:val="24"/>
              <w:spacing w:before="114" w:line="360" w:lineRule="auto"/>
              <w:ind w:left="259"/>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7</w:t>
            </w:r>
          </w:p>
        </w:tc>
      </w:tr>
      <w:tr w14:paraId="4AB39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679" w:type="pct"/>
            <w:vMerge w:val="continue"/>
            <w:tcBorders>
              <w:top w:val="nil"/>
            </w:tcBorders>
          </w:tcPr>
          <w:p w14:paraId="6410F292">
            <w:pPr>
              <w:spacing w:line="360" w:lineRule="auto"/>
              <w:rPr>
                <w:rFonts w:hint="default" w:ascii="Times New Roman" w:hAnsi="Times New Roman" w:cs="Times New Roman"/>
                <w:color w:val="000000" w:themeColor="text1"/>
                <w:u w:val="none"/>
                <w14:textFill>
                  <w14:solidFill>
                    <w14:schemeClr w14:val="tx1"/>
                  </w14:solidFill>
                </w14:textFill>
              </w:rPr>
            </w:pPr>
          </w:p>
        </w:tc>
        <w:tc>
          <w:tcPr>
            <w:tcW w:w="2436" w:type="pct"/>
            <w:vMerge w:val="continue"/>
            <w:tcBorders>
              <w:top w:val="nil"/>
            </w:tcBorders>
          </w:tcPr>
          <w:p w14:paraId="17A192DC">
            <w:pPr>
              <w:spacing w:line="360" w:lineRule="auto"/>
              <w:rPr>
                <w:rFonts w:hint="default" w:ascii="Times New Roman" w:hAnsi="Times New Roman" w:cs="Times New Roman"/>
                <w:color w:val="000000" w:themeColor="text1"/>
                <w:u w:val="none"/>
                <w14:textFill>
                  <w14:solidFill>
                    <w14:schemeClr w14:val="tx1"/>
                  </w14:solidFill>
                </w14:textFill>
              </w:rPr>
            </w:pPr>
          </w:p>
        </w:tc>
        <w:tc>
          <w:tcPr>
            <w:tcW w:w="1350" w:type="pct"/>
          </w:tcPr>
          <w:p w14:paraId="49A7E11F">
            <w:pPr>
              <w:pStyle w:val="24"/>
              <w:spacing w:before="67" w:line="360" w:lineRule="auto"/>
              <w:ind w:left="106"/>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R</w:t>
            </w:r>
            <w:r>
              <w:rPr>
                <w:rFonts w:hint="eastAsia" w:ascii="Times New Roman" w:hAnsi="Times New Roman" w:cs="Times New Roman" w:eastAsiaTheme="minorEastAsia"/>
                <w:color w:val="000000" w:themeColor="text1"/>
                <w:spacing w:val="-4"/>
                <w:sz w:val="21"/>
                <w:szCs w:val="21"/>
                <w:u w:val="none"/>
                <w:vertAlign w:val="subscript"/>
                <w:lang w:val="en-US" w:eastAsia="zh-CN"/>
                <w14:textFill>
                  <w14:solidFill>
                    <w14:schemeClr w14:val="tx1"/>
                  </w14:solidFill>
                </w14:textFill>
              </w:rPr>
              <w:t>r</w:t>
            </w: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≥35%且</w:t>
            </w:r>
            <w:r>
              <w:rPr>
                <w:rFonts w:hint="default" w:ascii="Times New Roman" w:hAnsi="Times New Roman" w:cs="Times New Roman" w:eastAsiaTheme="minorEastAsia"/>
                <w:color w:val="000000" w:themeColor="text1"/>
                <w:sz w:val="21"/>
                <w:szCs w:val="21"/>
                <w:u w:val="none"/>
                <w14:textFill>
                  <w14:solidFill>
                    <w14:schemeClr w14:val="tx1"/>
                  </w14:solidFill>
                </w14:textFill>
              </w:rPr>
              <w:t>R</w:t>
            </w:r>
            <w:r>
              <w:rPr>
                <w:rFonts w:hint="default" w:ascii="Times New Roman" w:hAnsi="Times New Roman" w:cs="Times New Roman" w:eastAsiaTheme="minorEastAsia"/>
                <w:color w:val="000000" w:themeColor="text1"/>
                <w:sz w:val="21"/>
                <w:szCs w:val="21"/>
                <w:u w:val="none"/>
                <w:vertAlign w:val="subscript"/>
                <w14:textFill>
                  <w14:solidFill>
                    <w14:schemeClr w14:val="tx1"/>
                  </w14:solidFill>
                </w14:textFill>
              </w:rPr>
              <w:t>p</w:t>
            </w: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&lt;60%</w:t>
            </w:r>
          </w:p>
        </w:tc>
        <w:tc>
          <w:tcPr>
            <w:tcW w:w="534" w:type="pct"/>
          </w:tcPr>
          <w:p w14:paraId="4B7F3796">
            <w:pPr>
              <w:pStyle w:val="24"/>
              <w:spacing w:before="114" w:line="360" w:lineRule="auto"/>
              <w:ind w:left="22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12</w:t>
            </w:r>
          </w:p>
        </w:tc>
      </w:tr>
      <w:tr w14:paraId="0299D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679" w:type="pct"/>
            <w:vMerge w:val="restart"/>
            <w:tcBorders>
              <w:bottom w:val="nil"/>
            </w:tcBorders>
          </w:tcPr>
          <w:p w14:paraId="0A8B4A7C">
            <w:pPr>
              <w:spacing w:line="360" w:lineRule="auto"/>
              <w:rPr>
                <w:rFonts w:hint="default" w:ascii="Times New Roman" w:hAnsi="Times New Roman" w:cs="Times New Roman"/>
                <w:color w:val="000000" w:themeColor="text1"/>
                <w:u w:val="none"/>
                <w14:textFill>
                  <w14:solidFill>
                    <w14:schemeClr w14:val="tx1"/>
                  </w14:solidFill>
                </w14:textFill>
              </w:rPr>
            </w:pPr>
          </w:p>
          <w:p w14:paraId="20841112">
            <w:pPr>
              <w:pStyle w:val="24"/>
              <w:spacing w:before="56" w:line="360" w:lineRule="auto"/>
              <w:ind w:left="4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公共建筑</w:t>
            </w:r>
          </w:p>
        </w:tc>
        <w:tc>
          <w:tcPr>
            <w:tcW w:w="2436" w:type="pct"/>
            <w:vMerge w:val="restart"/>
            <w:tcBorders>
              <w:bottom w:val="nil"/>
            </w:tcBorders>
          </w:tcPr>
          <w:p w14:paraId="39B812BD">
            <w:pPr>
              <w:pStyle w:val="24"/>
              <w:spacing w:before="143" w:line="360" w:lineRule="auto"/>
              <w:ind w:left="181"/>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地下建筑面积与总用地面积之比R地下一层建筑面积与总用地面积</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的比率</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Rp</w:t>
            </w:r>
          </w:p>
        </w:tc>
        <w:tc>
          <w:tcPr>
            <w:tcW w:w="1350" w:type="pct"/>
          </w:tcPr>
          <w:p w14:paraId="7C5691D8">
            <w:pPr>
              <w:pStyle w:val="24"/>
              <w:spacing w:before="68" w:line="360" w:lineRule="auto"/>
              <w:ind w:left="446"/>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R</w:t>
            </w:r>
            <w:r>
              <w:rPr>
                <w:rFonts w:hint="default" w:ascii="Times New Roman" w:hAnsi="Times New Roman" w:cs="Times New Roman" w:eastAsiaTheme="minorEastAsia"/>
                <w:color w:val="000000" w:themeColor="text1"/>
                <w:spacing w:val="-1"/>
                <w:sz w:val="21"/>
                <w:szCs w:val="21"/>
                <w:u w:val="none"/>
                <w:vertAlign w:val="subscript"/>
                <w14:textFill>
                  <w14:solidFill>
                    <w14:schemeClr w14:val="tx1"/>
                  </w14:solidFill>
                </w14:textFill>
              </w:rPr>
              <w:t>p</w:t>
            </w:r>
            <w:r>
              <w:rPr>
                <w:rFonts w:hint="eastAsia" w:ascii="Times New Roman" w:hAnsi="Times New Roman" w:cs="Times New Roman" w:eastAsiaTheme="minorEastAsia"/>
                <w:color w:val="000000" w:themeColor="text1"/>
                <w:spacing w:val="-1"/>
                <w:sz w:val="21"/>
                <w:szCs w:val="21"/>
                <w:u w:val="none"/>
                <w:vertAlign w:val="subscript"/>
                <w:lang w:val="en-US" w:eastAsia="zh-CN"/>
                <w14:textFill>
                  <w14:solidFill>
                    <w14:schemeClr w14:val="tx1"/>
                  </w14:solidFill>
                </w14:textFill>
              </w:rPr>
              <w:t>1</w:t>
            </w: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≥0.5</w:t>
            </w:r>
          </w:p>
        </w:tc>
        <w:tc>
          <w:tcPr>
            <w:tcW w:w="534" w:type="pct"/>
          </w:tcPr>
          <w:p w14:paraId="01F2F72D">
            <w:pPr>
              <w:pStyle w:val="24"/>
              <w:spacing w:before="117" w:line="360" w:lineRule="auto"/>
              <w:ind w:left="259"/>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5</w:t>
            </w:r>
          </w:p>
        </w:tc>
      </w:tr>
      <w:tr w14:paraId="53A93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679" w:type="pct"/>
            <w:vMerge w:val="continue"/>
            <w:tcBorders>
              <w:top w:val="nil"/>
              <w:bottom w:val="nil"/>
            </w:tcBorders>
          </w:tcPr>
          <w:p w14:paraId="672E4132">
            <w:pPr>
              <w:spacing w:line="360" w:lineRule="auto"/>
              <w:rPr>
                <w:rFonts w:hint="default" w:ascii="Times New Roman" w:hAnsi="Times New Roman" w:cs="Times New Roman"/>
                <w:color w:val="000000" w:themeColor="text1"/>
                <w:u w:val="none"/>
                <w14:textFill>
                  <w14:solidFill>
                    <w14:schemeClr w14:val="tx1"/>
                  </w14:solidFill>
                </w14:textFill>
              </w:rPr>
            </w:pPr>
          </w:p>
        </w:tc>
        <w:tc>
          <w:tcPr>
            <w:tcW w:w="2436" w:type="pct"/>
            <w:vMerge w:val="continue"/>
            <w:tcBorders>
              <w:top w:val="nil"/>
              <w:bottom w:val="nil"/>
            </w:tcBorders>
          </w:tcPr>
          <w:p w14:paraId="6CF3F53A">
            <w:pPr>
              <w:spacing w:line="360" w:lineRule="auto"/>
              <w:rPr>
                <w:rFonts w:hint="default" w:ascii="Times New Roman" w:hAnsi="Times New Roman" w:cs="Times New Roman"/>
                <w:color w:val="000000" w:themeColor="text1"/>
                <w:u w:val="none"/>
                <w14:textFill>
                  <w14:solidFill>
                    <w14:schemeClr w14:val="tx1"/>
                  </w14:solidFill>
                </w14:textFill>
              </w:rPr>
            </w:pPr>
          </w:p>
        </w:tc>
        <w:tc>
          <w:tcPr>
            <w:tcW w:w="1350" w:type="pct"/>
          </w:tcPr>
          <w:p w14:paraId="1834E4B2">
            <w:pPr>
              <w:pStyle w:val="24"/>
              <w:spacing w:before="69" w:line="360" w:lineRule="auto"/>
              <w:ind w:left="106"/>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R</w:t>
            </w:r>
            <w:r>
              <w:rPr>
                <w:rFonts w:hint="default" w:ascii="Times New Roman" w:hAnsi="Times New Roman" w:cs="Times New Roman" w:eastAsiaTheme="minorEastAsia"/>
                <w:color w:val="000000" w:themeColor="text1"/>
                <w:spacing w:val="-1"/>
                <w:sz w:val="21"/>
                <w:szCs w:val="21"/>
                <w:u w:val="none"/>
                <w:vertAlign w:val="subscript"/>
                <w14:textFill>
                  <w14:solidFill>
                    <w14:schemeClr w14:val="tx1"/>
                  </w14:solidFill>
                </w14:textFill>
              </w:rPr>
              <w:t>p</w:t>
            </w:r>
            <w:r>
              <w:rPr>
                <w:rFonts w:hint="eastAsia" w:ascii="Times New Roman" w:hAnsi="Times New Roman" w:cs="Times New Roman" w:eastAsiaTheme="minorEastAsia"/>
                <w:color w:val="000000" w:themeColor="text1"/>
                <w:spacing w:val="-1"/>
                <w:sz w:val="21"/>
                <w:szCs w:val="21"/>
                <w:u w:val="none"/>
                <w:vertAlign w:val="subscript"/>
                <w:lang w:val="en-US" w:eastAsia="zh-CN"/>
                <w14:textFill>
                  <w14:solidFill>
                    <w14:schemeClr w14:val="tx1"/>
                  </w14:solidFill>
                </w14:textFill>
              </w:rPr>
              <w:t>1</w:t>
            </w: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≥0.7且Rp&lt;70%</w:t>
            </w:r>
          </w:p>
        </w:tc>
        <w:tc>
          <w:tcPr>
            <w:tcW w:w="534" w:type="pct"/>
          </w:tcPr>
          <w:p w14:paraId="3C1A1418">
            <w:pPr>
              <w:pStyle w:val="24"/>
              <w:spacing w:before="118" w:line="360" w:lineRule="auto"/>
              <w:ind w:left="259"/>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7</w:t>
            </w:r>
          </w:p>
        </w:tc>
      </w:tr>
      <w:tr w14:paraId="17582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679" w:type="pct"/>
            <w:vMerge w:val="continue"/>
            <w:tcBorders>
              <w:top w:val="nil"/>
            </w:tcBorders>
          </w:tcPr>
          <w:p w14:paraId="59702693">
            <w:pPr>
              <w:spacing w:line="360" w:lineRule="auto"/>
              <w:rPr>
                <w:rFonts w:hint="default" w:ascii="Times New Roman" w:hAnsi="Times New Roman" w:cs="Times New Roman"/>
                <w:color w:val="000000" w:themeColor="text1"/>
                <w:u w:val="none"/>
                <w14:textFill>
                  <w14:solidFill>
                    <w14:schemeClr w14:val="tx1"/>
                  </w14:solidFill>
                </w14:textFill>
              </w:rPr>
            </w:pPr>
          </w:p>
        </w:tc>
        <w:tc>
          <w:tcPr>
            <w:tcW w:w="2436" w:type="pct"/>
            <w:vMerge w:val="continue"/>
            <w:tcBorders>
              <w:top w:val="nil"/>
            </w:tcBorders>
          </w:tcPr>
          <w:p w14:paraId="0CAA1D1A">
            <w:pPr>
              <w:spacing w:line="360" w:lineRule="auto"/>
              <w:rPr>
                <w:rFonts w:hint="default" w:ascii="Times New Roman" w:hAnsi="Times New Roman" w:cs="Times New Roman"/>
                <w:color w:val="000000" w:themeColor="text1"/>
                <w:u w:val="none"/>
                <w14:textFill>
                  <w14:solidFill>
                    <w14:schemeClr w14:val="tx1"/>
                  </w14:solidFill>
                </w14:textFill>
              </w:rPr>
            </w:pPr>
          </w:p>
        </w:tc>
        <w:tc>
          <w:tcPr>
            <w:tcW w:w="1350" w:type="pct"/>
          </w:tcPr>
          <w:p w14:paraId="6DFEF122">
            <w:pPr>
              <w:pStyle w:val="24"/>
              <w:spacing w:before="71" w:line="360" w:lineRule="auto"/>
              <w:ind w:left="106"/>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R</w:t>
            </w:r>
            <w:r>
              <w:rPr>
                <w:rFonts w:hint="default" w:ascii="Times New Roman" w:hAnsi="Times New Roman" w:cs="Times New Roman" w:eastAsiaTheme="minorEastAsia"/>
                <w:color w:val="000000" w:themeColor="text1"/>
                <w:spacing w:val="-1"/>
                <w:sz w:val="21"/>
                <w:szCs w:val="21"/>
                <w:u w:val="none"/>
                <w:vertAlign w:val="subscript"/>
                <w14:textFill>
                  <w14:solidFill>
                    <w14:schemeClr w14:val="tx1"/>
                  </w14:solidFill>
                </w14:textFill>
              </w:rPr>
              <w:t>p</w:t>
            </w:r>
            <w:r>
              <w:rPr>
                <w:rFonts w:hint="eastAsia" w:ascii="Times New Roman" w:hAnsi="Times New Roman" w:cs="Times New Roman" w:eastAsiaTheme="minorEastAsia"/>
                <w:color w:val="000000" w:themeColor="text1"/>
                <w:spacing w:val="-1"/>
                <w:sz w:val="21"/>
                <w:szCs w:val="21"/>
                <w:u w:val="none"/>
                <w:vertAlign w:val="subscript"/>
                <w:lang w:val="en-US" w:eastAsia="zh-CN"/>
                <w14:textFill>
                  <w14:solidFill>
                    <w14:schemeClr w14:val="tx1"/>
                  </w14:solidFill>
                </w14:textFill>
              </w:rPr>
              <w:t>1</w:t>
            </w: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≥1.0且Rp&lt;60%</w:t>
            </w:r>
          </w:p>
        </w:tc>
        <w:tc>
          <w:tcPr>
            <w:tcW w:w="534" w:type="pct"/>
          </w:tcPr>
          <w:p w14:paraId="44104B0B">
            <w:pPr>
              <w:pStyle w:val="24"/>
              <w:spacing w:before="118" w:line="360" w:lineRule="auto"/>
              <w:ind w:left="220"/>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12</w:t>
            </w:r>
          </w:p>
        </w:tc>
      </w:tr>
    </w:tbl>
    <w:p w14:paraId="6F5A8BC9">
      <w:pPr>
        <w:spacing w:line="360" w:lineRule="auto"/>
        <w:rPr>
          <w:rFonts w:hint="default" w:ascii="Times New Roman" w:hAnsi="Times New Roman" w:cs="Times New Roman"/>
          <w:color w:val="000000" w:themeColor="text1"/>
          <w:spacing w:val="-7"/>
          <w:sz w:val="24"/>
          <w:szCs w:val="24"/>
          <w:u w:val="none"/>
          <w14:textFill>
            <w14:solidFill>
              <w14:schemeClr w14:val="tx1"/>
            </w14:solidFill>
          </w14:textFill>
        </w:rPr>
      </w:pPr>
      <w:bookmarkStart w:id="81" w:name="bookmark98"/>
      <w:bookmarkEnd w:id="81"/>
      <w:r>
        <w:rPr>
          <w:rFonts w:hint="default" w:ascii="Times New Roman" w:hAnsi="Times New Roman" w:cs="Times New Roman"/>
          <w:b/>
          <w:color w:val="000000" w:themeColor="text1"/>
          <w:spacing w:val="-12"/>
          <w:sz w:val="24"/>
          <w:szCs w:val="24"/>
          <w:u w:val="none"/>
          <w14:textFill>
            <w14:solidFill>
              <w14:schemeClr w14:val="tx1"/>
            </w14:solidFill>
          </w14:textFill>
        </w:rPr>
        <w:t>7.2.3</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采用机械式停车设施、地下停车库或地面停车楼等方式， 评价总分值为8分，并按下列规则评分：</w:t>
      </w:r>
    </w:p>
    <w:p w14:paraId="3FD9D05E">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住宅建筑地面停车位数量与住宅总套数的比率小于 10%，得8分。</w:t>
      </w:r>
    </w:p>
    <w:p w14:paraId="0F6D3114">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7"/>
          <w:sz w:val="24"/>
          <w:szCs w:val="24"/>
          <w:u w:val="none"/>
          <w14:textFill>
            <w14:solidFill>
              <w14:schemeClr w14:val="tx1"/>
            </w14:solidFill>
          </w14:textFill>
        </w:rPr>
        <w:t>公共建筑地面停车占地面积与其总建设用地面积的比率小于8%，得8分。</w:t>
      </w:r>
    </w:p>
    <w:p w14:paraId="5FACC68C">
      <w:pPr>
        <w:pStyle w:val="4"/>
        <w:spacing w:before="0" w:after="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82" w:name="_Toc31819"/>
      <w:bookmarkStart w:id="83" w:name="_Toc204247729"/>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Ⅱ</w:t>
      </w:r>
      <w:r>
        <w:rPr>
          <w:rFonts w:hint="default" w:ascii="Times New Roman" w:hAnsi="Times New Roman" w:cs="Times New Roman"/>
          <w:color w:val="000000" w:themeColor="text1"/>
          <w:sz w:val="24"/>
          <w:szCs w:val="24"/>
          <w:u w:val="none"/>
          <w:lang w:eastAsia="zh-CN"/>
          <w14:textFill>
            <w14:solidFill>
              <w14:schemeClr w14:val="tx1"/>
            </w14:solidFill>
          </w14:textFill>
        </w:rPr>
        <w:t xml:space="preserve"> 节能与能源利用</w:t>
      </w:r>
      <w:bookmarkEnd w:id="82"/>
      <w:bookmarkEnd w:id="83"/>
    </w:p>
    <w:p w14:paraId="07A5F57F">
      <w:pPr>
        <w:spacing w:line="360" w:lineRule="auto"/>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7.2.4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优化建筑围护结构的热工性能，评价总分值为10分，并按下列规则评分：</w:t>
      </w:r>
    </w:p>
    <w:p w14:paraId="60115C41">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围护结构热工性能比现行强制性工程建设规范《建筑节能与可再生能源利用通用规范》GB 55015的规定提高5%</w:t>
      </w:r>
      <w:r>
        <w:rPr>
          <w:rFonts w:hint="default" w:ascii="Times New Roman" w:hAnsi="Times New Roman" w:cs="Times New Roman"/>
          <w:color w:val="000000" w:themeColor="text1"/>
          <w:spacing w:val="-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得5 分；每再提高1%，再得1分，最高得10分。  </w:t>
      </w:r>
    </w:p>
    <w:p w14:paraId="14C11810">
      <w:pPr>
        <w:spacing w:line="360" w:lineRule="auto"/>
        <w:ind w:firstLine="325" w:firstLineChars="15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建筑供暖空调负荷降低3%，得5分；每再降低1%，再 得1分，最高得10分。 </w:t>
      </w:r>
    </w:p>
    <w:p w14:paraId="26908674">
      <w:pPr>
        <w:spacing w:line="360" w:lineRule="auto"/>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7.2.5  </w:t>
      </w:r>
      <w:r>
        <w:rPr>
          <w:rFonts w:hint="default" w:ascii="Times New Roman" w:hAnsi="Times New Roman" w:cs="Times New Roman"/>
          <w:color w:val="000000" w:themeColor="text1"/>
          <w:spacing w:val="-7"/>
          <w:sz w:val="24"/>
          <w:szCs w:val="24"/>
          <w:u w:val="none"/>
          <w14:textFill>
            <w14:solidFill>
              <w14:schemeClr w14:val="tx1"/>
            </w14:solidFill>
          </w14:textFill>
        </w:rPr>
        <w:t>供暖空调系统的冷、热源机组能效均优于现行强制性工程建设规范《建筑节能与可再生能源利用通用规范》GB 55015 的规定以及国家现行有关标准能效限定值的要求，评价总分值为 10分，按表7.2.5的规则评分。</w:t>
      </w:r>
    </w:p>
    <w:p w14:paraId="30D8D761">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表7.2.5 冷、热源机组能效提升幅度评分规则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74"/>
        <w:gridCol w:w="1915"/>
        <w:gridCol w:w="1873"/>
        <w:gridCol w:w="1134"/>
        <w:gridCol w:w="1071"/>
      </w:tblGrid>
      <w:tr w14:paraId="3E82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3" w:type="dxa"/>
            <w:gridSpan w:val="2"/>
            <w:vAlign w:val="center"/>
          </w:tcPr>
          <w:p w14:paraId="04EFE349">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2"/>
                <w:sz w:val="21"/>
                <w:szCs w:val="21"/>
                <w:u w:val="none"/>
                <w14:textFill>
                  <w14:solidFill>
                    <w14:schemeClr w14:val="tx1"/>
                  </w14:solidFill>
                </w14:textFill>
              </w:rPr>
              <w:t>机组类型</w:t>
            </w:r>
          </w:p>
        </w:tc>
        <w:tc>
          <w:tcPr>
            <w:tcW w:w="1915" w:type="dxa"/>
            <w:vAlign w:val="center"/>
          </w:tcPr>
          <w:p w14:paraId="0870B097">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3"/>
                <w:sz w:val="21"/>
                <w:szCs w:val="21"/>
                <w:u w:val="none"/>
                <w14:textFill>
                  <w14:solidFill>
                    <w14:schemeClr w14:val="tx1"/>
                  </w14:solidFill>
                </w14:textFill>
              </w:rPr>
              <w:t>能效指标</w:t>
            </w:r>
          </w:p>
        </w:tc>
        <w:tc>
          <w:tcPr>
            <w:tcW w:w="1873" w:type="dxa"/>
            <w:vAlign w:val="center"/>
          </w:tcPr>
          <w:p w14:paraId="67BD16DD">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2"/>
                <w:sz w:val="21"/>
                <w:szCs w:val="21"/>
                <w:u w:val="none"/>
                <w14:textFill>
                  <w14:solidFill>
                    <w14:schemeClr w14:val="tx1"/>
                  </w14:solidFill>
                </w14:textFill>
              </w:rPr>
              <w:t>参照标准</w:t>
            </w:r>
          </w:p>
        </w:tc>
        <w:tc>
          <w:tcPr>
            <w:tcW w:w="2205" w:type="dxa"/>
            <w:gridSpan w:val="2"/>
            <w:vAlign w:val="center"/>
          </w:tcPr>
          <w:p w14:paraId="63182C0D">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2"/>
                <w:sz w:val="21"/>
                <w:szCs w:val="21"/>
                <w:u w:val="none"/>
                <w14:textFill>
                  <w14:solidFill>
                    <w14:schemeClr w14:val="tx1"/>
                  </w14:solidFill>
                </w14:textFill>
              </w:rPr>
              <w:t>评分要求</w:t>
            </w:r>
          </w:p>
        </w:tc>
      </w:tr>
      <w:tr w14:paraId="2FE4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5412E484">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3"/>
                <w:sz w:val="21"/>
                <w:szCs w:val="21"/>
                <w:u w:val="none"/>
                <w14:textFill>
                  <w14:solidFill>
                    <w14:schemeClr w14:val="tx1"/>
                  </w14:solidFill>
                </w14:textFill>
              </w:rPr>
              <w:t>电机</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30"/>
                <w:sz w:val="21"/>
                <w:szCs w:val="21"/>
                <w:u w:val="none"/>
                <w14:textFill>
                  <w14:solidFill>
                    <w14:schemeClr w14:val="tx1"/>
                  </w14:solidFill>
                </w14:textFill>
              </w:rPr>
              <w:t>驱动</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20"/>
                <w:sz w:val="21"/>
                <w:szCs w:val="21"/>
                <w:u w:val="none"/>
                <w14:textFill>
                  <w14:solidFill>
                    <w14:schemeClr w14:val="tx1"/>
                  </w14:solidFill>
                </w14:textFill>
              </w:rPr>
              <w:t>的蒸</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21"/>
                <w:sz w:val="21"/>
                <w:szCs w:val="21"/>
                <w:u w:val="none"/>
                <w14:textFill>
                  <w14:solidFill>
                    <w14:schemeClr w14:val="tx1"/>
                  </w14:solidFill>
                </w14:textFill>
              </w:rPr>
              <w:t>气压</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21"/>
                <w:sz w:val="21"/>
                <w:szCs w:val="21"/>
                <w:u w:val="none"/>
                <w14:textFill>
                  <w14:solidFill>
                    <w14:schemeClr w14:val="tx1"/>
                  </w14:solidFill>
                </w14:textFill>
              </w:rPr>
              <w:t>缩循</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21"/>
                <w:sz w:val="21"/>
                <w:szCs w:val="21"/>
                <w:u w:val="none"/>
                <w14:textFill>
                  <w14:solidFill>
                    <w14:schemeClr w14:val="tx1"/>
                  </w14:solidFill>
                </w14:textFill>
              </w:rPr>
              <w:t>环冷</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5"/>
                <w:sz w:val="21"/>
                <w:szCs w:val="21"/>
                <w:u w:val="none"/>
                <w14:textFill>
                  <w14:solidFill>
                    <w14:schemeClr w14:val="tx1"/>
                  </w14:solidFill>
                </w14:textFill>
              </w:rPr>
              <w:t>水</w:t>
            </w:r>
            <w:r>
              <w:rPr>
                <w:rFonts w:hint="default" w:ascii="Times New Roman" w:hAnsi="Times New Roman" w:cs="Times New Roman"/>
                <w:color w:val="000000" w:themeColor="text1"/>
                <w:spacing w:val="5"/>
                <w:sz w:val="21"/>
                <w:szCs w:val="21"/>
                <w:u w:val="none"/>
                <w:lang w:eastAsia="zh-CN"/>
                <w14:textFill>
                  <w14:solidFill>
                    <w14:schemeClr w14:val="tx1"/>
                  </w14:solidFill>
                </w14:textFill>
              </w:rPr>
              <w:t>（</w:t>
            </w:r>
            <w:r>
              <w:rPr>
                <w:rFonts w:hint="default" w:ascii="Times New Roman" w:hAnsi="Times New Roman" w:cs="Times New Roman"/>
                <w:color w:val="000000" w:themeColor="text1"/>
                <w:spacing w:val="5"/>
                <w:sz w:val="21"/>
                <w:szCs w:val="21"/>
                <w:u w:val="none"/>
                <w14:textFill>
                  <w14:solidFill>
                    <w14:schemeClr w14:val="tx1"/>
                  </w14:solidFill>
                </w14:textFill>
              </w:rPr>
              <w:t>热</w:t>
            </w:r>
            <w:r>
              <w:rPr>
                <w:rFonts w:hint="default" w:ascii="Times New Roman" w:hAnsi="Times New Roman" w:cs="Times New Roman"/>
                <w:color w:val="000000" w:themeColor="text1"/>
                <w:spacing w:val="-8"/>
                <w:sz w:val="21"/>
                <w:szCs w:val="21"/>
                <w:u w:val="none"/>
                <w14:textFill>
                  <w14:solidFill>
                    <w14:schemeClr w14:val="tx1"/>
                  </w14:solidFill>
                </w14:textFill>
              </w:rPr>
              <w:t>泵</w:t>
            </w:r>
            <w:r>
              <w:rPr>
                <w:rFonts w:hint="default" w:ascii="Times New Roman" w:hAnsi="Times New Roman" w:cs="Times New Roman"/>
                <w:color w:val="000000" w:themeColor="text1"/>
                <w:spacing w:val="-38"/>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8"/>
                <w:sz w:val="21"/>
                <w:szCs w:val="21"/>
                <w:u w:val="none"/>
                <w:lang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3"/>
                <w:sz w:val="21"/>
                <w:szCs w:val="21"/>
                <w:u w:val="none"/>
                <w14:textFill>
                  <w14:solidFill>
                    <w14:schemeClr w14:val="tx1"/>
                  </w14:solidFill>
                </w14:textFill>
              </w:rPr>
              <w:t>机组</w:t>
            </w:r>
          </w:p>
        </w:tc>
        <w:tc>
          <w:tcPr>
            <w:tcW w:w="1174" w:type="dxa"/>
            <w:vAlign w:val="center"/>
          </w:tcPr>
          <w:p w14:paraId="5CAB38B2">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定频水冷</w:t>
            </w:r>
          </w:p>
        </w:tc>
        <w:tc>
          <w:tcPr>
            <w:tcW w:w="1915" w:type="dxa"/>
            <w:vAlign w:val="center"/>
          </w:tcPr>
          <w:p w14:paraId="6BF421E9">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制冷性能系数</w:t>
            </w:r>
          </w:p>
          <w:p w14:paraId="3516DA23">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COP</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w:t>
            </w:r>
          </w:p>
        </w:tc>
        <w:tc>
          <w:tcPr>
            <w:tcW w:w="1873" w:type="dxa"/>
            <w:vMerge w:val="restart"/>
            <w:vAlign w:val="center"/>
          </w:tcPr>
          <w:p w14:paraId="36138055">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现行强制性工程</w:t>
            </w:r>
            <w:r>
              <w:rPr>
                <w:rFonts w:hint="default" w:ascii="Times New Roman" w:hAnsi="Times New Roman" w:cs="Times New Roman" w:eastAsiaTheme="minorEastAsia"/>
                <w:color w:val="000000" w:themeColor="text1"/>
                <w:spacing w:val="5"/>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建设规范《建筑</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节能与可再生</w:t>
            </w:r>
            <w:r>
              <w:rPr>
                <w:rFonts w:hint="default" w:ascii="Times New Roman" w:hAnsi="Times New Roman" w:cs="Times New Roman" w:eastAsiaTheme="minorEastAsia"/>
                <w:color w:val="000000" w:themeColor="text1"/>
                <w:spacing w:val="3"/>
                <w:sz w:val="21"/>
                <w:szCs w:val="21"/>
                <w:u w:val="none"/>
                <w:lang w:eastAsia="zh-CN"/>
                <w14:textFill>
                  <w14:solidFill>
                    <w14:schemeClr w14:val="tx1"/>
                  </w14:solidFill>
                </w14:textFill>
              </w:rPr>
              <w:t>能源利用通用</w:t>
            </w:r>
            <w:r>
              <w:rPr>
                <w:rFonts w:hint="default" w:ascii="Times New Roman" w:hAnsi="Times New Roman" w:cs="Times New Roman" w:eastAsiaTheme="minorEastAsia"/>
                <w:color w:val="000000" w:themeColor="text1"/>
                <w:spacing w:val="-4"/>
                <w:sz w:val="21"/>
                <w:szCs w:val="21"/>
                <w:u w:val="none"/>
                <w:lang w:eastAsia="zh-CN"/>
                <w14:textFill>
                  <w14:solidFill>
                    <w14:schemeClr w14:val="tx1"/>
                  </w14:solidFill>
                </w14:textFill>
              </w:rPr>
              <w:t>规范》</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GB</w:t>
            </w:r>
            <w:r>
              <w:rPr>
                <w:rFonts w:hint="default" w:ascii="Times New Roman" w:hAnsi="Times New Roman" w:cs="Times New Roman" w:eastAsiaTheme="minorEastAsia"/>
                <w:color w:val="000000" w:themeColor="text1"/>
                <w:spacing w:val="10"/>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55015</w:t>
            </w:r>
          </w:p>
        </w:tc>
        <w:tc>
          <w:tcPr>
            <w:tcW w:w="1134" w:type="dxa"/>
            <w:vAlign w:val="center"/>
          </w:tcPr>
          <w:p w14:paraId="68291475">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提高4%</w:t>
            </w:r>
          </w:p>
        </w:tc>
        <w:tc>
          <w:tcPr>
            <w:tcW w:w="1071" w:type="dxa"/>
            <w:vAlign w:val="center"/>
          </w:tcPr>
          <w:p w14:paraId="539AA9F1">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提</w:t>
            </w:r>
            <w:r>
              <w:rPr>
                <w:rFonts w:hint="default" w:ascii="Times New Roman" w:hAnsi="Times New Roman" w:cs="Times New Roman" w:eastAsiaTheme="minorEastAsia"/>
                <w:color w:val="000000" w:themeColor="text1"/>
                <w:spacing w:val="-26"/>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高</w:t>
            </w:r>
            <w:r>
              <w:rPr>
                <w:rFonts w:hint="default" w:ascii="Times New Roman" w:hAnsi="Times New Roman" w:cs="Times New Roman" w:eastAsiaTheme="minorEastAsia"/>
                <w:color w:val="000000" w:themeColor="text1"/>
                <w:spacing w:val="-31"/>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8</w:t>
            </w:r>
            <w:r>
              <w:rPr>
                <w:rFonts w:hint="default" w:ascii="Times New Roman" w:hAnsi="Times New Roman" w:cs="Times New Roman" w:eastAsiaTheme="minorEastAsia"/>
                <w:color w:val="000000" w:themeColor="text1"/>
                <w:spacing w:val="-36"/>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w:t>
            </w:r>
          </w:p>
        </w:tc>
      </w:tr>
      <w:tr w14:paraId="04EE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7320F3A3">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74" w:type="dxa"/>
            <w:vAlign w:val="center"/>
          </w:tcPr>
          <w:p w14:paraId="60CF4842">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变频水冷</w:t>
            </w:r>
          </w:p>
        </w:tc>
        <w:tc>
          <w:tcPr>
            <w:tcW w:w="1915" w:type="dxa"/>
            <w:vAlign w:val="center"/>
          </w:tcPr>
          <w:p w14:paraId="3273BDCD">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制冷性能系数</w:t>
            </w:r>
          </w:p>
          <w:p w14:paraId="5B252AA0">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6"/>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u w:val="none"/>
                <w14:textFill>
                  <w14:solidFill>
                    <w14:schemeClr w14:val="tx1"/>
                  </w14:solidFill>
                </w14:textFill>
              </w:rPr>
              <w:t>COP</w:t>
            </w:r>
            <w:r>
              <w:rPr>
                <w:rFonts w:hint="default" w:ascii="Times New Roman" w:hAnsi="Times New Roman" w:cs="Times New Roman" w:eastAsiaTheme="minorEastAsia"/>
                <w:color w:val="000000" w:themeColor="text1"/>
                <w:spacing w:val="-6"/>
                <w:sz w:val="21"/>
                <w:szCs w:val="21"/>
                <w:u w:val="none"/>
                <w:lang w:eastAsia="zh-CN"/>
                <w14:textFill>
                  <w14:solidFill>
                    <w14:schemeClr w14:val="tx1"/>
                  </w14:solidFill>
                </w14:textFill>
              </w:rPr>
              <w:t>）</w:t>
            </w:r>
          </w:p>
        </w:tc>
        <w:tc>
          <w:tcPr>
            <w:tcW w:w="1873" w:type="dxa"/>
            <w:vMerge w:val="continue"/>
            <w:vAlign w:val="center"/>
          </w:tcPr>
          <w:p w14:paraId="005DB4E0">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34" w:type="dxa"/>
            <w:vAlign w:val="center"/>
          </w:tcPr>
          <w:p w14:paraId="4C2AFB0C">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提高6%</w:t>
            </w:r>
          </w:p>
        </w:tc>
        <w:tc>
          <w:tcPr>
            <w:tcW w:w="1071" w:type="dxa"/>
            <w:vAlign w:val="center"/>
          </w:tcPr>
          <w:p w14:paraId="1E2A1F57">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提高12%</w:t>
            </w:r>
          </w:p>
        </w:tc>
      </w:tr>
      <w:tr w14:paraId="3550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28AB76CF">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74" w:type="dxa"/>
            <w:vAlign w:val="center"/>
          </w:tcPr>
          <w:p w14:paraId="1EDB7EEB">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活塞式/涡</w:t>
            </w:r>
            <w:r>
              <w:rPr>
                <w:rFonts w:hint="default" w:ascii="Times New Roman" w:hAnsi="Times New Roman" w:cs="Times New Roman" w:eastAsiaTheme="minorEastAsia"/>
                <w:color w:val="000000" w:themeColor="text1"/>
                <w:spacing w:val="-3"/>
                <w:sz w:val="21"/>
                <w:szCs w:val="21"/>
                <w:u w:val="none"/>
                <w:lang w:eastAsia="zh-CN"/>
                <w14:textFill>
                  <w14:solidFill>
                    <w14:schemeClr w14:val="tx1"/>
                  </w14:solidFill>
                </w14:textFill>
              </w:rPr>
              <w:t>旋式风冷或蒸发</w:t>
            </w: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冷却</w:t>
            </w:r>
          </w:p>
        </w:tc>
        <w:tc>
          <w:tcPr>
            <w:tcW w:w="1915" w:type="dxa"/>
            <w:vAlign w:val="center"/>
          </w:tcPr>
          <w:p w14:paraId="397138AC">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制冷性能系数</w:t>
            </w:r>
          </w:p>
          <w:p w14:paraId="05106EB9">
            <w:pPr>
              <w:keepNext w:val="0"/>
              <w:keepLines w:val="0"/>
              <w:pageBreakBefore w:val="0"/>
              <w:wordWrap/>
              <w:overflowPunct/>
              <w:topLinePunct w:val="0"/>
              <w:bidi w:val="0"/>
              <w:spacing w:line="400" w:lineRule="exact"/>
              <w:rPr>
                <w:rFonts w:hint="default" w:ascii="Times New Roman" w:hAnsi="Times New Roman" w:cs="Times New Roman" w:eastAsiaTheme="minorEastAsia"/>
                <w:b/>
                <w:color w:val="000000" w:themeColor="text1"/>
                <w:spacing w:val="-7"/>
                <w:sz w:val="21"/>
                <w:szCs w:val="21"/>
                <w:u w:val="none"/>
                <w:lang w:eastAsia="zh-CN"/>
                <w14:textFill>
                  <w14:solidFill>
                    <w14:schemeClr w14:val="tx1"/>
                  </w14:solidFill>
                </w14:textFill>
              </w:rPr>
            </w:pPr>
            <w:r>
              <w:rPr>
                <w:rFonts w:hint="default" w:ascii="Times New Roman" w:hAnsi="Times New Roman" w:cs="Times New Roman"/>
                <w:color w:val="000000" w:themeColor="text1"/>
                <w:spacing w:val="-6"/>
                <w:sz w:val="21"/>
                <w:szCs w:val="21"/>
                <w:u w:val="none"/>
                <w:lang w:eastAsia="zh-CN"/>
                <w14:textFill>
                  <w14:solidFill>
                    <w14:schemeClr w14:val="tx1"/>
                  </w14:solidFill>
                </w14:textFill>
              </w:rPr>
              <w:t>（</w:t>
            </w:r>
            <w:r>
              <w:rPr>
                <w:rFonts w:hint="default" w:ascii="Times New Roman" w:hAnsi="Times New Roman" w:cs="Times New Roman"/>
                <w:color w:val="000000" w:themeColor="text1"/>
                <w:spacing w:val="-6"/>
                <w:sz w:val="21"/>
                <w:szCs w:val="21"/>
                <w:u w:val="none"/>
                <w14:textFill>
                  <w14:solidFill>
                    <w14:schemeClr w14:val="tx1"/>
                  </w14:solidFill>
                </w14:textFill>
              </w:rPr>
              <w:t>COP</w:t>
            </w:r>
            <w:r>
              <w:rPr>
                <w:rFonts w:hint="default" w:ascii="Times New Roman" w:hAnsi="Times New Roman" w:cs="Times New Roman"/>
                <w:color w:val="000000" w:themeColor="text1"/>
                <w:spacing w:val="-6"/>
                <w:sz w:val="21"/>
                <w:szCs w:val="21"/>
                <w:u w:val="none"/>
                <w:lang w:eastAsia="zh-CN"/>
                <w14:textFill>
                  <w14:solidFill>
                    <w14:schemeClr w14:val="tx1"/>
                  </w14:solidFill>
                </w14:textFill>
              </w:rPr>
              <w:t>）</w:t>
            </w:r>
          </w:p>
        </w:tc>
        <w:tc>
          <w:tcPr>
            <w:tcW w:w="1873" w:type="dxa"/>
            <w:vMerge w:val="continue"/>
            <w:vAlign w:val="center"/>
          </w:tcPr>
          <w:p w14:paraId="75AB0731">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34" w:type="dxa"/>
            <w:vAlign w:val="center"/>
          </w:tcPr>
          <w:p w14:paraId="78BEBF48">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提高4%</w:t>
            </w:r>
          </w:p>
        </w:tc>
        <w:tc>
          <w:tcPr>
            <w:tcW w:w="1071" w:type="dxa"/>
            <w:vAlign w:val="center"/>
          </w:tcPr>
          <w:p w14:paraId="5F351237">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3"/>
                <w:sz w:val="21"/>
                <w:szCs w:val="21"/>
                <w:u w:val="none"/>
                <w14:textFill>
                  <w14:solidFill>
                    <w14:schemeClr w14:val="tx1"/>
                  </w14:solidFill>
                </w14:textFill>
              </w:rPr>
              <w:t>提高8%</w:t>
            </w:r>
          </w:p>
        </w:tc>
      </w:tr>
      <w:tr w14:paraId="608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5BDA843E">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74" w:type="dxa"/>
            <w:vAlign w:val="center"/>
          </w:tcPr>
          <w:p w14:paraId="593E948F">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螺杆式风</w:t>
            </w:r>
            <w:r>
              <w:rPr>
                <w:rFonts w:hint="default" w:ascii="Times New Roman" w:hAnsi="Times New Roman" w:cs="Times New Roman" w:eastAsiaTheme="minorEastAsia"/>
                <w:color w:val="000000" w:themeColor="text1"/>
                <w:spacing w:val="-3"/>
                <w:sz w:val="21"/>
                <w:szCs w:val="21"/>
                <w:u w:val="none"/>
                <w:lang w:eastAsia="zh-CN"/>
                <w14:textFill>
                  <w14:solidFill>
                    <w14:schemeClr w14:val="tx1"/>
                  </w14:solidFill>
                </w14:textFill>
              </w:rPr>
              <w:t>冷或蒸发</w:t>
            </w: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冷却</w:t>
            </w:r>
          </w:p>
        </w:tc>
        <w:tc>
          <w:tcPr>
            <w:tcW w:w="1915" w:type="dxa"/>
            <w:vAlign w:val="center"/>
          </w:tcPr>
          <w:p w14:paraId="5948E77E">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制冷性能系数</w:t>
            </w:r>
          </w:p>
          <w:p w14:paraId="282D80BB">
            <w:pPr>
              <w:keepNext w:val="0"/>
              <w:keepLines w:val="0"/>
              <w:pageBreakBefore w:val="0"/>
              <w:wordWrap/>
              <w:overflowPunct/>
              <w:topLinePunct w:val="0"/>
              <w:bidi w:val="0"/>
              <w:spacing w:line="400" w:lineRule="exact"/>
              <w:rPr>
                <w:rFonts w:hint="default" w:ascii="Times New Roman" w:hAnsi="Times New Roman" w:cs="Times New Roman" w:eastAsiaTheme="minorEastAsia"/>
                <w:b/>
                <w:color w:val="000000" w:themeColor="text1"/>
                <w:spacing w:val="-7"/>
                <w:sz w:val="21"/>
                <w:szCs w:val="21"/>
                <w:u w:val="none"/>
                <w:lang w:eastAsia="zh-CN"/>
                <w14:textFill>
                  <w14:solidFill>
                    <w14:schemeClr w14:val="tx1"/>
                  </w14:solidFill>
                </w14:textFill>
              </w:rPr>
            </w:pPr>
            <w:r>
              <w:rPr>
                <w:rFonts w:hint="default" w:ascii="Times New Roman" w:hAnsi="Times New Roman" w:cs="Times New Roman"/>
                <w:color w:val="000000" w:themeColor="text1"/>
                <w:spacing w:val="-6"/>
                <w:sz w:val="21"/>
                <w:szCs w:val="21"/>
                <w:u w:val="none"/>
                <w:lang w:eastAsia="zh-CN"/>
                <w14:textFill>
                  <w14:solidFill>
                    <w14:schemeClr w14:val="tx1"/>
                  </w14:solidFill>
                </w14:textFill>
              </w:rPr>
              <w:t>（</w:t>
            </w:r>
            <w:r>
              <w:rPr>
                <w:rFonts w:hint="default" w:ascii="Times New Roman" w:hAnsi="Times New Roman" w:cs="Times New Roman"/>
                <w:color w:val="000000" w:themeColor="text1"/>
                <w:spacing w:val="-6"/>
                <w:sz w:val="21"/>
                <w:szCs w:val="21"/>
                <w:u w:val="none"/>
                <w14:textFill>
                  <w14:solidFill>
                    <w14:schemeClr w14:val="tx1"/>
                  </w14:solidFill>
                </w14:textFill>
              </w:rPr>
              <w:t>COP</w:t>
            </w:r>
            <w:r>
              <w:rPr>
                <w:rFonts w:hint="default" w:ascii="Times New Roman" w:hAnsi="Times New Roman" w:cs="Times New Roman"/>
                <w:color w:val="000000" w:themeColor="text1"/>
                <w:spacing w:val="-6"/>
                <w:sz w:val="21"/>
                <w:szCs w:val="21"/>
                <w:u w:val="none"/>
                <w:lang w:eastAsia="zh-CN"/>
                <w14:textFill>
                  <w14:solidFill>
                    <w14:schemeClr w14:val="tx1"/>
                  </w14:solidFill>
                </w14:textFill>
              </w:rPr>
              <w:t>）</w:t>
            </w:r>
          </w:p>
        </w:tc>
        <w:tc>
          <w:tcPr>
            <w:tcW w:w="1873" w:type="dxa"/>
            <w:vMerge w:val="continue"/>
            <w:vAlign w:val="center"/>
          </w:tcPr>
          <w:p w14:paraId="3EA1A7E3">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34" w:type="dxa"/>
            <w:vAlign w:val="center"/>
          </w:tcPr>
          <w:p w14:paraId="0C81D30E">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提高6%</w:t>
            </w:r>
          </w:p>
        </w:tc>
        <w:tc>
          <w:tcPr>
            <w:tcW w:w="1071" w:type="dxa"/>
            <w:vAlign w:val="center"/>
          </w:tcPr>
          <w:p w14:paraId="5A577B23">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提高12%</w:t>
            </w:r>
          </w:p>
        </w:tc>
      </w:tr>
      <w:tr w14:paraId="2B8A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gridSpan w:val="2"/>
            <w:vAlign w:val="center"/>
          </w:tcPr>
          <w:p w14:paraId="2406ECC1">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1"/>
                <w:sz w:val="21"/>
                <w:szCs w:val="21"/>
                <w:u w:val="none"/>
                <w14:textFill>
                  <w14:solidFill>
                    <w14:schemeClr w14:val="tx1"/>
                  </w14:solidFill>
                </w14:textFill>
              </w:rPr>
              <w:t>直燃型溴化锂吸</w:t>
            </w:r>
            <w:r>
              <w:rPr>
                <w:rFonts w:hint="default" w:ascii="Times New Roman" w:hAnsi="Times New Roman" w:cs="Times New Roman"/>
                <w:color w:val="000000" w:themeColor="text1"/>
                <w:spacing w:val="6"/>
                <w:sz w:val="21"/>
                <w:szCs w:val="21"/>
                <w:u w:val="none"/>
                <w14:textFill>
                  <w14:solidFill>
                    <w14:schemeClr w14:val="tx1"/>
                  </w14:solidFill>
                </w14:textFill>
              </w:rPr>
              <w:t>收式冷</w:t>
            </w:r>
            <w:r>
              <w:rPr>
                <w:rFonts w:hint="default" w:ascii="Times New Roman" w:hAnsi="Times New Roman" w:cs="Times New Roman"/>
                <w:color w:val="000000" w:themeColor="text1"/>
                <w:spacing w:val="6"/>
                <w:sz w:val="21"/>
                <w:szCs w:val="21"/>
                <w:u w:val="none"/>
                <w:lang w:eastAsia="zh-CN"/>
                <w14:textFill>
                  <w14:solidFill>
                    <w14:schemeClr w14:val="tx1"/>
                  </w14:solidFill>
                </w14:textFill>
              </w:rPr>
              <w:t>（</w:t>
            </w:r>
            <w:r>
              <w:rPr>
                <w:rFonts w:hint="default" w:ascii="Times New Roman" w:hAnsi="Times New Roman" w:cs="Times New Roman"/>
                <w:color w:val="000000" w:themeColor="text1"/>
                <w:spacing w:val="6"/>
                <w:sz w:val="21"/>
                <w:szCs w:val="21"/>
                <w:u w:val="none"/>
                <w14:textFill>
                  <w14:solidFill>
                    <w14:schemeClr w14:val="tx1"/>
                  </w14:solidFill>
                </w14:textFill>
              </w:rPr>
              <w:t>温</w:t>
            </w:r>
            <w:r>
              <w:rPr>
                <w:rFonts w:hint="default" w:ascii="Times New Roman" w:hAnsi="Times New Roman" w:cs="Times New Roman"/>
                <w:color w:val="000000" w:themeColor="text1"/>
                <w:spacing w:val="6"/>
                <w:sz w:val="21"/>
                <w:szCs w:val="21"/>
                <w:u w:val="none"/>
                <w:lang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2"/>
                <w:sz w:val="21"/>
                <w:szCs w:val="21"/>
                <w:u w:val="none"/>
                <w14:textFill>
                  <w14:solidFill>
                    <w14:schemeClr w14:val="tx1"/>
                  </w14:solidFill>
                </w14:textFill>
              </w:rPr>
              <w:t>水机组</w:t>
            </w:r>
          </w:p>
        </w:tc>
        <w:tc>
          <w:tcPr>
            <w:tcW w:w="1915" w:type="dxa"/>
            <w:vAlign w:val="center"/>
          </w:tcPr>
          <w:p w14:paraId="40699D47">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制冷、供热性能</w:t>
            </w: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系数（</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COP</w:t>
            </w: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w:t>
            </w:r>
          </w:p>
        </w:tc>
        <w:tc>
          <w:tcPr>
            <w:tcW w:w="1873" w:type="dxa"/>
            <w:vMerge w:val="continue"/>
            <w:vAlign w:val="center"/>
          </w:tcPr>
          <w:p w14:paraId="766D42C4">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34" w:type="dxa"/>
            <w:vAlign w:val="center"/>
          </w:tcPr>
          <w:p w14:paraId="0243D2E4">
            <w:pPr>
              <w:keepNext w:val="0"/>
              <w:keepLines w:val="0"/>
              <w:pageBreakBefore w:val="0"/>
              <w:wordWrap/>
              <w:overflowPunct/>
              <w:topLinePunct w:val="0"/>
              <w:bidi w:val="0"/>
              <w:spacing w:line="400" w:lineRule="exact"/>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提高6%</w:t>
            </w:r>
          </w:p>
        </w:tc>
        <w:tc>
          <w:tcPr>
            <w:tcW w:w="1071" w:type="dxa"/>
            <w:vAlign w:val="center"/>
          </w:tcPr>
          <w:p w14:paraId="0E65AE19">
            <w:pPr>
              <w:keepNext w:val="0"/>
              <w:keepLines w:val="0"/>
              <w:pageBreakBefore w:val="0"/>
              <w:wordWrap/>
              <w:overflowPunct/>
              <w:topLinePunct w:val="0"/>
              <w:bidi w:val="0"/>
              <w:spacing w:line="400" w:lineRule="exact"/>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提高12%</w:t>
            </w:r>
          </w:p>
        </w:tc>
      </w:tr>
      <w:tr w14:paraId="059A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072842F5">
            <w:pPr>
              <w:pStyle w:val="24"/>
              <w:keepNext w:val="0"/>
              <w:keepLines w:val="0"/>
              <w:pageBreakBefore w:val="0"/>
              <w:wordWrap/>
              <w:overflowPunct/>
              <w:topLinePunct w:val="0"/>
              <w:bidi w:val="0"/>
              <w:spacing w:line="400" w:lineRule="exact"/>
              <w:jc w:val="left"/>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lang w:eastAsia="zh-CN"/>
                <w14:textFill>
                  <w14:solidFill>
                    <w14:schemeClr w14:val="tx1"/>
                  </w14:solidFill>
                </w14:textFill>
              </w:rPr>
              <w:t>单元</w:t>
            </w:r>
            <w:r>
              <w:rPr>
                <w:rFonts w:hint="default" w:ascii="Times New Roman" w:hAnsi="Times New Roman" w:cs="Times New Roman" w:eastAsiaTheme="minorEastAsia"/>
                <w:color w:val="000000" w:themeColor="text1"/>
                <w:spacing w:val="24"/>
                <w:sz w:val="21"/>
                <w:szCs w:val="21"/>
                <w:u w:val="none"/>
                <w:lang w:eastAsia="zh-CN"/>
                <w14:textFill>
                  <w14:solidFill>
                    <w14:schemeClr w14:val="tx1"/>
                  </w14:solidFill>
                </w14:textFill>
              </w:rPr>
              <w:t>式空</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32"/>
                <w:sz w:val="21"/>
                <w:szCs w:val="21"/>
                <w:u w:val="none"/>
                <w:lang w:eastAsia="zh-CN"/>
                <w14:textFill>
                  <w14:solidFill>
                    <w14:schemeClr w14:val="tx1"/>
                  </w14:solidFill>
                </w14:textFill>
              </w:rPr>
              <w:t>气调</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节机</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1"/>
                <w:sz w:val="21"/>
                <w:szCs w:val="21"/>
                <w:u w:val="none"/>
                <w:lang w:eastAsia="zh-CN"/>
                <w14:textFill>
                  <w14:solidFill>
                    <w14:schemeClr w14:val="tx1"/>
                  </w14:solidFill>
                </w14:textFill>
              </w:rPr>
              <w:t>风管</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2"/>
                <w:sz w:val="21"/>
                <w:szCs w:val="21"/>
                <w:u w:val="none"/>
                <w:lang w:eastAsia="zh-CN"/>
                <w14:textFill>
                  <w14:solidFill>
                    <w14:schemeClr w14:val="tx1"/>
                  </w14:solidFill>
                </w14:textFill>
              </w:rPr>
              <w:t>送风</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19"/>
                <w:sz w:val="21"/>
                <w:szCs w:val="21"/>
                <w:u w:val="none"/>
                <w:lang w:eastAsia="zh-CN"/>
                <w14:textFill>
                  <w14:solidFill>
                    <w14:schemeClr w14:val="tx1"/>
                  </w14:solidFill>
                </w14:textFill>
              </w:rPr>
              <w:t>式空</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5"/>
                <w:sz w:val="21"/>
                <w:szCs w:val="21"/>
                <w:u w:val="none"/>
                <w:lang w:eastAsia="zh-CN"/>
                <w14:textFill>
                  <w14:solidFill>
                    <w14:schemeClr w14:val="tx1"/>
                  </w14:solidFill>
                </w14:textFill>
              </w:rPr>
              <w:t>调（热</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3"/>
                <w:sz w:val="21"/>
                <w:szCs w:val="21"/>
                <w:u w:val="none"/>
                <w:lang w:eastAsia="zh-CN"/>
                <w14:textFill>
                  <w14:solidFill>
                    <w14:schemeClr w14:val="tx1"/>
                  </w14:solidFill>
                </w14:textFill>
              </w:rPr>
              <w:t>泵）机</w:t>
            </w:r>
            <w:r>
              <w:rPr>
                <w:rFonts w:hint="default" w:ascii="Times New Roman" w:hAnsi="Times New Roman" w:cs="Times New Roman" w:eastAsiaTheme="minorEastAsia"/>
                <w:color w:val="000000" w:themeColor="text1"/>
                <w:position w:val="-2"/>
                <w:sz w:val="21"/>
                <w:szCs w:val="21"/>
                <w:u w:val="none"/>
                <w:lang w:eastAsia="zh-CN"/>
                <w14:textFill>
                  <w14:solidFill>
                    <w14:schemeClr w14:val="tx1"/>
                  </w14:solidFill>
                </w14:textFill>
              </w:rPr>
              <w:t>组</w:t>
            </w:r>
          </w:p>
        </w:tc>
        <w:tc>
          <w:tcPr>
            <w:tcW w:w="1174" w:type="dxa"/>
            <w:vAlign w:val="center"/>
          </w:tcPr>
          <w:p w14:paraId="3AD9E0E2">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风冷单</w:t>
            </w: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冷型</w:t>
            </w:r>
          </w:p>
        </w:tc>
        <w:tc>
          <w:tcPr>
            <w:tcW w:w="1915" w:type="dxa"/>
            <w:vAlign w:val="center"/>
          </w:tcPr>
          <w:p w14:paraId="5B089C3A">
            <w:pPr>
              <w:keepNext w:val="0"/>
              <w:keepLines w:val="0"/>
              <w:pageBreakBefore w:val="0"/>
              <w:wordWrap/>
              <w:overflowPunct/>
              <w:topLinePunct w:val="0"/>
              <w:bidi w:val="0"/>
              <w:spacing w:line="400" w:lineRule="exact"/>
              <w:rPr>
                <w:rFonts w:hint="default" w:ascii="Times New Roman" w:hAnsi="Times New Roman" w:cs="Times New Roman" w:eastAsiaTheme="minorEastAsia"/>
                <w:b/>
                <w:color w:val="000000" w:themeColor="text1"/>
                <w:spacing w:val="-7"/>
                <w:sz w:val="21"/>
                <w:szCs w:val="21"/>
                <w:u w:val="none"/>
                <w:lang w:eastAsia="zh-CN"/>
                <w14:textFill>
                  <w14:solidFill>
                    <w14:schemeClr w14:val="tx1"/>
                  </w14:solidFill>
                </w14:textFill>
              </w:rPr>
            </w:pPr>
            <w:r>
              <w:rPr>
                <w:rFonts w:hint="default" w:ascii="Times New Roman" w:hAnsi="Times New Roman" w:cs="Times New Roman"/>
                <w:color w:val="000000" w:themeColor="text1"/>
                <w:spacing w:val="-2"/>
                <w:sz w:val="21"/>
                <w:szCs w:val="21"/>
                <w:u w:val="none"/>
                <w14:textFill>
                  <w14:solidFill>
                    <w14:schemeClr w14:val="tx1"/>
                  </w14:solidFill>
                </w14:textFill>
              </w:rPr>
              <w:t>制冷季节能效</w:t>
            </w:r>
            <w:r>
              <w:rPr>
                <w:rFonts w:hint="default" w:ascii="Times New Roman" w:hAnsi="Times New Roman" w:cs="Times New Roman"/>
                <w:color w:val="000000" w:themeColor="text1"/>
                <w:spacing w:val="12"/>
                <w:sz w:val="21"/>
                <w:szCs w:val="21"/>
                <w:u w:val="none"/>
                <w:lang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SEER</w:t>
            </w:r>
            <w:r>
              <w:rPr>
                <w:rFonts w:hint="default" w:ascii="Times New Roman" w:hAnsi="Times New Roman" w:cs="Times New Roman"/>
                <w:color w:val="000000" w:themeColor="text1"/>
                <w:spacing w:val="12"/>
                <w:sz w:val="21"/>
                <w:szCs w:val="21"/>
                <w:u w:val="none"/>
                <w:lang w:eastAsia="zh-CN"/>
                <w14:textFill>
                  <w14:solidFill>
                    <w14:schemeClr w14:val="tx1"/>
                  </w14:solidFill>
                </w14:textFill>
              </w:rPr>
              <w:t>）</w:t>
            </w:r>
          </w:p>
        </w:tc>
        <w:tc>
          <w:tcPr>
            <w:tcW w:w="1873" w:type="dxa"/>
            <w:vMerge w:val="continue"/>
            <w:vAlign w:val="center"/>
          </w:tcPr>
          <w:p w14:paraId="7DAB98AA">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34" w:type="dxa"/>
            <w:vMerge w:val="restart"/>
            <w:vAlign w:val="center"/>
          </w:tcPr>
          <w:p w14:paraId="2E93FC19">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提高8%</w:t>
            </w:r>
          </w:p>
        </w:tc>
        <w:tc>
          <w:tcPr>
            <w:tcW w:w="1071" w:type="dxa"/>
            <w:vMerge w:val="restart"/>
            <w:vAlign w:val="center"/>
          </w:tcPr>
          <w:p w14:paraId="35DCED42">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提高16%</w:t>
            </w:r>
          </w:p>
        </w:tc>
      </w:tr>
      <w:tr w14:paraId="39E6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4F07F680">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74" w:type="dxa"/>
            <w:vAlign w:val="center"/>
          </w:tcPr>
          <w:p w14:paraId="2170DFCC">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风冷热泵型</w:t>
            </w:r>
          </w:p>
        </w:tc>
        <w:tc>
          <w:tcPr>
            <w:tcW w:w="1915" w:type="dxa"/>
            <w:vAlign w:val="center"/>
          </w:tcPr>
          <w:p w14:paraId="6781AB70">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全年性能系数</w:t>
            </w:r>
          </w:p>
          <w:p w14:paraId="55372485">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6"/>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u w:val="none"/>
                <w14:textFill>
                  <w14:solidFill>
                    <w14:schemeClr w14:val="tx1"/>
                  </w14:solidFill>
                </w14:textFill>
              </w:rPr>
              <w:t>APF</w:t>
            </w:r>
            <w:r>
              <w:rPr>
                <w:rFonts w:hint="default" w:ascii="Times New Roman" w:hAnsi="Times New Roman" w:cs="Times New Roman" w:eastAsiaTheme="minorEastAsia"/>
                <w:color w:val="000000" w:themeColor="text1"/>
                <w:spacing w:val="-6"/>
                <w:sz w:val="21"/>
                <w:szCs w:val="21"/>
                <w:u w:val="none"/>
                <w:lang w:eastAsia="zh-CN"/>
                <w14:textFill>
                  <w14:solidFill>
                    <w14:schemeClr w14:val="tx1"/>
                  </w14:solidFill>
                </w14:textFill>
              </w:rPr>
              <w:t>）</w:t>
            </w:r>
          </w:p>
        </w:tc>
        <w:tc>
          <w:tcPr>
            <w:tcW w:w="1873" w:type="dxa"/>
            <w:vMerge w:val="continue"/>
            <w:vAlign w:val="center"/>
          </w:tcPr>
          <w:p w14:paraId="15FB7EA2">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34" w:type="dxa"/>
            <w:vMerge w:val="continue"/>
            <w:vAlign w:val="center"/>
          </w:tcPr>
          <w:p w14:paraId="5E9598A1">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p>
        </w:tc>
        <w:tc>
          <w:tcPr>
            <w:tcW w:w="1071" w:type="dxa"/>
            <w:vMerge w:val="continue"/>
            <w:vAlign w:val="center"/>
          </w:tcPr>
          <w:p w14:paraId="1FB59D9D">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p>
        </w:tc>
      </w:tr>
      <w:tr w14:paraId="4687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1A95C1BA">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74" w:type="dxa"/>
            <w:vAlign w:val="center"/>
          </w:tcPr>
          <w:p w14:paraId="6F6B88E0">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3"/>
                <w:sz w:val="21"/>
                <w:szCs w:val="21"/>
                <w:u w:val="none"/>
                <w14:textFill>
                  <w14:solidFill>
                    <w14:schemeClr w14:val="tx1"/>
                  </w14:solidFill>
                </w14:textFill>
              </w:rPr>
              <w:t>水冷</w:t>
            </w:r>
          </w:p>
        </w:tc>
        <w:tc>
          <w:tcPr>
            <w:tcW w:w="1915" w:type="dxa"/>
            <w:vAlign w:val="center"/>
          </w:tcPr>
          <w:p w14:paraId="5C62A272">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b/>
                <w:color w:val="000000" w:themeColor="text1"/>
                <w:spacing w:val="-7"/>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制冷综合部分</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负荷性能系数</w:t>
            </w:r>
            <w:r>
              <w:rPr>
                <w:rFonts w:hint="default" w:ascii="Times New Roman" w:hAnsi="Times New Roman" w:cs="Times New Roman" w:eastAsiaTheme="minorEastAsia"/>
                <w:color w:val="000000" w:themeColor="text1"/>
                <w:spacing w:val="-6"/>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u w:val="none"/>
                <w14:textFill>
                  <w14:solidFill>
                    <w14:schemeClr w14:val="tx1"/>
                  </w14:solidFill>
                </w14:textFill>
              </w:rPr>
              <w:t>IPLV</w:t>
            </w:r>
            <w:r>
              <w:rPr>
                <w:rFonts w:hint="default" w:ascii="Times New Roman" w:hAnsi="Times New Roman" w:cs="Times New Roman" w:eastAsiaTheme="minorEastAsia"/>
                <w:color w:val="000000" w:themeColor="text1"/>
                <w:spacing w:val="-6"/>
                <w:sz w:val="21"/>
                <w:szCs w:val="21"/>
                <w:u w:val="none"/>
                <w:lang w:eastAsia="zh-CN"/>
                <w14:textFill>
                  <w14:solidFill>
                    <w14:schemeClr w14:val="tx1"/>
                  </w14:solidFill>
                </w14:textFill>
              </w:rPr>
              <w:t>）</w:t>
            </w:r>
          </w:p>
        </w:tc>
        <w:tc>
          <w:tcPr>
            <w:tcW w:w="1873" w:type="dxa"/>
            <w:vMerge w:val="continue"/>
            <w:vAlign w:val="center"/>
          </w:tcPr>
          <w:p w14:paraId="2C9A0031">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34" w:type="dxa"/>
            <w:vMerge w:val="continue"/>
            <w:vAlign w:val="center"/>
          </w:tcPr>
          <w:p w14:paraId="00A78677">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p>
        </w:tc>
        <w:tc>
          <w:tcPr>
            <w:tcW w:w="1071" w:type="dxa"/>
            <w:vMerge w:val="continue"/>
            <w:vAlign w:val="center"/>
          </w:tcPr>
          <w:p w14:paraId="1C96FC8B">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p>
        </w:tc>
      </w:tr>
      <w:tr w14:paraId="046D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341784AC">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多联</w:t>
            </w: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式空</w:t>
            </w:r>
          </w:p>
          <w:p w14:paraId="5DB903AF">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调</w:t>
            </w:r>
            <w:r>
              <w:rPr>
                <w:rFonts w:hint="default" w:ascii="Times New Roman" w:hAnsi="Times New Roman" w:cs="Times New Roman" w:eastAsiaTheme="minorEastAsia"/>
                <w:color w:val="000000" w:themeColor="text1"/>
                <w:spacing w:val="-3"/>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热泵</w:t>
            </w:r>
            <w:r>
              <w:rPr>
                <w:rFonts w:hint="default" w:ascii="Times New Roman" w:hAnsi="Times New Roman" w:cs="Times New Roman" w:eastAsiaTheme="minorEastAsia"/>
                <w:color w:val="000000" w:themeColor="text1"/>
                <w:spacing w:val="-3"/>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机</w:t>
            </w:r>
            <w:r>
              <w:rPr>
                <w:rFonts w:hint="default" w:ascii="Times New Roman" w:hAnsi="Times New Roman" w:cs="Times New Roman" w:eastAsiaTheme="minorEastAsia"/>
                <w:color w:val="000000" w:themeColor="text1"/>
                <w:sz w:val="21"/>
                <w:szCs w:val="21"/>
                <w:u w:val="none"/>
                <w14:textFill>
                  <w14:solidFill>
                    <w14:schemeClr w14:val="tx1"/>
                  </w14:solidFill>
                </w14:textFill>
              </w:rPr>
              <w:t>组</w:t>
            </w:r>
          </w:p>
        </w:tc>
        <w:tc>
          <w:tcPr>
            <w:tcW w:w="1174" w:type="dxa"/>
            <w:vAlign w:val="center"/>
          </w:tcPr>
          <w:p w14:paraId="740E3019">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水冷</w:t>
            </w:r>
          </w:p>
        </w:tc>
        <w:tc>
          <w:tcPr>
            <w:tcW w:w="1915" w:type="dxa"/>
            <w:vAlign w:val="center"/>
          </w:tcPr>
          <w:p w14:paraId="7A2D9535">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制冷综合部分负荷性能系数</w:t>
            </w:r>
            <w:r>
              <w:rPr>
                <w:rFonts w:hint="default" w:ascii="Times New Roman" w:hAnsi="Times New Roman" w:cs="Times New Roman" w:eastAsiaTheme="minorEastAsia"/>
                <w:color w:val="000000" w:themeColor="text1"/>
                <w:spacing w:val="-9"/>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69"/>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70"/>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9"/>
                <w:sz w:val="21"/>
                <w:szCs w:val="21"/>
                <w:u w:val="none"/>
                <w:lang w:eastAsia="zh-CN"/>
                <w14:textFill>
                  <w14:solidFill>
                    <w14:schemeClr w14:val="tx1"/>
                  </w14:solidFill>
                </w14:textFill>
              </w:rPr>
              <w:t>IPLV）</w:t>
            </w:r>
          </w:p>
        </w:tc>
        <w:tc>
          <w:tcPr>
            <w:tcW w:w="1873" w:type="dxa"/>
            <w:vMerge w:val="continue"/>
            <w:vAlign w:val="center"/>
          </w:tcPr>
          <w:p w14:paraId="1E2CC328">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34" w:type="dxa"/>
            <w:vMerge w:val="restart"/>
            <w:vAlign w:val="center"/>
          </w:tcPr>
          <w:p w14:paraId="7149BA04">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7"/>
                <w:sz w:val="21"/>
                <w:szCs w:val="21"/>
                <w:u w:val="none"/>
                <w14:textFill>
                  <w14:solidFill>
                    <w14:schemeClr w14:val="tx1"/>
                  </w14:solidFill>
                </w14:textFill>
              </w:rPr>
              <w:t>提高8%</w:t>
            </w:r>
          </w:p>
        </w:tc>
        <w:tc>
          <w:tcPr>
            <w:tcW w:w="1071" w:type="dxa"/>
            <w:vMerge w:val="restart"/>
            <w:vAlign w:val="center"/>
          </w:tcPr>
          <w:p w14:paraId="0C99DBEF">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7"/>
                <w:sz w:val="21"/>
                <w:szCs w:val="21"/>
                <w:u w:val="none"/>
                <w14:textFill>
                  <w14:solidFill>
                    <w14:schemeClr w14:val="tx1"/>
                  </w14:solidFill>
                </w14:textFill>
              </w:rPr>
              <w:t>提高16%</w:t>
            </w:r>
          </w:p>
        </w:tc>
      </w:tr>
      <w:tr w14:paraId="7A02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152D9988">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74" w:type="dxa"/>
            <w:vAlign w:val="center"/>
          </w:tcPr>
          <w:p w14:paraId="1EB7F1A2">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风冷</w:t>
            </w:r>
          </w:p>
        </w:tc>
        <w:tc>
          <w:tcPr>
            <w:tcW w:w="1915" w:type="dxa"/>
            <w:vAlign w:val="center"/>
          </w:tcPr>
          <w:p w14:paraId="18E95252">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全年性能系数</w:t>
            </w:r>
          </w:p>
          <w:p w14:paraId="34C8815C">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6"/>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u w:val="none"/>
                <w14:textFill>
                  <w14:solidFill>
                    <w14:schemeClr w14:val="tx1"/>
                  </w14:solidFill>
                </w14:textFill>
              </w:rPr>
              <w:t>APF</w:t>
            </w:r>
            <w:r>
              <w:rPr>
                <w:rFonts w:hint="default" w:ascii="Times New Roman" w:hAnsi="Times New Roman" w:cs="Times New Roman" w:eastAsiaTheme="minorEastAsia"/>
                <w:color w:val="000000" w:themeColor="text1"/>
                <w:spacing w:val="-6"/>
                <w:sz w:val="21"/>
                <w:szCs w:val="21"/>
                <w:u w:val="none"/>
                <w:lang w:eastAsia="zh-CN"/>
                <w14:textFill>
                  <w14:solidFill>
                    <w14:schemeClr w14:val="tx1"/>
                  </w14:solidFill>
                </w14:textFill>
              </w:rPr>
              <w:t>）</w:t>
            </w:r>
          </w:p>
        </w:tc>
        <w:tc>
          <w:tcPr>
            <w:tcW w:w="1873" w:type="dxa"/>
            <w:vMerge w:val="continue"/>
            <w:vAlign w:val="center"/>
          </w:tcPr>
          <w:p w14:paraId="1744DB5F">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134" w:type="dxa"/>
            <w:vMerge w:val="continue"/>
            <w:vAlign w:val="center"/>
          </w:tcPr>
          <w:p w14:paraId="24F94988">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071" w:type="dxa"/>
            <w:vMerge w:val="continue"/>
            <w:vAlign w:val="center"/>
          </w:tcPr>
          <w:p w14:paraId="2A400D73">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r>
      <w:tr w14:paraId="01BC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gridSpan w:val="2"/>
            <w:vAlign w:val="center"/>
          </w:tcPr>
          <w:p w14:paraId="57C78F66">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7"/>
                <w:sz w:val="21"/>
                <w:szCs w:val="21"/>
                <w:u w:val="none"/>
                <w14:textFill>
                  <w14:solidFill>
                    <w14:schemeClr w14:val="tx1"/>
                  </w14:solidFill>
                </w14:textFill>
              </w:rPr>
              <w:t>锅炉</w:t>
            </w:r>
          </w:p>
        </w:tc>
        <w:tc>
          <w:tcPr>
            <w:tcW w:w="1915" w:type="dxa"/>
            <w:vAlign w:val="center"/>
          </w:tcPr>
          <w:p w14:paraId="5C5B7083">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7"/>
                <w:sz w:val="21"/>
                <w:szCs w:val="21"/>
                <w:u w:val="none"/>
                <w14:textFill>
                  <w14:solidFill>
                    <w14:schemeClr w14:val="tx1"/>
                  </w14:solidFill>
                </w14:textFill>
              </w:rPr>
              <w:t>热效率</w:t>
            </w:r>
          </w:p>
        </w:tc>
        <w:tc>
          <w:tcPr>
            <w:tcW w:w="1873" w:type="dxa"/>
            <w:vMerge w:val="continue"/>
            <w:vAlign w:val="center"/>
          </w:tcPr>
          <w:p w14:paraId="61E13EE7">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p>
        </w:tc>
        <w:tc>
          <w:tcPr>
            <w:tcW w:w="1134" w:type="dxa"/>
            <w:vAlign w:val="center"/>
          </w:tcPr>
          <w:p w14:paraId="57914021">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7"/>
                <w:sz w:val="21"/>
                <w:szCs w:val="21"/>
                <w:u w:val="none"/>
                <w14:textFill>
                  <w14:solidFill>
                    <w14:schemeClr w14:val="tx1"/>
                  </w14:solidFill>
                </w14:textFill>
              </w:rPr>
              <w:t>提高1个百分点</w:t>
            </w:r>
          </w:p>
        </w:tc>
        <w:tc>
          <w:tcPr>
            <w:tcW w:w="1071" w:type="dxa"/>
            <w:vAlign w:val="center"/>
          </w:tcPr>
          <w:p w14:paraId="051E93E9">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7"/>
                <w:sz w:val="21"/>
                <w:szCs w:val="21"/>
                <w:u w:val="none"/>
                <w14:textFill>
                  <w14:solidFill>
                    <w14:schemeClr w14:val="tx1"/>
                  </w14:solidFill>
                </w14:textFill>
              </w:rPr>
              <w:t>提高2个百分点</w:t>
            </w:r>
          </w:p>
        </w:tc>
      </w:tr>
      <w:tr w14:paraId="4330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gridSpan w:val="2"/>
            <w:vAlign w:val="center"/>
          </w:tcPr>
          <w:p w14:paraId="73CBDAA3">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1"/>
                <w:sz w:val="21"/>
                <w:szCs w:val="21"/>
                <w:u w:val="none"/>
                <w14:textFill>
                  <w14:solidFill>
                    <w14:schemeClr w14:val="tx1"/>
                  </w14:solidFill>
                </w14:textFill>
              </w:rPr>
              <w:t>房间空气调节器</w:t>
            </w:r>
          </w:p>
        </w:tc>
        <w:tc>
          <w:tcPr>
            <w:tcW w:w="1915" w:type="dxa"/>
            <w:vAlign w:val="center"/>
          </w:tcPr>
          <w:p w14:paraId="151A625A">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制冷季节能源消</w:t>
            </w:r>
            <w:r>
              <w:rPr>
                <w:rFonts w:hint="default" w:ascii="Times New Roman" w:hAnsi="Times New Roman" w:cs="Times New Roman" w:eastAsiaTheme="minorEastAsia"/>
                <w:color w:val="000000" w:themeColor="text1"/>
                <w:spacing w:val="7"/>
                <w:sz w:val="21"/>
                <w:szCs w:val="21"/>
                <w:u w:val="none"/>
                <w14:textFill>
                  <w14:solidFill>
                    <w14:schemeClr w14:val="tx1"/>
                  </w14:solidFill>
                </w14:textFill>
              </w:rPr>
              <w:t>耗效率</w:t>
            </w:r>
            <w:r>
              <w:rPr>
                <w:rFonts w:hint="default" w:ascii="Times New Roman" w:hAnsi="Times New Roman" w:cs="Times New Roman" w:eastAsiaTheme="minorEastAsia"/>
                <w:color w:val="000000" w:themeColor="text1"/>
                <w:spacing w:val="7"/>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14:textFill>
                  <w14:solidFill>
                    <w14:schemeClr w14:val="tx1"/>
                  </w14:solidFill>
                </w14:textFill>
              </w:rPr>
              <w:t>SEER</w:t>
            </w:r>
            <w:r>
              <w:rPr>
                <w:rFonts w:hint="default" w:ascii="Times New Roman" w:hAnsi="Times New Roman" w:cs="Times New Roman" w:eastAsiaTheme="minorEastAsia"/>
                <w:color w:val="000000" w:themeColor="text1"/>
                <w:spacing w:val="7"/>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或全年能源消</w:t>
            </w:r>
            <w:r>
              <w:rPr>
                <w:rFonts w:hint="default" w:ascii="Times New Roman" w:hAnsi="Times New Roman" w:cs="Times New Roman" w:eastAsiaTheme="minorEastAsia"/>
                <w:color w:val="000000" w:themeColor="text1"/>
                <w:spacing w:val="8"/>
                <w:sz w:val="21"/>
                <w:szCs w:val="21"/>
                <w:u w:val="none"/>
                <w14:textFill>
                  <w14:solidFill>
                    <w14:schemeClr w14:val="tx1"/>
                  </w14:solidFill>
                </w14:textFill>
              </w:rPr>
              <w:t>耗效率</w:t>
            </w: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14:textFill>
                  <w14:solidFill>
                    <w14:schemeClr w14:val="tx1"/>
                  </w14:solidFill>
                </w14:textFill>
              </w:rPr>
              <w:t>APF</w:t>
            </w: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w:t>
            </w:r>
          </w:p>
        </w:tc>
        <w:tc>
          <w:tcPr>
            <w:tcW w:w="1873" w:type="dxa"/>
            <w:vAlign w:val="center"/>
          </w:tcPr>
          <w:p w14:paraId="7E27128A">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lang w:eastAsia="zh-CN"/>
                <w14:textFill>
                  <w14:solidFill>
                    <w14:schemeClr w14:val="tx1"/>
                  </w14:solidFill>
                </w14:textFill>
              </w:rPr>
              <w:t>现行国家标准</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4"/>
                <w:sz w:val="21"/>
                <w:szCs w:val="21"/>
                <w:u w:val="none"/>
                <w:lang w:eastAsia="zh-CN"/>
                <w14:textFill>
                  <w14:solidFill>
                    <w14:schemeClr w14:val="tx1"/>
                  </w14:solidFill>
                </w14:textFill>
              </w:rPr>
              <w:t>《房间空气调节</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器能效限定值及能效等级》</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GB</w:t>
            </w:r>
            <w:r>
              <w:rPr>
                <w:rFonts w:hint="default" w:ascii="Times New Roman" w:hAnsi="Times New Roman" w:cs="Times New Roman" w:eastAsiaTheme="minorEastAsia"/>
                <w:color w:val="000000" w:themeColor="text1"/>
                <w:spacing w:val="10"/>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21455</w:t>
            </w:r>
          </w:p>
        </w:tc>
        <w:tc>
          <w:tcPr>
            <w:tcW w:w="1134" w:type="dxa"/>
            <w:vMerge w:val="restart"/>
            <w:vAlign w:val="center"/>
          </w:tcPr>
          <w:p w14:paraId="65480090">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3"/>
                <w:sz w:val="21"/>
                <w:szCs w:val="21"/>
                <w:u w:val="none"/>
                <w14:textFill>
                  <w14:solidFill>
                    <w14:schemeClr w14:val="tx1"/>
                  </w14:solidFill>
                </w14:textFill>
              </w:rPr>
              <w:t>2级能效</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2"/>
                <w:sz w:val="21"/>
                <w:szCs w:val="21"/>
                <w:u w:val="none"/>
                <w14:textFill>
                  <w14:solidFill>
                    <w14:schemeClr w14:val="tx1"/>
                  </w14:solidFill>
                </w14:textFill>
              </w:rPr>
              <w:t>等级限值</w:t>
            </w:r>
          </w:p>
        </w:tc>
        <w:tc>
          <w:tcPr>
            <w:tcW w:w="1071" w:type="dxa"/>
            <w:vMerge w:val="restart"/>
            <w:vAlign w:val="center"/>
          </w:tcPr>
          <w:p w14:paraId="13B09290">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3"/>
                <w:sz w:val="21"/>
                <w:szCs w:val="21"/>
                <w:u w:val="none"/>
                <w14:textFill>
                  <w14:solidFill>
                    <w14:schemeClr w14:val="tx1"/>
                  </w14:solidFill>
                </w14:textFill>
              </w:rPr>
              <w:t>1级能效</w:t>
            </w:r>
            <w:r>
              <w:rPr>
                <w:rFonts w:hint="default" w:ascii="Times New Roman" w:hAnsi="Times New Roman" w:cs="Times New Roman"/>
                <w:color w:val="000000" w:themeColor="text1"/>
                <w:sz w:val="21"/>
                <w:szCs w:val="21"/>
                <w:u w:val="none"/>
                <w14:textFill>
                  <w14:solidFill>
                    <w14:schemeClr w14:val="tx1"/>
                  </w14:solidFill>
                </w14:textFill>
              </w:rPr>
              <w:t xml:space="preserve"> </w:t>
            </w:r>
            <w:r>
              <w:rPr>
                <w:rFonts w:hint="default" w:ascii="Times New Roman" w:hAnsi="Times New Roman" w:cs="Times New Roman"/>
                <w:color w:val="000000" w:themeColor="text1"/>
                <w:spacing w:val="-2"/>
                <w:sz w:val="21"/>
                <w:szCs w:val="21"/>
                <w:u w:val="none"/>
                <w14:textFill>
                  <w14:solidFill>
                    <w14:schemeClr w14:val="tx1"/>
                  </w14:solidFill>
                </w14:textFill>
              </w:rPr>
              <w:t>等级限值</w:t>
            </w:r>
          </w:p>
        </w:tc>
      </w:tr>
      <w:tr w14:paraId="3960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gridSpan w:val="2"/>
            <w:vAlign w:val="center"/>
          </w:tcPr>
          <w:p w14:paraId="644D533E">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2"/>
                <w:sz w:val="21"/>
                <w:szCs w:val="21"/>
                <w:u w:val="none"/>
                <w14:textFill>
                  <w14:solidFill>
                    <w14:schemeClr w14:val="tx1"/>
                  </w14:solidFill>
                </w14:textFill>
              </w:rPr>
              <w:t>燃气供暖热水炉</w:t>
            </w:r>
          </w:p>
        </w:tc>
        <w:tc>
          <w:tcPr>
            <w:tcW w:w="1915" w:type="dxa"/>
            <w:vAlign w:val="center"/>
          </w:tcPr>
          <w:p w14:paraId="2F68F8C1">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3"/>
                <w:sz w:val="21"/>
                <w:szCs w:val="21"/>
                <w:u w:val="none"/>
                <w14:textFill>
                  <w14:solidFill>
                    <w14:schemeClr w14:val="tx1"/>
                  </w14:solidFill>
                </w14:textFill>
              </w:rPr>
              <w:t>热效率</w:t>
            </w:r>
          </w:p>
        </w:tc>
        <w:tc>
          <w:tcPr>
            <w:tcW w:w="1873" w:type="dxa"/>
            <w:vAlign w:val="center"/>
          </w:tcPr>
          <w:p w14:paraId="1F3BABB9">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lang w:eastAsia="zh-CN"/>
                <w14:textFill>
                  <w14:solidFill>
                    <w14:schemeClr w14:val="tx1"/>
                  </w14:solidFill>
                </w14:textFill>
              </w:rPr>
              <w:t>现行国家标准</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4"/>
                <w:sz w:val="21"/>
                <w:szCs w:val="21"/>
                <w:u w:val="none"/>
                <w:lang w:eastAsia="zh-CN"/>
                <w14:textFill>
                  <w14:solidFill>
                    <w14:schemeClr w14:val="tx1"/>
                  </w14:solidFill>
                </w14:textFill>
              </w:rPr>
              <w:t>《家用燃气快速</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热水器和燃气</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采暖热水炉能</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效限定值及能</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效等级》</w:t>
            </w:r>
            <w:r>
              <w:rPr>
                <w:rFonts w:hint="default" w:ascii="Times New Roman" w:hAnsi="Times New Roman" w:cs="Times New Roman" w:eastAsiaTheme="minorEastAsia"/>
                <w:color w:val="000000" w:themeColor="text1"/>
                <w:spacing w:val="-2"/>
                <w:position w:val="-2"/>
                <w:sz w:val="21"/>
                <w:szCs w:val="21"/>
                <w:u w:val="none"/>
                <w:lang w:eastAsia="zh-CN"/>
                <w14:textFill>
                  <w14:solidFill>
                    <w14:schemeClr w14:val="tx1"/>
                  </w14:solidFill>
                </w14:textFill>
              </w:rPr>
              <w:t>GB20665</w:t>
            </w:r>
          </w:p>
        </w:tc>
        <w:tc>
          <w:tcPr>
            <w:tcW w:w="1134" w:type="dxa"/>
            <w:vMerge w:val="continue"/>
            <w:vAlign w:val="center"/>
          </w:tcPr>
          <w:p w14:paraId="5F7065A0">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071" w:type="dxa"/>
            <w:vMerge w:val="continue"/>
            <w:vAlign w:val="center"/>
          </w:tcPr>
          <w:p w14:paraId="128AB8A2">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r>
      <w:tr w14:paraId="15D9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gridSpan w:val="2"/>
            <w:vAlign w:val="center"/>
          </w:tcPr>
          <w:p w14:paraId="72BFDA51">
            <w:pPr>
              <w:keepNext w:val="0"/>
              <w:keepLines w:val="0"/>
              <w:pageBreakBefore w:val="0"/>
              <w:wordWrap/>
              <w:overflowPunct/>
              <w:topLinePunct w:val="0"/>
              <w:bidi w:val="0"/>
              <w:spacing w:line="400" w:lineRule="exact"/>
              <w:rPr>
                <w:rFonts w:hint="default" w:ascii="Times New Roman" w:hAnsi="Times New Roman" w:cs="Times New Roman"/>
                <w:color w:val="000000" w:themeColor="text1"/>
                <w:sz w:val="21"/>
                <w:szCs w:val="21"/>
                <w:u w:val="none"/>
                <w14:textFill>
                  <w14:solidFill>
                    <w14:schemeClr w14:val="tx1"/>
                  </w14:solidFill>
                </w14:textFill>
              </w:rPr>
            </w:pPr>
          </w:p>
          <w:p w14:paraId="08AF87FC">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蒸汽型溴化锂</w:t>
            </w: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吸收式冷水机组</w:t>
            </w:r>
          </w:p>
        </w:tc>
        <w:tc>
          <w:tcPr>
            <w:tcW w:w="1915" w:type="dxa"/>
            <w:vAlign w:val="center"/>
          </w:tcPr>
          <w:p w14:paraId="7AFAA0AF">
            <w:pPr>
              <w:keepNext w:val="0"/>
              <w:keepLines w:val="0"/>
              <w:pageBreakBefore w:val="0"/>
              <w:wordWrap/>
              <w:overflowPunct/>
              <w:topLinePunct w:val="0"/>
              <w:bidi w:val="0"/>
              <w:spacing w:line="400" w:lineRule="exact"/>
              <w:rPr>
                <w:rFonts w:hint="default" w:ascii="Times New Roman" w:hAnsi="Times New Roman" w:cs="Times New Roman"/>
                <w:color w:val="000000" w:themeColor="text1"/>
                <w:sz w:val="21"/>
                <w:szCs w:val="21"/>
                <w:u w:val="none"/>
                <w14:textFill>
                  <w14:solidFill>
                    <w14:schemeClr w14:val="tx1"/>
                  </w14:solidFill>
                </w14:textFill>
              </w:rPr>
            </w:pPr>
          </w:p>
          <w:p w14:paraId="01FE4E3E">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制冷、供热性能</w:t>
            </w:r>
            <w:r>
              <w:rPr>
                <w:rFonts w:hint="default" w:ascii="Times New Roman" w:hAnsi="Times New Roman" w:cs="Times New Roman" w:eastAsiaTheme="minorEastAsia"/>
                <w:color w:val="000000" w:themeColor="text1"/>
                <w:spacing w:val="5"/>
                <w:sz w:val="21"/>
                <w:szCs w:val="21"/>
                <w:u w:val="none"/>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系数（</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COP</w:t>
            </w: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w:t>
            </w:r>
          </w:p>
        </w:tc>
        <w:tc>
          <w:tcPr>
            <w:tcW w:w="1873" w:type="dxa"/>
            <w:vAlign w:val="center"/>
          </w:tcPr>
          <w:p w14:paraId="6CFA7E53">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lang w:eastAsia="zh-CN"/>
                <w14:textFill>
                  <w14:solidFill>
                    <w14:schemeClr w14:val="tx1"/>
                  </w14:solidFill>
                </w14:textFill>
              </w:rPr>
              <w:t>冷水机组能效</w:t>
            </w:r>
          </w:p>
          <w:p w14:paraId="1313E035">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lang w:eastAsia="zh-CN"/>
                <w14:textFill>
                  <w14:solidFill>
                    <w14:schemeClr w14:val="tx1"/>
                  </w14:solidFill>
                </w14:textFill>
              </w:rPr>
              <w:t>限定值及能效</w:t>
            </w:r>
          </w:p>
          <w:p w14:paraId="374AEF56">
            <w:pPr>
              <w:pStyle w:val="24"/>
              <w:keepNext w:val="0"/>
              <w:keepLines w:val="0"/>
              <w:pageBreakBefore w:val="0"/>
              <w:wordWrap/>
              <w:overflowPunct/>
              <w:topLinePunct w:val="0"/>
              <w:bidi w:val="0"/>
              <w:spacing w:line="400" w:lineRule="exact"/>
              <w:jc w:val="both"/>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4"/>
                <w:sz w:val="21"/>
                <w:szCs w:val="21"/>
                <w:u w:val="none"/>
                <w14:textFill>
                  <w14:solidFill>
                    <w14:schemeClr w14:val="tx1"/>
                  </w14:solidFill>
                </w14:textFill>
              </w:rPr>
              <w:t>等级》</w:t>
            </w: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GB</w:t>
            </w:r>
            <w:r>
              <w:rPr>
                <w:rFonts w:hint="default" w:ascii="Times New Roman" w:hAnsi="Times New Roman" w:cs="Times New Roman" w:eastAsiaTheme="minorEastAsia"/>
                <w:color w:val="000000" w:themeColor="text1"/>
                <w:spacing w:val="10"/>
                <w:sz w:val="21"/>
                <w:szCs w:val="21"/>
                <w:u w:val="none"/>
                <w14:textFill>
                  <w14:solidFill>
                    <w14:schemeClr w14:val="tx1"/>
                  </w14:solidFill>
                </w14:textFill>
              </w:rPr>
              <w:t xml:space="preserve"> </w:t>
            </w: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29540</w:t>
            </w:r>
          </w:p>
        </w:tc>
        <w:tc>
          <w:tcPr>
            <w:tcW w:w="1134" w:type="dxa"/>
            <w:vMerge w:val="continue"/>
            <w:vAlign w:val="center"/>
          </w:tcPr>
          <w:p w14:paraId="29F9C54B">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c>
          <w:tcPr>
            <w:tcW w:w="1071" w:type="dxa"/>
            <w:vMerge w:val="continue"/>
            <w:vAlign w:val="center"/>
          </w:tcPr>
          <w:p w14:paraId="3A5F1FFD">
            <w:pPr>
              <w:keepNext w:val="0"/>
              <w:keepLines w:val="0"/>
              <w:pageBreakBefore w:val="0"/>
              <w:wordWrap/>
              <w:overflowPunct/>
              <w:topLinePunct w:val="0"/>
              <w:bidi w:val="0"/>
              <w:spacing w:line="400" w:lineRule="exact"/>
              <w:rPr>
                <w:rFonts w:hint="default" w:ascii="Times New Roman" w:hAnsi="Times New Roman" w:cs="Times New Roman"/>
                <w:b/>
                <w:color w:val="000000" w:themeColor="text1"/>
                <w:spacing w:val="-7"/>
                <w:sz w:val="21"/>
                <w:szCs w:val="21"/>
                <w:u w:val="none"/>
                <w14:textFill>
                  <w14:solidFill>
                    <w14:schemeClr w14:val="tx1"/>
                  </w14:solidFill>
                </w14:textFill>
              </w:rPr>
            </w:pPr>
          </w:p>
        </w:tc>
      </w:tr>
      <w:tr w14:paraId="031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gridSpan w:val="4"/>
            <w:vAlign w:val="center"/>
          </w:tcPr>
          <w:p w14:paraId="421E70C0">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7"/>
                <w:sz w:val="21"/>
                <w:szCs w:val="21"/>
                <w:u w:val="none"/>
                <w14:textFill>
                  <w14:solidFill>
                    <w14:schemeClr w14:val="tx1"/>
                  </w14:solidFill>
                </w14:textFill>
              </w:rPr>
              <w:t>得分</w:t>
            </w:r>
          </w:p>
        </w:tc>
        <w:tc>
          <w:tcPr>
            <w:tcW w:w="1134" w:type="dxa"/>
            <w:vAlign w:val="center"/>
          </w:tcPr>
          <w:p w14:paraId="1DC93ABC">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7"/>
                <w:sz w:val="21"/>
                <w:szCs w:val="21"/>
                <w:u w:val="none"/>
                <w14:textFill>
                  <w14:solidFill>
                    <w14:schemeClr w14:val="tx1"/>
                  </w14:solidFill>
                </w14:textFill>
              </w:rPr>
              <w:t>5分</w:t>
            </w:r>
          </w:p>
        </w:tc>
        <w:tc>
          <w:tcPr>
            <w:tcW w:w="1071" w:type="dxa"/>
            <w:vAlign w:val="center"/>
          </w:tcPr>
          <w:p w14:paraId="690D8A22">
            <w:pPr>
              <w:keepNext w:val="0"/>
              <w:keepLines w:val="0"/>
              <w:pageBreakBefore w:val="0"/>
              <w:wordWrap/>
              <w:overflowPunct/>
              <w:topLinePunct w:val="0"/>
              <w:bidi w:val="0"/>
              <w:spacing w:line="400" w:lineRule="exact"/>
              <w:rPr>
                <w:rFonts w:hint="default" w:ascii="Times New Roman" w:hAnsi="Times New Roman" w:cs="Times New Roman"/>
                <w:color w:val="000000" w:themeColor="text1"/>
                <w:spacing w:val="-7"/>
                <w:sz w:val="21"/>
                <w:szCs w:val="21"/>
                <w:u w:val="none"/>
                <w14:textFill>
                  <w14:solidFill>
                    <w14:schemeClr w14:val="tx1"/>
                  </w14:solidFill>
                </w14:textFill>
              </w:rPr>
            </w:pPr>
            <w:r>
              <w:rPr>
                <w:rFonts w:hint="default" w:ascii="Times New Roman" w:hAnsi="Times New Roman" w:cs="Times New Roman"/>
                <w:color w:val="000000" w:themeColor="text1"/>
                <w:spacing w:val="-7"/>
                <w:sz w:val="21"/>
                <w:szCs w:val="21"/>
                <w:u w:val="none"/>
                <w14:textFill>
                  <w14:solidFill>
                    <w14:schemeClr w14:val="tx1"/>
                  </w14:solidFill>
                </w14:textFill>
              </w:rPr>
              <w:t>10分</w:t>
            </w:r>
          </w:p>
        </w:tc>
      </w:tr>
    </w:tbl>
    <w:p w14:paraId="6DC8FA52">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p>
    <w:p w14:paraId="77CA2582">
      <w:pPr>
        <w:spacing w:before="71" w:line="360" w:lineRule="auto"/>
        <w:ind w:left="110" w:right="100"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7.2.6</w:t>
      </w:r>
      <w:r>
        <w:rPr>
          <w:rFonts w:hint="default" w:ascii="Times New Roman" w:hAnsi="Times New Roman" w:cs="Times New Roman"/>
          <w:color w:val="000000" w:themeColor="text1"/>
          <w:spacing w:val="9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采取有效措施降低供暖空调系统的末端系统及输配系统</w:t>
      </w:r>
      <w:r>
        <w:rPr>
          <w:rFonts w:hint="default" w:ascii="Times New Roman" w:hAnsi="Times New Roman" w:cs="Times New Roman"/>
          <w:color w:val="000000" w:themeColor="text1"/>
          <w:spacing w:val="-8"/>
          <w:sz w:val="24"/>
          <w:szCs w:val="24"/>
          <w:u w:val="none"/>
          <w14:textFill>
            <w14:solidFill>
              <w14:schemeClr w14:val="tx1"/>
            </w14:solidFill>
          </w14:textFill>
        </w:rPr>
        <w:t>的能耗，评价总分值为5分，并按以下规则分别评分并累计：</w:t>
      </w:r>
    </w:p>
    <w:p w14:paraId="07704072">
      <w:pPr>
        <w:spacing w:before="41" w:line="360" w:lineRule="auto"/>
        <w:ind w:right="99" w:firstLine="52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通风空调系统风机的单位风量耗功率比现行国家标准</w:t>
      </w:r>
      <w:r>
        <w:rPr>
          <w:rFonts w:hint="default" w:ascii="Times New Roman" w:hAnsi="Times New Roman" w:cs="Times New Roman"/>
          <w:color w:val="000000" w:themeColor="text1"/>
          <w:spacing w:val="1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《公共建筑节能设计标准》</w:t>
      </w:r>
      <w:r>
        <w:rPr>
          <w:rFonts w:hint="default" w:ascii="Times New Roman" w:hAnsi="Times New Roman" w:cs="Times New Roman"/>
          <w:color w:val="000000" w:themeColor="text1"/>
          <w:sz w:val="24"/>
          <w:szCs w:val="24"/>
          <w:u w:val="none"/>
          <w14:textFill>
            <w14:solidFill>
              <w14:schemeClr w14:val="tx1"/>
            </w14:solidFill>
          </w14:textFill>
        </w:rPr>
        <w:t>GB</w:t>
      </w:r>
      <w:r>
        <w:rPr>
          <w:rFonts w:hint="default" w:ascii="Times New Roman" w:hAnsi="Times New Roman" w:cs="Times New Roman"/>
          <w:color w:val="000000" w:themeColor="text1"/>
          <w:spacing w:val="7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50189的规定低20%</w:t>
      </w:r>
      <w:r>
        <w:rPr>
          <w:rFonts w:hint="default" w:ascii="Times New Roman" w:hAnsi="Times New Roman" w:cs="Times New Roman"/>
          <w:color w:val="000000" w:themeColor="text1"/>
          <w:spacing w:val="3"/>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3"/>
          <w:sz w:val="24"/>
          <w:szCs w:val="24"/>
          <w:u w:val="none"/>
          <w14:textFill>
            <w14:solidFill>
              <w14:schemeClr w14:val="tx1"/>
            </w14:solidFill>
          </w14:textFill>
        </w:rPr>
        <w:t>得2分；</w:t>
      </w:r>
    </w:p>
    <w:p w14:paraId="7248568A">
      <w:pPr>
        <w:spacing w:before="54" w:line="360" w:lineRule="auto"/>
        <w:ind w:left="110" w:right="89" w:firstLine="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11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集中供暖系统热水循环泵的耗电输热比、空调冷热水系</w:t>
      </w:r>
      <w:r>
        <w:rPr>
          <w:rFonts w:hint="default" w:ascii="Times New Roman" w:hAnsi="Times New Roman" w:cs="Times New Roman"/>
          <w:color w:val="000000" w:themeColor="text1"/>
          <w:spacing w:val="-3"/>
          <w:sz w:val="24"/>
          <w:szCs w:val="24"/>
          <w:u w:val="none"/>
          <w14:textFill>
            <w14:solidFill>
              <w14:schemeClr w14:val="tx1"/>
            </w14:solidFill>
          </w14:textFill>
        </w:rPr>
        <w:t>统循环水泵的耗电输冷（热）比比现行国家标</w:t>
      </w:r>
      <w:r>
        <w:rPr>
          <w:rFonts w:hint="default" w:ascii="Times New Roman" w:hAnsi="Times New Roman" w:cs="Times New Roman"/>
          <w:color w:val="000000" w:themeColor="text1"/>
          <w:spacing w:val="-4"/>
          <w:sz w:val="24"/>
          <w:szCs w:val="24"/>
          <w:u w:val="none"/>
          <w14:textFill>
            <w14:solidFill>
              <w14:schemeClr w14:val="tx1"/>
            </w14:solidFill>
          </w14:textFill>
        </w:rPr>
        <w:t>准《民用建筑供暖</w:t>
      </w:r>
      <w:r>
        <w:rPr>
          <w:rFonts w:hint="default" w:ascii="Times New Roman" w:hAnsi="Times New Roman" w:cs="Times New Roman"/>
          <w:color w:val="000000" w:themeColor="text1"/>
          <w:spacing w:val="3"/>
          <w:sz w:val="24"/>
          <w:szCs w:val="24"/>
          <w:u w:val="none"/>
          <w14:textFill>
            <w14:solidFill>
              <w14:schemeClr w14:val="tx1"/>
            </w14:solidFill>
          </w14:textFill>
        </w:rPr>
        <w:t>通风与空气调节设计规范》</w:t>
      </w:r>
      <w:r>
        <w:rPr>
          <w:rFonts w:hint="default" w:ascii="Times New Roman" w:hAnsi="Times New Roman" w:cs="Times New Roman"/>
          <w:color w:val="000000" w:themeColor="text1"/>
          <w:sz w:val="24"/>
          <w:szCs w:val="24"/>
          <w:u w:val="none"/>
          <w14:textFill>
            <w14:solidFill>
              <w14:schemeClr w14:val="tx1"/>
            </w14:solidFill>
          </w14:textFill>
        </w:rPr>
        <w:t>GB</w:t>
      </w:r>
      <w:r>
        <w:rPr>
          <w:rFonts w:hint="default" w:ascii="Times New Roman" w:hAnsi="Times New Roman" w:cs="Times New Roman"/>
          <w:color w:val="000000" w:themeColor="text1"/>
          <w:spacing w:val="3"/>
          <w:sz w:val="24"/>
          <w:szCs w:val="24"/>
          <w:u w:val="none"/>
          <w14:textFill>
            <w14:solidFill>
              <w14:schemeClr w14:val="tx1"/>
            </w14:solidFill>
          </w14:textFill>
        </w:rPr>
        <w:t xml:space="preserve"> 50736 规定</w:t>
      </w:r>
      <w:r>
        <w:rPr>
          <w:rFonts w:hint="default" w:ascii="Times New Roman" w:hAnsi="Times New Roman" w:cs="Times New Roman"/>
          <w:color w:val="000000" w:themeColor="text1"/>
          <w:spacing w:val="2"/>
          <w:sz w:val="24"/>
          <w:szCs w:val="24"/>
          <w:u w:val="none"/>
          <w14:textFill>
            <w14:solidFill>
              <w14:schemeClr w14:val="tx1"/>
            </w14:solidFill>
          </w14:textFill>
        </w:rPr>
        <w:t>值低20%</w:t>
      </w:r>
      <w:r>
        <w:rPr>
          <w:rFonts w:hint="default" w:ascii="Times New Roman" w:hAnsi="Times New Roman" w:cs="Times New Roman"/>
          <w:color w:val="000000" w:themeColor="text1"/>
          <w:spacing w:val="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
          <w:sz w:val="24"/>
          <w:szCs w:val="24"/>
          <w:u w:val="none"/>
          <w14:textFill>
            <w14:solidFill>
              <w14:schemeClr w14:val="tx1"/>
            </w14:solidFill>
          </w14:textFill>
        </w:rPr>
        <w:t>得3分。</w:t>
      </w:r>
    </w:p>
    <w:p w14:paraId="623C5583">
      <w:pPr>
        <w:spacing w:before="74" w:line="360" w:lineRule="auto"/>
        <w:ind w:left="110" w:right="9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7.2.7 </w:t>
      </w:r>
      <w:r>
        <w:rPr>
          <w:rFonts w:hint="default" w:ascii="Times New Roman" w:hAnsi="Times New Roman" w:cs="Times New Roman"/>
          <w:bCs/>
          <w:color w:val="000000" w:themeColor="text1"/>
          <w:spacing w:val="-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采用节能型电气设  措施，评价</w:t>
      </w:r>
      <w:r>
        <w:rPr>
          <w:rFonts w:hint="default" w:ascii="Times New Roman" w:hAnsi="Times New Roman" w:cs="Times New Roman"/>
          <w:color w:val="000000" w:themeColor="text1"/>
          <w:spacing w:val="-5"/>
          <w:sz w:val="24"/>
          <w:szCs w:val="24"/>
          <w:u w:val="none"/>
          <w14:textFill>
            <w14:solidFill>
              <w14:schemeClr w14:val="tx1"/>
            </w14:solidFill>
          </w14:textFill>
        </w:rPr>
        <w:t>总分值为10</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3"/>
          <w:sz w:val="24"/>
          <w:szCs w:val="24"/>
          <w:u w:val="none"/>
          <w14:textFill>
            <w14:solidFill>
              <w14:schemeClr w14:val="tx1"/>
            </w14:solidFill>
          </w14:textFill>
        </w:rPr>
        <w:t>分，并按下列规则分别评分并累计：</w:t>
      </w:r>
    </w:p>
    <w:p w14:paraId="6BA0A3B5">
      <w:pPr>
        <w:spacing w:before="67" w:line="360" w:lineRule="auto"/>
        <w:ind w:left="110" w:right="100" w:firstLine="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主要功能房间的照明功率密度值达到现行国家标准《建</w:t>
      </w:r>
      <w:r>
        <w:rPr>
          <w:rFonts w:hint="default" w:ascii="Times New Roman" w:hAnsi="Times New Roman" w:cs="Times New Roman"/>
          <w:color w:val="000000" w:themeColor="text1"/>
          <w:spacing w:val="-5"/>
          <w:sz w:val="24"/>
          <w:szCs w:val="24"/>
          <w:u w:val="none"/>
          <w14:textFill>
            <w14:solidFill>
              <w14:schemeClr w14:val="tx1"/>
            </w14:solidFill>
          </w14:textFill>
        </w:rPr>
        <w:t>筑照明设计标准》GB/T50034规定的目标值，得5分：</w:t>
      </w:r>
    </w:p>
    <w:p w14:paraId="53A79D82">
      <w:pPr>
        <w:spacing w:before="57" w:line="360" w:lineRule="auto"/>
        <w:ind w:left="220" w:leftChars="105" w:right="101" w:firstLine="302" w:firstLineChars="13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采光区域的人工照明随天然光照度变化自动调节，得</w:t>
      </w:r>
      <w:r>
        <w:rPr>
          <w:rFonts w:hint="default" w:ascii="Times New Roman" w:hAnsi="Times New Roman" w:cs="Times New Roman"/>
          <w:color w:val="000000" w:themeColor="text1"/>
          <w:spacing w:val="1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2分；</w:t>
      </w:r>
    </w:p>
    <w:p w14:paraId="6C244237">
      <w:pPr>
        <w:spacing w:before="57" w:line="360" w:lineRule="auto"/>
        <w:ind w:left="110" w:right="101" w:firstLine="41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照明产品、电力变压器、水泵、风机等设备满足国家现</w:t>
      </w:r>
      <w:r>
        <w:rPr>
          <w:rFonts w:hint="default" w:ascii="Times New Roman" w:hAnsi="Times New Roman" w:cs="Times New Roman"/>
          <w:color w:val="000000" w:themeColor="text1"/>
          <w:spacing w:val="-1"/>
          <w:sz w:val="24"/>
          <w:szCs w:val="24"/>
          <w:u w:val="none"/>
          <w14:textFill>
            <w14:solidFill>
              <w14:schemeClr w14:val="tx1"/>
            </w14:solidFill>
          </w14:textFill>
        </w:rPr>
        <w:t>行有关标准的能效等级2级要求，得3分。</w:t>
      </w:r>
    </w:p>
    <w:p w14:paraId="5E104FF0">
      <w:pPr>
        <w:spacing w:before="46" w:line="360" w:lineRule="auto"/>
        <w:ind w:left="110" w:right="11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7.2.8</w:t>
      </w:r>
      <w:r>
        <w:rPr>
          <w:rFonts w:hint="default" w:ascii="Times New Roman" w:hAnsi="Times New Roman" w:cs="Times New Roman"/>
          <w:bCs/>
          <w:color w:val="000000" w:themeColor="text1"/>
          <w:spacing w:val="-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5"/>
          <w:sz w:val="24"/>
          <w:szCs w:val="24"/>
          <w:u w:val="none"/>
          <w14:textFill>
            <w14:solidFill>
              <w14:schemeClr w14:val="tx1"/>
            </w14:solidFill>
          </w14:textFill>
        </w:rPr>
        <w:t>采取措施降低建筑能耗，评价总分值为10分，并按下列</w:t>
      </w:r>
      <w:r>
        <w:rPr>
          <w:rFonts w:hint="default" w:ascii="Times New Roman" w:hAnsi="Times New Roman" w:cs="Times New Roman"/>
          <w:color w:val="000000" w:themeColor="text1"/>
          <w:spacing w:val="-2"/>
          <w:sz w:val="24"/>
          <w:szCs w:val="24"/>
          <w:u w:val="none"/>
          <w14:textFill>
            <w14:solidFill>
              <w14:schemeClr w14:val="tx1"/>
            </w14:solidFill>
          </w14:textFill>
        </w:rPr>
        <w:t>规则评分：</w:t>
      </w:r>
    </w:p>
    <w:p w14:paraId="7EDB55E2">
      <w:pPr>
        <w:spacing w:before="57" w:line="360" w:lineRule="auto"/>
        <w:ind w:left="110" w:right="101" w:firstLine="419"/>
        <w:jc w:val="left"/>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建筑设计能耗相比现行强制性工程建设规范《建筑节能</w:t>
      </w:r>
      <w:r>
        <w:rPr>
          <w:rFonts w:hint="default" w:ascii="Times New Roman" w:hAnsi="Times New Roman" w:cs="Times New Roman"/>
          <w:color w:val="000000" w:themeColor="text1"/>
          <w:spacing w:val="11"/>
          <w:sz w:val="24"/>
          <w:szCs w:val="24"/>
          <w:u w:val="none"/>
          <w14:textFill>
            <w14:solidFill>
              <w14:schemeClr w14:val="tx1"/>
            </w14:solidFill>
          </w14:textFill>
        </w:rPr>
        <w:t>与可再生能源利用通用规范》</w:t>
      </w:r>
      <w:r>
        <w:rPr>
          <w:rFonts w:hint="default" w:ascii="Times New Roman" w:hAnsi="Times New Roman" w:cs="Times New Roman"/>
          <w:color w:val="000000" w:themeColor="text1"/>
          <w:sz w:val="24"/>
          <w:szCs w:val="24"/>
          <w:u w:val="none"/>
          <w14:textFill>
            <w14:solidFill>
              <w14:schemeClr w14:val="tx1"/>
            </w14:solidFill>
          </w14:textFill>
        </w:rPr>
        <w:t>GB</w:t>
      </w:r>
      <w:r>
        <w:rPr>
          <w:rFonts w:hint="default" w:ascii="Times New Roman" w:hAnsi="Times New Roman" w:cs="Times New Roman"/>
          <w:color w:val="000000" w:themeColor="text1"/>
          <w:spacing w:val="4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1"/>
          <w:sz w:val="24"/>
          <w:szCs w:val="24"/>
          <w:u w:val="none"/>
          <w14:textFill>
            <w14:solidFill>
              <w14:schemeClr w14:val="tx1"/>
            </w14:solidFill>
          </w14:textFill>
        </w:rPr>
        <w:t>55015降低5%</w:t>
      </w:r>
      <w:r>
        <w:rPr>
          <w:rFonts w:hint="default" w:ascii="Times New Roman" w:hAnsi="Times New Roman"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1"/>
          <w:sz w:val="24"/>
          <w:szCs w:val="24"/>
          <w:u w:val="none"/>
          <w14:textFill>
            <w14:solidFill>
              <w14:schemeClr w14:val="tx1"/>
            </w14:solidFill>
          </w14:textFill>
        </w:rPr>
        <w:t>得6分；降</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2"/>
          <w:sz w:val="24"/>
          <w:szCs w:val="24"/>
          <w:u w:val="none"/>
          <w14:textFill>
            <w14:solidFill>
              <w14:schemeClr w14:val="tx1"/>
            </w14:solidFill>
          </w14:textFill>
        </w:rPr>
        <w:t>低10%，得8分；降低15%</w:t>
      </w:r>
      <w:r>
        <w:rPr>
          <w:rFonts w:hint="default" w:ascii="Times New Roman" w:hAnsi="Times New Roman" w:cs="Times New Roman"/>
          <w:color w:val="000000" w:themeColor="text1"/>
          <w:spacing w:val="2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2"/>
          <w:sz w:val="24"/>
          <w:szCs w:val="24"/>
          <w:u w:val="none"/>
          <w14:textFill>
            <w14:solidFill>
              <w14:schemeClr w14:val="tx1"/>
            </w14:solidFill>
          </w14:textFill>
        </w:rPr>
        <w:t>得10分。</w:t>
      </w:r>
      <w:r>
        <w:rPr>
          <w:rFonts w:hint="default" w:ascii="Times New Roman" w:hAnsi="Times New Roman" w:cs="Times New Roman"/>
          <w:color w:val="000000" w:themeColor="text1"/>
          <w:spacing w:val="4"/>
          <w:sz w:val="24"/>
          <w:szCs w:val="24"/>
          <w:u w:val="none"/>
          <w14:textFill>
            <w14:solidFill>
              <w14:schemeClr w14:val="tx1"/>
            </w14:solidFill>
          </w14:textFill>
        </w:rPr>
        <w:t xml:space="preserve">  </w:t>
      </w:r>
    </w:p>
    <w:p w14:paraId="2F90A8B2">
      <w:pPr>
        <w:spacing w:before="78" w:line="360" w:lineRule="auto"/>
        <w:ind w:left="110" w:right="95" w:firstLine="419"/>
        <w:rPr>
          <w:rFonts w:hint="default" w:ascii="Times New Roman" w:hAnsi="Times New Roman" w:cs="Times New Roman"/>
          <w:color w:val="000000" w:themeColor="text1"/>
          <w:spacing w:val="3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21"/>
          <w:sz w:val="24"/>
          <w:szCs w:val="24"/>
          <w:u w:val="none"/>
          <w14:textFill>
            <w14:solidFill>
              <w14:schemeClr w14:val="tx1"/>
            </w14:solidFill>
          </w14:textFill>
        </w:rPr>
        <w:t xml:space="preserve"> 建筑运行能耗相比国家现行有关建筑能耗标准降低</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2"/>
          <w:sz w:val="24"/>
          <w:szCs w:val="24"/>
          <w:u w:val="none"/>
          <w14:textFill>
            <w14:solidFill>
              <w14:schemeClr w14:val="tx1"/>
            </w14:solidFill>
          </w14:textFill>
        </w:rPr>
        <w:t>10%</w:t>
      </w:r>
      <w:r>
        <w:rPr>
          <w:rFonts w:hint="default" w:ascii="Times New Roman" w:hAnsi="Times New Roman" w:cs="Times New Roman"/>
          <w:color w:val="000000" w:themeColor="text1"/>
          <w:spacing w:val="3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32"/>
          <w:sz w:val="24"/>
          <w:szCs w:val="24"/>
          <w:u w:val="none"/>
          <w14:textFill>
            <w14:solidFill>
              <w14:schemeClr w14:val="tx1"/>
            </w14:solidFill>
          </w14:textFill>
        </w:rPr>
        <w:t>得6分；降低15%</w:t>
      </w:r>
      <w:r>
        <w:rPr>
          <w:rFonts w:hint="default" w:ascii="Times New Roman" w:hAnsi="Times New Roman" w:cs="Times New Roman"/>
          <w:color w:val="000000" w:themeColor="text1"/>
          <w:spacing w:val="3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32"/>
          <w:sz w:val="24"/>
          <w:szCs w:val="24"/>
          <w:u w:val="none"/>
          <w14:textFill>
            <w14:solidFill>
              <w14:schemeClr w14:val="tx1"/>
            </w14:solidFill>
          </w14:textFill>
        </w:rPr>
        <w:t>得8分；降低</w:t>
      </w:r>
      <w:r>
        <w:rPr>
          <w:rFonts w:hint="default" w:ascii="Times New Roman" w:hAnsi="Times New Roman" w:cs="Times New Roman"/>
          <w:color w:val="000000" w:themeColor="text1"/>
          <w:spacing w:val="31"/>
          <w:sz w:val="24"/>
          <w:szCs w:val="24"/>
          <w:u w:val="none"/>
          <w14:textFill>
            <w14:solidFill>
              <w14:schemeClr w14:val="tx1"/>
            </w14:solidFill>
          </w14:textFill>
        </w:rPr>
        <w:t>20%</w:t>
      </w:r>
      <w:r>
        <w:rPr>
          <w:rFonts w:hint="default" w:ascii="Times New Roman" w:hAnsi="Times New Roman" w:cs="Times New Roman"/>
          <w:color w:val="000000" w:themeColor="text1"/>
          <w:spacing w:val="3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31"/>
          <w:sz w:val="24"/>
          <w:szCs w:val="24"/>
          <w:u w:val="none"/>
          <w14:textFill>
            <w14:solidFill>
              <w14:schemeClr w14:val="tx1"/>
            </w14:solidFill>
          </w14:textFill>
        </w:rPr>
        <w:t>得10分</w:t>
      </w:r>
    </w:p>
    <w:p w14:paraId="1AFFFF1D">
      <w:pPr>
        <w:spacing w:before="33" w:line="360" w:lineRule="auto"/>
        <w:ind w:left="110" w:right="1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7.2.9 </w:t>
      </w:r>
      <w:r>
        <w:rPr>
          <w:rFonts w:hint="default" w:ascii="Times New Roman" w:hAnsi="Times New Roman" w:cs="Times New Roman"/>
          <w:bCs/>
          <w:color w:val="000000" w:themeColor="text1"/>
          <w:spacing w:val="-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结合当地气候和自然资源条</w:t>
      </w:r>
      <w:r>
        <w:rPr>
          <w:rFonts w:hint="default" w:ascii="Times New Roman" w:hAnsi="Times New Roman" w:cs="Times New Roman"/>
          <w:color w:val="000000" w:themeColor="text1"/>
          <w:spacing w:val="-5"/>
          <w:sz w:val="24"/>
          <w:szCs w:val="24"/>
          <w:u w:val="none"/>
          <w14:textFill>
            <w14:solidFill>
              <w14:schemeClr w14:val="tx1"/>
            </w14:solidFill>
          </w14:textFill>
        </w:rPr>
        <w:t>件合理利用可再生能源，评</w:t>
      </w:r>
      <w:r>
        <w:rPr>
          <w:rFonts w:hint="default" w:ascii="Times New Roman" w:hAnsi="Times New Roman" w:cs="Times New Roman"/>
          <w:color w:val="000000" w:themeColor="text1"/>
          <w:spacing w:val="4"/>
          <w:sz w:val="24"/>
          <w:szCs w:val="24"/>
          <w:u w:val="none"/>
          <w14:textFill>
            <w14:solidFill>
              <w14:schemeClr w14:val="tx1"/>
            </w14:solidFill>
          </w14:textFill>
        </w:rPr>
        <w:t>价总分值为15分，可再生能源利用率达到10%，得15分：可再</w:t>
      </w:r>
      <w:r>
        <w:rPr>
          <w:rFonts w:hint="default" w:ascii="Times New Roman" w:hAnsi="Times New Roman" w:cs="Times New Roman"/>
          <w:color w:val="000000" w:themeColor="text1"/>
          <w:spacing w:val="-3"/>
          <w:sz w:val="24"/>
          <w:szCs w:val="24"/>
          <w:u w:val="none"/>
          <w14:textFill>
            <w14:solidFill>
              <w14:schemeClr w14:val="tx1"/>
            </w14:solidFill>
          </w14:textFill>
        </w:rPr>
        <w:t>生能源利用率不足10%时，按线性内插法计算得分。</w:t>
      </w:r>
    </w:p>
    <w:p w14:paraId="2C50CB02">
      <w:pPr>
        <w:pStyle w:val="4"/>
        <w:spacing w:before="0" w:after="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84" w:name="_Toc9403"/>
      <w:bookmarkStart w:id="85" w:name="_Toc204247730"/>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Ⅲ</w:t>
      </w:r>
      <w:r>
        <w:rPr>
          <w:rFonts w:hint="default" w:ascii="Times New Roman" w:hAnsi="Times New Roman" w:cs="Times New Roman"/>
          <w:color w:val="000000" w:themeColor="text1"/>
          <w:sz w:val="24"/>
          <w:szCs w:val="24"/>
          <w:u w:val="none"/>
          <w:lang w:eastAsia="zh-CN"/>
          <w14:textFill>
            <w14:solidFill>
              <w14:schemeClr w14:val="tx1"/>
            </w14:solidFill>
          </w14:textFill>
        </w:rPr>
        <w:t xml:space="preserve"> 节水与水资源利用</w:t>
      </w:r>
      <w:bookmarkEnd w:id="84"/>
      <w:bookmarkEnd w:id="85"/>
    </w:p>
    <w:p w14:paraId="36684EB1">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7.2.10</w:t>
      </w:r>
      <w:r>
        <w:rPr>
          <w:rFonts w:hint="default" w:ascii="Times New Roman" w:hAnsi="Times New Roman" w:cs="Times New Roman"/>
          <w:bCs/>
          <w:color w:val="000000" w:themeColor="text1"/>
          <w:spacing w:val="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使用较高水效等级的卫生器具，评价总分</w:t>
      </w:r>
      <w:r>
        <w:rPr>
          <w:rFonts w:hint="default" w:ascii="Times New Roman" w:hAnsi="Times New Roman" w:cs="Times New Roman"/>
          <w:color w:val="000000" w:themeColor="text1"/>
          <w:spacing w:val="1"/>
          <w:sz w:val="24"/>
          <w:szCs w:val="24"/>
          <w:u w:val="none"/>
          <w14:textFill>
            <w14:solidFill>
              <w14:schemeClr w14:val="tx1"/>
            </w14:solidFill>
          </w14:textFill>
        </w:rPr>
        <w:t>值为15分，</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3"/>
          <w:sz w:val="24"/>
          <w:szCs w:val="24"/>
          <w:u w:val="none"/>
          <w14:textFill>
            <w14:solidFill>
              <w14:schemeClr w14:val="tx1"/>
            </w14:solidFill>
          </w14:textFill>
        </w:rPr>
        <w:t>并按下列规则评分：</w:t>
      </w:r>
    </w:p>
    <w:p w14:paraId="35633EE8">
      <w:pPr>
        <w:spacing w:line="360" w:lineRule="auto"/>
        <w:ind w:firstLine="325" w:firstLineChars="150"/>
        <w:rPr>
          <w:rFonts w:hint="default" w:ascii="Times New Roman" w:hAnsi="Times New Roman" w:cs="Times New Roman"/>
          <w:color w:val="000000" w:themeColor="text1"/>
          <w:spacing w:val="-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2"/>
          <w:sz w:val="24"/>
          <w:szCs w:val="24"/>
          <w:u w:val="none"/>
          <w14:textFill>
            <w14:solidFill>
              <w14:schemeClr w14:val="tx1"/>
            </w14:solidFill>
          </w14:textFill>
        </w:rPr>
        <w:t xml:space="preserve"> 全部卫生器具的水效等级达到2级，得8分。</w:t>
      </w:r>
    </w:p>
    <w:p w14:paraId="623540CA">
      <w:pPr>
        <w:spacing w:line="360" w:lineRule="auto"/>
        <w:ind w:firstLine="325" w:firstLineChars="150"/>
        <w:rPr>
          <w:rFonts w:hint="default" w:ascii="Times New Roman" w:hAnsi="Times New Roman" w:cs="Times New Roman"/>
          <w:color w:val="000000" w:themeColor="text1"/>
          <w:spacing w:val="-2"/>
          <w:sz w:val="24"/>
          <w:szCs w:val="24"/>
          <w:u w:val="none"/>
          <w14:textFill>
            <w14:solidFill>
              <w14:schemeClr w14:val="tx1"/>
            </w14:solidFill>
          </w14:textFill>
        </w:rPr>
      </w:pPr>
      <w:bookmarkStart w:id="86" w:name="bookmark99"/>
      <w:bookmarkEnd w:id="86"/>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2"/>
          <w:sz w:val="24"/>
          <w:szCs w:val="24"/>
          <w:u w:val="none"/>
          <w14:textFill>
            <w14:solidFill>
              <w14:schemeClr w14:val="tx1"/>
            </w14:solidFill>
          </w14:textFill>
        </w:rPr>
        <w:t>50%以上卫生器具的水效等级达到1级且其他达到2级，得12分。</w:t>
      </w:r>
    </w:p>
    <w:p w14:paraId="7FF0CEE4">
      <w:pPr>
        <w:spacing w:line="360" w:lineRule="auto"/>
        <w:ind w:firstLine="325" w:firstLineChars="150"/>
        <w:rPr>
          <w:rFonts w:hint="default" w:ascii="Times New Roman" w:hAnsi="Times New Roman" w:cs="Times New Roman"/>
          <w:color w:val="000000" w:themeColor="text1"/>
          <w:spacing w:val="-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2"/>
          <w:sz w:val="24"/>
          <w:szCs w:val="24"/>
          <w:u w:val="none"/>
          <w14:textFill>
            <w14:solidFill>
              <w14:schemeClr w14:val="tx1"/>
            </w14:solidFill>
          </w14:textFill>
        </w:rPr>
        <w:t>全部卫生器具的水效等级达到1级，得15分。</w:t>
      </w:r>
    </w:p>
    <w:p w14:paraId="57432C05">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7.2.11</w:t>
      </w:r>
      <w:r>
        <w:rPr>
          <w:rFonts w:hint="default" w:ascii="Times New Roman" w:hAnsi="Times New Roman" w:cs="Times New Roman"/>
          <w:color w:val="000000" w:themeColor="text1"/>
          <w:spacing w:val="7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0"/>
          <w:sz w:val="24"/>
          <w:szCs w:val="24"/>
          <w:u w:val="none"/>
          <w14:textFill>
            <w14:solidFill>
              <w14:schemeClr w14:val="tx1"/>
            </w14:solidFill>
          </w14:textFill>
        </w:rPr>
        <w:t>绿化灌溉及空调冷却水系统采用节水设备或技术，评价</w:t>
      </w:r>
      <w:r>
        <w:rPr>
          <w:rFonts w:hint="default" w:ascii="Times New Roman" w:hAnsi="Times New Roman" w:cs="Times New Roman"/>
          <w:color w:val="000000" w:themeColor="text1"/>
          <w:spacing w:val="-8"/>
          <w:sz w:val="24"/>
          <w:szCs w:val="24"/>
          <w:u w:val="none"/>
          <w14:textFill>
            <w14:solidFill>
              <w14:schemeClr w14:val="tx1"/>
            </w14:solidFill>
          </w14:textFill>
        </w:rPr>
        <w:t>总分值为12分，并按下列规则分别评分并累计：</w:t>
      </w:r>
    </w:p>
    <w:p w14:paraId="0E34DD03">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7"/>
          <w:sz w:val="24"/>
          <w:szCs w:val="24"/>
          <w:u w:val="none"/>
          <w14:textFill>
            <w14:solidFill>
              <w14:schemeClr w14:val="tx1"/>
            </w14:solidFill>
          </w14:textFill>
        </w:rPr>
        <w:t>绿化灌溉在节水灌溉的基础上采用节水技术，并按下列</w:t>
      </w:r>
      <w:r>
        <w:rPr>
          <w:rFonts w:hint="default" w:ascii="Times New Roman" w:hAnsi="Times New Roman" w:cs="Times New Roman"/>
          <w:color w:val="000000" w:themeColor="text1"/>
          <w:spacing w:val="-10"/>
          <w:sz w:val="24"/>
          <w:szCs w:val="24"/>
          <w:u w:val="none"/>
          <w14:textFill>
            <w14:solidFill>
              <w14:schemeClr w14:val="tx1"/>
            </w14:solidFill>
          </w14:textFill>
        </w:rPr>
        <w:t>规则评分：</w:t>
      </w:r>
    </w:p>
    <w:p w14:paraId="37221DBA">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设置土壤湿度感应器、雨天自动关闭装置等节水控制</w:t>
      </w:r>
      <w:r>
        <w:rPr>
          <w:rFonts w:hint="default" w:ascii="Times New Roman" w:hAnsi="Times New Roman" w:cs="Times New Roman"/>
          <w:color w:val="000000" w:themeColor="text1"/>
          <w:spacing w:val="-2"/>
          <w:sz w:val="24"/>
          <w:szCs w:val="24"/>
          <w:u w:val="none"/>
          <w14:textFill>
            <w14:solidFill>
              <w14:schemeClr w14:val="tx1"/>
            </w14:solidFill>
          </w14:textFill>
        </w:rPr>
        <w:t>措施，得6分。</w:t>
      </w:r>
      <w:r>
        <w:rPr>
          <w:rFonts w:hint="default" w:ascii="Times New Roman" w:hAnsi="Times New Roman" w:cs="Times New Roman"/>
          <w:color w:val="000000" w:themeColor="text1"/>
          <w:spacing w:val="4"/>
          <w:sz w:val="24"/>
          <w:szCs w:val="24"/>
          <w:u w:val="none"/>
          <w14:textFill>
            <w14:solidFill>
              <w14:schemeClr w14:val="tx1"/>
            </w14:solidFill>
          </w14:textFill>
        </w:rPr>
        <w:t xml:space="preserve"> </w:t>
      </w:r>
    </w:p>
    <w:p w14:paraId="3907E4D8">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
          <w:sz w:val="24"/>
          <w:szCs w:val="24"/>
          <w:u w:val="none"/>
          <w14:textFill>
            <w14:solidFill>
              <w14:schemeClr w14:val="tx1"/>
            </w14:solidFill>
          </w14:textFill>
        </w:rPr>
        <w:t>50%以上的绿地种植无须永久灌溉植物，且</w:t>
      </w:r>
      <w:r>
        <w:rPr>
          <w:rFonts w:hint="default" w:ascii="Times New Roman" w:hAnsi="Times New Roman" w:cs="Times New Roman"/>
          <w:color w:val="000000" w:themeColor="text1"/>
          <w:spacing w:val="1"/>
          <w:sz w:val="24"/>
          <w:szCs w:val="24"/>
          <w:u w:val="none"/>
          <w14:textFill>
            <w14:solidFill>
              <w14:schemeClr w14:val="tx1"/>
            </w14:solidFill>
          </w14:textFill>
        </w:rPr>
        <w:t>不设永久</w:t>
      </w:r>
      <w:r>
        <w:rPr>
          <w:rFonts w:hint="default" w:ascii="Times New Roman" w:hAnsi="Times New Roman" w:cs="Times New Roman"/>
          <w:color w:val="000000" w:themeColor="text1"/>
          <w:spacing w:val="-2"/>
          <w:sz w:val="24"/>
          <w:szCs w:val="24"/>
          <w:u w:val="none"/>
          <w14:textFill>
            <w14:solidFill>
              <w14:schemeClr w14:val="tx1"/>
            </w14:solidFill>
          </w14:textFill>
        </w:rPr>
        <w:t>灌溉设施，得6分。</w:t>
      </w:r>
    </w:p>
    <w:p w14:paraId="425494DF">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2"/>
          <w:sz w:val="24"/>
          <w:szCs w:val="24"/>
          <w:u w:val="none"/>
          <w14:textFill>
            <w14:solidFill>
              <w14:schemeClr w14:val="tx1"/>
            </w14:solidFill>
          </w14:textFill>
        </w:rPr>
        <w:t>空调冷却水系统采用节水设备或技术，并按下列规则</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3"/>
          <w:sz w:val="24"/>
          <w:szCs w:val="24"/>
          <w:u w:val="none"/>
          <w14:textFill>
            <w14:solidFill>
              <w14:schemeClr w14:val="tx1"/>
            </w14:solidFill>
          </w14:textFill>
        </w:rPr>
        <w:t>评分：</w:t>
      </w:r>
    </w:p>
    <w:p w14:paraId="31C9A9EF">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循环冷却水系统采取设置水处理措施、加大集水盘、</w:t>
      </w:r>
      <w:r>
        <w:rPr>
          <w:rFonts w:hint="default" w:ascii="Times New Roman" w:hAnsi="Times New Roman" w:cs="Times New Roman"/>
          <w:color w:val="000000" w:themeColor="text1"/>
          <w:spacing w:val="-8"/>
          <w:sz w:val="24"/>
          <w:szCs w:val="24"/>
          <w:u w:val="none"/>
          <w14:textFill>
            <w14:solidFill>
              <w14:schemeClr w14:val="tx1"/>
            </w14:solidFill>
          </w14:textFill>
        </w:rPr>
        <w:t>设置平衡管或平衡水箱等方式，避免冷却水泵停泵时</w:t>
      </w:r>
      <w:r>
        <w:rPr>
          <w:rFonts w:hint="default" w:ascii="Times New Roman" w:hAnsi="Times New Roman" w:cs="Times New Roman"/>
          <w:color w:val="000000" w:themeColor="text1"/>
          <w:spacing w:val="1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冷却水溢出，得3分。</w:t>
      </w:r>
    </w:p>
    <w:p w14:paraId="544E7732">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
          <w:sz w:val="24"/>
          <w:szCs w:val="24"/>
          <w:u w:val="none"/>
          <w14:textFill>
            <w14:solidFill>
              <w14:schemeClr w14:val="tx1"/>
            </w14:solidFill>
          </w14:textFill>
        </w:rPr>
        <w:t>采用无蒸发耗水量的冷却技术，得6分。</w:t>
      </w:r>
    </w:p>
    <w:p w14:paraId="59075537">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7.2.12</w:t>
      </w:r>
      <w:r>
        <w:rPr>
          <w:rFonts w:hint="default" w:ascii="Times New Roman" w:hAnsi="Times New Roman" w:cs="Times New Roman"/>
          <w:color w:val="000000" w:themeColor="text1"/>
          <w:spacing w:val="8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0"/>
          <w:sz w:val="24"/>
          <w:szCs w:val="24"/>
          <w:u w:val="none"/>
          <w14:textFill>
            <w14:solidFill>
              <w14:schemeClr w14:val="tx1"/>
            </w14:solidFill>
          </w14:textFill>
        </w:rPr>
        <w:t>结合雨水综合利用设施营造室外景观水体，室外景观水</w:t>
      </w:r>
      <w:r>
        <w:rPr>
          <w:rFonts w:hint="default" w:ascii="Times New Roman" w:hAnsi="Times New Roman" w:cs="Times New Roman"/>
          <w:color w:val="000000" w:themeColor="text1"/>
          <w:spacing w:val="4"/>
          <w:sz w:val="24"/>
          <w:szCs w:val="24"/>
          <w:u w:val="none"/>
          <w14:textFill>
            <w14:solidFill>
              <w14:schemeClr w14:val="tx1"/>
            </w14:solidFill>
          </w14:textFill>
        </w:rPr>
        <w:t>体利用雨水的补水量大于水体蒸发量的60%</w:t>
      </w:r>
      <w:r>
        <w:rPr>
          <w:rFonts w:hint="default" w:ascii="Times New Roman" w:hAnsi="Times New Roman" w:cs="Times New Roman"/>
          <w:color w:val="000000" w:themeColor="text1"/>
          <w:spacing w:val="4"/>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4"/>
          <w:sz w:val="24"/>
          <w:szCs w:val="24"/>
          <w:u w:val="none"/>
          <w14:textFill>
            <w14:solidFill>
              <w14:schemeClr w14:val="tx1"/>
            </w14:solidFill>
          </w14:textFill>
        </w:rPr>
        <w:t>且采用保障水体</w:t>
      </w:r>
      <w:r>
        <w:rPr>
          <w:rFonts w:hint="default" w:ascii="Times New Roman" w:hAnsi="Times New Roman" w:cs="Times New Roman"/>
          <w:color w:val="000000" w:themeColor="text1"/>
          <w:spacing w:val="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水质的生态水处理技术，评价总分值为8分，</w:t>
      </w:r>
      <w:r>
        <w:rPr>
          <w:rFonts w:hint="default" w:ascii="Times New Roman" w:hAnsi="Times New Roman" w:cs="Times New Roman"/>
          <w:color w:val="000000" w:themeColor="text1"/>
          <w:spacing w:val="-8"/>
          <w:sz w:val="24"/>
          <w:szCs w:val="24"/>
          <w:u w:val="none"/>
          <w14:textFill>
            <w14:solidFill>
              <w14:schemeClr w14:val="tx1"/>
            </w14:solidFill>
          </w14:textFill>
        </w:rPr>
        <w:t>并按下列规则分别</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6"/>
          <w:sz w:val="24"/>
          <w:szCs w:val="24"/>
          <w:u w:val="none"/>
          <w14:textFill>
            <w14:solidFill>
              <w14:schemeClr w14:val="tx1"/>
            </w14:solidFill>
          </w14:textFill>
        </w:rPr>
        <w:t>评分并累计：</w:t>
      </w:r>
    </w:p>
    <w:p w14:paraId="5155BF3F">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对进入室外景观水体的雨水，利用生态设施削减径流污</w:t>
      </w:r>
      <w:r>
        <w:rPr>
          <w:rFonts w:hint="default" w:ascii="Times New Roman" w:hAnsi="Times New Roman" w:cs="Times New Roman"/>
          <w:color w:val="000000" w:themeColor="text1"/>
          <w:sz w:val="24"/>
          <w:szCs w:val="24"/>
          <w:u w:val="none"/>
          <w14:textFill>
            <w14:solidFill>
              <w14:schemeClr w14:val="tx1"/>
            </w14:solidFill>
          </w14:textFill>
        </w:rPr>
        <w:t>染，得4分；</w:t>
      </w:r>
    </w:p>
    <w:p w14:paraId="2B95BE13">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7"/>
          <w:sz w:val="24"/>
          <w:szCs w:val="24"/>
          <w:u w:val="none"/>
          <w14:textFill>
            <w14:solidFill>
              <w14:schemeClr w14:val="tx1"/>
            </w14:solidFill>
          </w14:textFill>
        </w:rPr>
        <w:t>利用水生动、植物保障室外景观水体水质，得4分。</w:t>
      </w:r>
    </w:p>
    <w:p w14:paraId="2F077F8D">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7.2.13</w:t>
      </w:r>
      <w:r>
        <w:rPr>
          <w:rFonts w:hint="default" w:ascii="Times New Roman" w:hAnsi="Times New Roman" w:cs="Times New Roman"/>
          <w:color w:val="000000" w:themeColor="text1"/>
          <w:spacing w:val="7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使用非传统水源，评价总分值为15分，并按下列规则</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5"/>
          <w:sz w:val="24"/>
          <w:szCs w:val="24"/>
          <w:u w:val="none"/>
          <w14:textFill>
            <w14:solidFill>
              <w14:schemeClr w14:val="tx1"/>
            </w14:solidFill>
          </w14:textFill>
        </w:rPr>
        <w:t>分别评分并累计：</w:t>
      </w:r>
    </w:p>
    <w:p w14:paraId="0E3B203B">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03"/>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绿化灌溉、车库及道路冲洗、洗车用水采用非传统水源</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7"/>
          <w:sz w:val="24"/>
          <w:szCs w:val="24"/>
          <w:u w:val="none"/>
          <w14:textFill>
            <w14:solidFill>
              <w14:schemeClr w14:val="tx1"/>
            </w14:solidFill>
          </w14:textFill>
        </w:rPr>
        <w:t>的用水量占其总用水量的比例不低于40%</w:t>
      </w:r>
      <w:r>
        <w:rPr>
          <w:rFonts w:hint="default" w:ascii="Times New Roman" w:hAnsi="Times New Roman" w:cs="Times New Roman"/>
          <w:color w:val="000000" w:themeColor="text1"/>
          <w:spacing w:val="16"/>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6"/>
          <w:sz w:val="24"/>
          <w:szCs w:val="24"/>
          <w:u w:val="none"/>
          <w14:textFill>
            <w14:solidFill>
              <w14:schemeClr w14:val="tx1"/>
            </w14:solidFill>
          </w14:textFill>
        </w:rPr>
        <w:t>得3分；不低于</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7"/>
          <w:sz w:val="24"/>
          <w:szCs w:val="24"/>
          <w:u w:val="none"/>
          <w14:textFill>
            <w14:solidFill>
              <w14:schemeClr w14:val="tx1"/>
            </w14:solidFill>
          </w14:textFill>
        </w:rPr>
        <w:t>60%</w:t>
      </w:r>
      <w:r>
        <w:rPr>
          <w:rFonts w:hint="default" w:ascii="Times New Roman" w:hAnsi="Times New Roman" w:cs="Times New Roman"/>
          <w:color w:val="000000" w:themeColor="text1"/>
          <w:spacing w:val="2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7"/>
          <w:sz w:val="24"/>
          <w:szCs w:val="24"/>
          <w:u w:val="none"/>
          <w14:textFill>
            <w14:solidFill>
              <w14:schemeClr w14:val="tx1"/>
            </w14:solidFill>
          </w14:textFill>
        </w:rPr>
        <w:t>得5分；</w:t>
      </w:r>
    </w:p>
    <w:p w14:paraId="100D04C7">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7"/>
          <w:sz w:val="24"/>
          <w:szCs w:val="24"/>
          <w:u w:val="none"/>
          <w14:textFill>
            <w14:solidFill>
              <w14:schemeClr w14:val="tx1"/>
            </w14:solidFill>
          </w14:textFill>
        </w:rPr>
        <w:t>冲厕采用非传统水源的用水量占其总用水量的比例不低</w:t>
      </w:r>
      <w:r>
        <w:rPr>
          <w:rFonts w:hint="default" w:ascii="Times New Roman" w:hAnsi="Times New Roman" w:cs="Times New Roman"/>
          <w:color w:val="000000" w:themeColor="text1"/>
          <w:spacing w:val="26"/>
          <w:sz w:val="24"/>
          <w:szCs w:val="24"/>
          <w:u w:val="none"/>
          <w14:textFill>
            <w14:solidFill>
              <w14:schemeClr w14:val="tx1"/>
            </w14:solidFill>
          </w14:textFill>
        </w:rPr>
        <w:t>于30%</w:t>
      </w:r>
      <w:r>
        <w:rPr>
          <w:rFonts w:hint="default" w:ascii="Times New Roman" w:hAnsi="Times New Roman" w:cs="Times New Roman"/>
          <w:color w:val="000000" w:themeColor="text1"/>
          <w:spacing w:val="26"/>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6"/>
          <w:sz w:val="24"/>
          <w:szCs w:val="24"/>
          <w:u w:val="none"/>
          <w14:textFill>
            <w14:solidFill>
              <w14:schemeClr w14:val="tx1"/>
            </w14:solidFill>
          </w14:textFill>
        </w:rPr>
        <w:t>得3分；不低于50%</w:t>
      </w:r>
      <w:r>
        <w:rPr>
          <w:rFonts w:hint="default" w:ascii="Times New Roman" w:hAnsi="Times New Roman" w:cs="Times New Roman"/>
          <w:color w:val="000000" w:themeColor="text1"/>
          <w:spacing w:val="26"/>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6"/>
          <w:sz w:val="24"/>
          <w:szCs w:val="24"/>
          <w:u w:val="none"/>
          <w14:textFill>
            <w14:solidFill>
              <w14:schemeClr w14:val="tx1"/>
            </w14:solidFill>
          </w14:textFill>
        </w:rPr>
        <w:t>得5分；</w:t>
      </w:r>
    </w:p>
    <w:p w14:paraId="74D66A3C">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冷却水补水采用非传统水源的用水量占其总用水量的比</w:t>
      </w:r>
      <w:r>
        <w:rPr>
          <w:rFonts w:hint="default" w:ascii="Times New Roman" w:hAnsi="Times New Roman" w:cs="Times New Roman"/>
          <w:color w:val="000000" w:themeColor="text1"/>
          <w:spacing w:val="22"/>
          <w:sz w:val="24"/>
          <w:szCs w:val="24"/>
          <w:u w:val="none"/>
          <w14:textFill>
            <w14:solidFill>
              <w14:schemeClr w14:val="tx1"/>
            </w14:solidFill>
          </w14:textFill>
        </w:rPr>
        <w:t>例不低于20%</w:t>
      </w:r>
      <w:r>
        <w:rPr>
          <w:rFonts w:hint="default" w:ascii="Times New Roman" w:hAnsi="Times New Roman" w:cs="Times New Roman"/>
          <w:color w:val="000000" w:themeColor="text1"/>
          <w:spacing w:val="2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2"/>
          <w:sz w:val="24"/>
          <w:szCs w:val="24"/>
          <w:u w:val="none"/>
          <w14:textFill>
            <w14:solidFill>
              <w14:schemeClr w14:val="tx1"/>
            </w14:solidFill>
          </w14:textFill>
        </w:rPr>
        <w:t>得3分；不低于40%</w:t>
      </w:r>
      <w:r>
        <w:rPr>
          <w:rFonts w:hint="default" w:ascii="Times New Roman" w:hAnsi="Times New Roman" w:cs="Times New Roman"/>
          <w:color w:val="000000" w:themeColor="text1"/>
          <w:spacing w:val="2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2"/>
          <w:sz w:val="24"/>
          <w:szCs w:val="24"/>
          <w:u w:val="none"/>
          <w14:textFill>
            <w14:solidFill>
              <w14:schemeClr w14:val="tx1"/>
            </w14:solidFill>
          </w14:textFill>
        </w:rPr>
        <w:t>得5分。</w:t>
      </w:r>
    </w:p>
    <w:p w14:paraId="001194C9">
      <w:pPr>
        <w:pStyle w:val="4"/>
        <w:spacing w:before="0" w:after="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87" w:name="bookmark31"/>
      <w:bookmarkEnd w:id="87"/>
      <w:bookmarkStart w:id="88" w:name="_Toc204247731"/>
      <w:bookmarkStart w:id="89" w:name="_Toc14749"/>
      <w:r>
        <w:rPr>
          <w:rFonts w:hint="default" w:ascii="Times New Roman" w:hAnsi="Times New Roman" w:cs="Times New Roman"/>
          <w:color w:val="000000" w:themeColor="text1"/>
          <w:sz w:val="24"/>
          <w:szCs w:val="24"/>
          <w:u w:val="none"/>
          <w:lang w:eastAsia="zh-CN"/>
          <w14:textFill>
            <w14:solidFill>
              <w14:schemeClr w14:val="tx1"/>
            </w14:solidFill>
          </w14:textFill>
        </w:rPr>
        <w:t>IV 节材与绿色建材</w:t>
      </w:r>
      <w:bookmarkEnd w:id="88"/>
      <w:bookmarkEnd w:id="89"/>
    </w:p>
    <w:p w14:paraId="21E738E2">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7.2.14  </w:t>
      </w:r>
      <w:r>
        <w:rPr>
          <w:rFonts w:hint="default" w:ascii="Times New Roman" w:hAnsi="Times New Roman" w:cs="Times New Roman"/>
          <w:color w:val="000000" w:themeColor="text1"/>
          <w:spacing w:val="-7"/>
          <w:sz w:val="24"/>
          <w:szCs w:val="24"/>
          <w:u w:val="none"/>
          <w14:textFill>
            <w14:solidFill>
              <w14:schemeClr w14:val="tx1"/>
            </w14:solidFill>
          </w14:textFill>
        </w:rPr>
        <w:t>建筑所有区域实施土建工程</w:t>
      </w:r>
      <w:r>
        <w:rPr>
          <w:rFonts w:hint="default" w:ascii="Times New Roman" w:hAnsi="Times New Roman" w:cs="Times New Roman"/>
          <w:color w:val="000000" w:themeColor="text1"/>
          <w:spacing w:val="-8"/>
          <w:sz w:val="24"/>
          <w:szCs w:val="24"/>
          <w:u w:val="none"/>
          <w14:textFill>
            <w14:solidFill>
              <w14:schemeClr w14:val="tx1"/>
            </w14:solidFill>
          </w14:textFill>
        </w:rPr>
        <w:t>与装修工程一体化设计及施</w:t>
      </w:r>
      <w:r>
        <w:rPr>
          <w:rFonts w:hint="default" w:ascii="Times New Roman" w:hAnsi="Times New Roman" w:cs="Times New Roman"/>
          <w:color w:val="000000" w:themeColor="text1"/>
          <w:spacing w:val="-4"/>
          <w:sz w:val="24"/>
          <w:szCs w:val="24"/>
          <w:u w:val="none"/>
          <w14:textFill>
            <w14:solidFill>
              <w14:schemeClr w14:val="tx1"/>
            </w14:solidFill>
          </w14:textFill>
        </w:rPr>
        <w:t>工，评价分值为8分。</w:t>
      </w:r>
    </w:p>
    <w:p w14:paraId="06DC9E15">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7.2.15 </w:t>
      </w:r>
      <w:r>
        <w:rPr>
          <w:rFonts w:hint="default" w:ascii="Times New Roman" w:hAnsi="Times New Roman" w:cs="Times New Roman"/>
          <w:color w:val="000000" w:themeColor="text1"/>
          <w:spacing w:val="2"/>
          <w:sz w:val="24"/>
          <w:szCs w:val="24"/>
          <w:u w:val="none"/>
          <w14:textFill>
            <w14:solidFill>
              <w14:schemeClr w14:val="tx1"/>
            </w14:solidFill>
          </w14:textFill>
        </w:rPr>
        <w:t xml:space="preserve"> 合理选用建筑结构材料与构件，评价总分</w:t>
      </w:r>
      <w:r>
        <w:rPr>
          <w:rFonts w:hint="default" w:ascii="Times New Roman" w:hAnsi="Times New Roman" w:cs="Times New Roman"/>
          <w:color w:val="000000" w:themeColor="text1"/>
          <w:spacing w:val="1"/>
          <w:sz w:val="24"/>
          <w:szCs w:val="24"/>
          <w:u w:val="none"/>
          <w14:textFill>
            <w14:solidFill>
              <w14:schemeClr w14:val="tx1"/>
            </w14:solidFill>
          </w14:textFill>
        </w:rPr>
        <w:t>值为10分，</w:t>
      </w:r>
      <w:r>
        <w:rPr>
          <w:rFonts w:hint="default" w:ascii="Times New Roman" w:hAnsi="Times New Roman" w:cs="Times New Roman"/>
          <w:color w:val="000000" w:themeColor="text1"/>
          <w:spacing w:val="-13"/>
          <w:sz w:val="24"/>
          <w:szCs w:val="24"/>
          <w:u w:val="none"/>
          <w14:textFill>
            <w14:solidFill>
              <w14:schemeClr w14:val="tx1"/>
            </w14:solidFill>
          </w14:textFill>
        </w:rPr>
        <w:t>并按下列规则评分：</w:t>
      </w:r>
    </w:p>
    <w:p w14:paraId="2566CB51">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2"/>
          <w:sz w:val="24"/>
          <w:szCs w:val="24"/>
          <w:u w:val="none"/>
          <w14:textFill>
            <w14:solidFill>
              <w14:schemeClr w14:val="tx1"/>
            </w14:solidFill>
          </w14:textFill>
        </w:rPr>
        <w:t xml:space="preserve"> 混凝土结构，按下列规则分别评分并累计：</w:t>
      </w:r>
    </w:p>
    <w:p w14:paraId="5EE51AA6">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7"/>
          <w:sz w:val="24"/>
          <w:szCs w:val="24"/>
          <w:u w:val="none"/>
          <w14:textFill>
            <w14:solidFill>
              <w14:schemeClr w14:val="tx1"/>
            </w14:solidFill>
          </w14:textFill>
        </w:rPr>
        <w:t>400</w:t>
      </w:r>
      <w:r>
        <w:rPr>
          <w:rFonts w:hint="default" w:ascii="Times New Roman" w:hAnsi="Times New Roman" w:cs="Times New Roman"/>
          <w:color w:val="000000" w:themeColor="text1"/>
          <w:sz w:val="24"/>
          <w:szCs w:val="24"/>
          <w:u w:val="none"/>
          <w14:textFill>
            <w14:solidFill>
              <w14:schemeClr w14:val="tx1"/>
            </w14:solidFill>
          </w14:textFill>
        </w:rPr>
        <w:t>MPa</w:t>
      </w:r>
      <w:r>
        <w:rPr>
          <w:rFonts w:hint="default" w:ascii="Times New Roman" w:hAnsi="Times New Roman" w:cs="Times New Roman"/>
          <w:color w:val="000000" w:themeColor="text1"/>
          <w:spacing w:val="7"/>
          <w:sz w:val="24"/>
          <w:szCs w:val="24"/>
          <w:u w:val="none"/>
          <w14:textFill>
            <w14:solidFill>
              <w14:schemeClr w14:val="tx1"/>
            </w14:solidFill>
          </w14:textFill>
        </w:rPr>
        <w:t>级及以上强度等级钢筋应用比例达到8</w:t>
      </w:r>
      <w:r>
        <w:rPr>
          <w:rFonts w:hint="default" w:ascii="Times New Roman" w:hAnsi="Times New Roman" w:cs="Times New Roman"/>
          <w:color w:val="000000" w:themeColor="text1"/>
          <w:spacing w:val="6"/>
          <w:sz w:val="24"/>
          <w:szCs w:val="24"/>
          <w:u w:val="none"/>
          <w14:textFill>
            <w14:solidFill>
              <w14:schemeClr w14:val="tx1"/>
            </w14:solidFill>
          </w14:textFill>
        </w:rPr>
        <w:t>5%</w:t>
      </w:r>
      <w:r>
        <w:rPr>
          <w:rFonts w:hint="default" w:ascii="Times New Roman" w:hAnsi="Times New Roman" w:cs="Times New Roman"/>
          <w:color w:val="000000" w:themeColor="text1"/>
          <w:spacing w:val="6"/>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5"/>
          <w:sz w:val="24"/>
          <w:szCs w:val="24"/>
          <w:u w:val="none"/>
          <w14:textFill>
            <w14:solidFill>
              <w14:schemeClr w14:val="tx1"/>
            </w14:solidFill>
          </w14:textFill>
        </w:rPr>
        <w:t>得5分；</w:t>
      </w:r>
    </w:p>
    <w:p w14:paraId="1533C77E">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
          <w:sz w:val="24"/>
          <w:szCs w:val="24"/>
          <w:u w:val="none"/>
          <w14:textFill>
            <w14:solidFill>
              <w14:schemeClr w14:val="tx1"/>
            </w14:solidFill>
          </w14:textFill>
        </w:rPr>
        <w:t>混凝土竖向承重结构采用强度等级不小于C50</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混凝土</w:t>
      </w:r>
      <w:r>
        <w:rPr>
          <w:rFonts w:hint="default" w:ascii="Times New Roman" w:hAnsi="Times New Roman" w:cs="Times New Roman"/>
          <w:color w:val="000000" w:themeColor="text1"/>
          <w:spacing w:val="3"/>
          <w:sz w:val="24"/>
          <w:szCs w:val="24"/>
          <w:u w:val="none"/>
          <w14:textFill>
            <w14:solidFill>
              <w14:schemeClr w14:val="tx1"/>
            </w14:solidFill>
          </w14:textFill>
        </w:rPr>
        <w:t>用量占竖向承重结构中混凝土总量的比例达到50%</w:t>
      </w:r>
      <w:r>
        <w:rPr>
          <w:rFonts w:hint="default" w:ascii="Times New Roman" w:hAnsi="Times New Roman" w:cs="Times New Roman"/>
          <w:color w:val="000000" w:themeColor="text1"/>
          <w:spacing w:val="3"/>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5"/>
          <w:sz w:val="24"/>
          <w:szCs w:val="24"/>
          <w:u w:val="none"/>
          <w14:textFill>
            <w14:solidFill>
              <w14:schemeClr w14:val="tx1"/>
            </w14:solidFill>
          </w14:textFill>
        </w:rPr>
        <w:t xml:space="preserve"> 得5分。</w:t>
      </w:r>
    </w:p>
    <w:p w14:paraId="766AD7B2">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2"/>
          <w:sz w:val="24"/>
          <w:szCs w:val="24"/>
          <w:u w:val="none"/>
          <w14:textFill>
            <w14:solidFill>
              <w14:schemeClr w14:val="tx1"/>
            </w14:solidFill>
          </w14:textFill>
        </w:rPr>
        <w:t xml:space="preserve"> 钢结构，按下列规则分别评分并累计：</w:t>
      </w:r>
    </w:p>
    <w:p w14:paraId="1EF13407">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 xml:space="preserve">Q355级及以上高强钢材用量占钢材总量的比例达到 </w:t>
      </w:r>
      <w:r>
        <w:rPr>
          <w:rFonts w:hint="default" w:ascii="Times New Roman" w:hAnsi="Times New Roman" w:cs="Times New Roman"/>
          <w:color w:val="000000" w:themeColor="text1"/>
          <w:spacing w:val="28"/>
          <w:sz w:val="24"/>
          <w:szCs w:val="24"/>
          <w:u w:val="none"/>
          <w14:textFill>
            <w14:solidFill>
              <w14:schemeClr w14:val="tx1"/>
            </w14:solidFill>
          </w14:textFill>
        </w:rPr>
        <w:t>50%</w:t>
      </w:r>
      <w:r>
        <w:rPr>
          <w:rFonts w:hint="default" w:ascii="Times New Roman" w:hAnsi="Times New Roman" w:cs="Times New Roman"/>
          <w:color w:val="000000" w:themeColor="text1"/>
          <w:spacing w:val="28"/>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8"/>
          <w:sz w:val="24"/>
          <w:szCs w:val="24"/>
          <w:u w:val="none"/>
          <w14:textFill>
            <w14:solidFill>
              <w14:schemeClr w14:val="tx1"/>
            </w14:solidFill>
          </w14:textFill>
        </w:rPr>
        <w:t>得3分；达到70%</w:t>
      </w:r>
      <w:r>
        <w:rPr>
          <w:rFonts w:hint="default" w:ascii="Times New Roman" w:hAnsi="Times New Roman" w:cs="Times New Roman"/>
          <w:color w:val="000000" w:themeColor="text1"/>
          <w:spacing w:val="28"/>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8"/>
          <w:sz w:val="24"/>
          <w:szCs w:val="24"/>
          <w:u w:val="none"/>
          <w14:textFill>
            <w14:solidFill>
              <w14:schemeClr w14:val="tx1"/>
            </w14:solidFill>
          </w14:textFill>
        </w:rPr>
        <w:t>得4分；</w:t>
      </w:r>
    </w:p>
    <w:p w14:paraId="6D890C4E">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螺栓连接等非现场焊接节点占现场全部连接、拼接节</w:t>
      </w:r>
      <w:r>
        <w:rPr>
          <w:rFonts w:hint="default" w:ascii="Times New Roman" w:hAnsi="Times New Roman" w:cs="Times New Roman"/>
          <w:color w:val="000000" w:themeColor="text1"/>
          <w:spacing w:val="10"/>
          <w:sz w:val="24"/>
          <w:szCs w:val="24"/>
          <w:u w:val="none"/>
          <w14:textFill>
            <w14:solidFill>
              <w14:schemeClr w14:val="tx1"/>
            </w14:solidFill>
          </w14:textFill>
        </w:rPr>
        <w:t>点的数量比例达到50%</w:t>
      </w:r>
      <w:r>
        <w:rPr>
          <w:rFonts w:hint="default" w:ascii="Times New Roman" w:hAnsi="Times New Roman" w:cs="Times New Roman"/>
          <w:color w:val="000000" w:themeColor="text1"/>
          <w:spacing w:val="10"/>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0"/>
          <w:sz w:val="24"/>
          <w:szCs w:val="24"/>
          <w:u w:val="none"/>
          <w14:textFill>
            <w14:solidFill>
              <w14:schemeClr w14:val="tx1"/>
            </w14:solidFill>
          </w14:textFill>
        </w:rPr>
        <w:t>得4分；</w:t>
      </w:r>
    </w:p>
    <w:p w14:paraId="600CA9C1">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采用施工时免支撑的楼屋面板，得2分。</w:t>
      </w:r>
    </w:p>
    <w:p w14:paraId="36612C1E">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bCs/>
          <w:color w:val="000000" w:themeColor="text1"/>
          <w:spacing w:val="-9"/>
          <w:sz w:val="24"/>
          <w:szCs w:val="24"/>
          <w:u w:val="none"/>
          <w14:textFill>
            <w14:solidFill>
              <w14:schemeClr w14:val="tx1"/>
            </w14:solidFill>
          </w14:textFill>
        </w:rPr>
        <w:t>混合结构：对其混凝土结构部分、钢结构部</w:t>
      </w:r>
      <w:r>
        <w:rPr>
          <w:rFonts w:hint="default" w:ascii="Times New Roman" w:hAnsi="Times New Roman" w:cs="Times New Roman"/>
          <w:bCs/>
          <w:color w:val="000000" w:themeColor="text1"/>
          <w:spacing w:val="-10"/>
          <w:sz w:val="24"/>
          <w:szCs w:val="24"/>
          <w:u w:val="none"/>
          <w14:textFill>
            <w14:solidFill>
              <w14:schemeClr w14:val="tx1"/>
            </w14:solidFill>
          </w14:textFill>
        </w:rPr>
        <w:t>分，分别按</w:t>
      </w:r>
      <w:r>
        <w:rPr>
          <w:rFonts w:hint="default" w:ascii="Times New Roman" w:hAnsi="Times New Roman" w:cs="Times New Roman"/>
          <w:color w:val="000000" w:themeColor="text1"/>
          <w:spacing w:val="-3"/>
          <w:sz w:val="24"/>
          <w:szCs w:val="24"/>
          <w:u w:val="none"/>
          <w14:textFill>
            <w14:solidFill>
              <w14:schemeClr w14:val="tx1"/>
            </w14:solidFill>
          </w14:textFill>
        </w:rPr>
        <w:t>本条第1款、第2款进行评价，得分取各项得分的平均值。</w:t>
      </w:r>
    </w:p>
    <w:p w14:paraId="03BFC123">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7.2.16 </w:t>
      </w:r>
      <w:r>
        <w:rPr>
          <w:rFonts w:hint="default" w:ascii="Times New Roman" w:hAnsi="Times New Roman" w:cs="Times New Roman"/>
          <w:bCs/>
          <w:color w:val="000000" w:themeColor="text1"/>
          <w:spacing w:val="-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建筑装修选用工业化内装部品，评价总</w:t>
      </w:r>
      <w:r>
        <w:rPr>
          <w:rFonts w:hint="default" w:ascii="Times New Roman" w:hAnsi="Times New Roman" w:cs="Times New Roman"/>
          <w:color w:val="000000" w:themeColor="text1"/>
          <w:spacing w:val="-5"/>
          <w:sz w:val="24"/>
          <w:szCs w:val="24"/>
          <w:u w:val="none"/>
          <w14:textFill>
            <w14:solidFill>
              <w14:schemeClr w14:val="tx1"/>
            </w14:solidFill>
          </w14:textFill>
        </w:rPr>
        <w:t>分值为8分。建</w:t>
      </w:r>
      <w:r>
        <w:rPr>
          <w:rFonts w:hint="default" w:ascii="Times New Roman" w:hAnsi="Times New Roman" w:cs="Times New Roman"/>
          <w:color w:val="000000" w:themeColor="text1"/>
          <w:sz w:val="24"/>
          <w:szCs w:val="24"/>
          <w:u w:val="none"/>
          <w14:textFill>
            <w14:solidFill>
              <w14:schemeClr w14:val="tx1"/>
            </w14:solidFill>
          </w14:textFill>
        </w:rPr>
        <w:t>筑装修选用工业化内装部品占同类部品用量比例达到50%以上</w:t>
      </w:r>
      <w:r>
        <w:rPr>
          <w:rFonts w:hint="default" w:ascii="Times New Roman" w:hAnsi="Times New Roman" w:cs="Times New Roman"/>
          <w:color w:val="000000" w:themeColor="text1"/>
          <w:spacing w:val="7"/>
          <w:sz w:val="24"/>
          <w:szCs w:val="24"/>
          <w:u w:val="none"/>
          <w14:textFill>
            <w14:solidFill>
              <w14:schemeClr w14:val="tx1"/>
            </w14:solidFill>
          </w14:textFill>
        </w:rPr>
        <w:t>的部品种类，达到1种，得3分；达到3种，得5分；达到3种</w:t>
      </w:r>
      <w:r>
        <w:rPr>
          <w:rFonts w:hint="default" w:ascii="Times New Roman" w:hAnsi="Times New Roman" w:cs="Times New Roman"/>
          <w:color w:val="000000" w:themeColor="text1"/>
          <w:sz w:val="24"/>
          <w:szCs w:val="24"/>
          <w:u w:val="none"/>
          <w14:textFill>
            <w14:solidFill>
              <w14:schemeClr w14:val="tx1"/>
            </w14:solidFill>
          </w14:textFill>
        </w:rPr>
        <w:t>以上</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得8分。</w:t>
      </w:r>
    </w:p>
    <w:p w14:paraId="2C509348">
      <w:pPr>
        <w:spacing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7.2.17 </w:t>
      </w:r>
      <w:r>
        <w:rPr>
          <w:rFonts w:hint="default" w:ascii="Times New Roman" w:hAnsi="Times New Roman" w:cs="Times New Roman"/>
          <w:bCs/>
          <w:color w:val="000000" w:themeColor="text1"/>
          <w:spacing w:val="-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选用可再循环材料、可再利用材料及利废建材，</w:t>
      </w:r>
      <w:r>
        <w:rPr>
          <w:rFonts w:hint="default" w:ascii="Times New Roman" w:hAnsi="Times New Roman" w:cs="Times New Roman"/>
          <w:color w:val="000000" w:themeColor="text1"/>
          <w:spacing w:val="-8"/>
          <w:sz w:val="24"/>
          <w:szCs w:val="24"/>
          <w:u w:val="none"/>
          <w14:textFill>
            <w14:solidFill>
              <w14:schemeClr w14:val="tx1"/>
            </w14:solidFill>
          </w14:textFill>
        </w:rPr>
        <w:t>评价总</w:t>
      </w:r>
      <w:r>
        <w:rPr>
          <w:rFonts w:hint="default" w:ascii="Times New Roman" w:hAnsi="Times New Roman" w:cs="Times New Roman"/>
          <w:color w:val="000000" w:themeColor="text1"/>
          <w:spacing w:val="-7"/>
          <w:sz w:val="24"/>
          <w:szCs w:val="24"/>
          <w:u w:val="none"/>
          <w14:textFill>
            <w14:solidFill>
              <w14:schemeClr w14:val="tx1"/>
            </w14:solidFill>
          </w14:textFill>
        </w:rPr>
        <w:t>分值为12分，并按下列规则分别评分并累计：</w:t>
      </w:r>
    </w:p>
    <w:p w14:paraId="5FAB3E86">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bCs/>
          <w:color w:val="000000" w:themeColor="text1"/>
          <w:spacing w:val="-1"/>
          <w:sz w:val="24"/>
          <w:szCs w:val="24"/>
          <w:u w:val="none"/>
          <w14:textFill>
            <w14:solidFill>
              <w14:schemeClr w14:val="tx1"/>
            </w14:solidFill>
          </w14:textFill>
        </w:rPr>
        <w:t>可再循环材料和可再利用材料用量比例，按下列规则</w:t>
      </w:r>
      <w:r>
        <w:rPr>
          <w:rFonts w:hint="default" w:ascii="Times New Roman" w:hAnsi="Times New Roman" w:cs="Times New Roman"/>
          <w:color w:val="000000" w:themeColor="text1"/>
          <w:spacing w:val="-13"/>
          <w:sz w:val="24"/>
          <w:szCs w:val="24"/>
          <w:u w:val="none"/>
          <w14:textFill>
            <w14:solidFill>
              <w14:schemeClr w14:val="tx1"/>
            </w14:solidFill>
          </w14:textFill>
        </w:rPr>
        <w:t>评分：</w:t>
      </w:r>
    </w:p>
    <w:p w14:paraId="10B9EC42">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5"/>
          <w:sz w:val="24"/>
          <w:szCs w:val="24"/>
          <w:u w:val="none"/>
          <w14:textFill>
            <w14:solidFill>
              <w14:schemeClr w14:val="tx1"/>
            </w14:solidFill>
          </w14:textFill>
        </w:rPr>
        <w:t>住宅建筑达到6%或公共建筑达到10%</w:t>
      </w:r>
      <w:r>
        <w:rPr>
          <w:rFonts w:hint="default" w:ascii="Times New Roman" w:hAnsi="Times New Roman" w:cs="Times New Roman"/>
          <w:color w:val="000000" w:themeColor="text1"/>
          <w:spacing w:val="15"/>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5"/>
          <w:sz w:val="24"/>
          <w:szCs w:val="24"/>
          <w:u w:val="none"/>
          <w14:textFill>
            <w14:solidFill>
              <w14:schemeClr w14:val="tx1"/>
            </w14:solidFill>
          </w14:textFill>
        </w:rPr>
        <w:t>得3分。</w:t>
      </w:r>
    </w:p>
    <w:p w14:paraId="5F6CCB19">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4"/>
          <w:sz w:val="24"/>
          <w:szCs w:val="24"/>
          <w:u w:val="none"/>
          <w14:textFill>
            <w14:solidFill>
              <w14:schemeClr w14:val="tx1"/>
            </w14:solidFill>
          </w14:textFill>
        </w:rPr>
        <w:t>住宅建筑达到10%或公共建筑达到15%</w:t>
      </w:r>
      <w:r>
        <w:rPr>
          <w:rFonts w:hint="default" w:ascii="Times New Roman" w:hAnsi="Times New Roman" w:cs="Times New Roman"/>
          <w:color w:val="000000" w:themeColor="text1"/>
          <w:spacing w:val="14"/>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4"/>
          <w:sz w:val="24"/>
          <w:szCs w:val="24"/>
          <w:u w:val="none"/>
          <w14:textFill>
            <w14:solidFill>
              <w14:schemeClr w14:val="tx1"/>
            </w14:solidFill>
          </w14:textFill>
        </w:rPr>
        <w:t>得6分。</w:t>
      </w:r>
    </w:p>
    <w:p w14:paraId="341393EE">
      <w:pPr>
        <w:spacing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2"/>
          <w:sz w:val="24"/>
          <w:szCs w:val="24"/>
          <w:u w:val="none"/>
          <w14:textFill>
            <w14:solidFill>
              <w14:schemeClr w14:val="tx1"/>
            </w14:solidFill>
          </w14:textFill>
        </w:rPr>
        <w:t>利废建材选用及其用量比例，按下列规则评分：</w:t>
      </w:r>
    </w:p>
    <w:p w14:paraId="2669C48B">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采用一种利废建材，其占同类建材的用量比例不低于</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4"/>
          <w:sz w:val="24"/>
          <w:szCs w:val="24"/>
          <w:u w:val="none"/>
          <w14:textFill>
            <w14:solidFill>
              <w14:schemeClr w14:val="tx1"/>
            </w14:solidFill>
          </w14:textFill>
        </w:rPr>
        <w:t>50%</w:t>
      </w:r>
      <w:r>
        <w:rPr>
          <w:rFonts w:hint="default" w:ascii="Times New Roman" w:hAnsi="Times New Roman" w:cs="Times New Roman"/>
          <w:color w:val="000000" w:themeColor="text1"/>
          <w:spacing w:val="-14"/>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4"/>
          <w:sz w:val="24"/>
          <w:szCs w:val="24"/>
          <w:u w:val="none"/>
          <w14:textFill>
            <w14:solidFill>
              <w14:schemeClr w14:val="tx1"/>
            </w14:solidFill>
          </w14:textFill>
        </w:rPr>
        <w:t>得3分。</w:t>
      </w:r>
    </w:p>
    <w:p w14:paraId="2F972BD2">
      <w:pPr>
        <w:spacing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选用两种及以上的利废建材，每一种占同</w:t>
      </w:r>
      <w:r>
        <w:rPr>
          <w:rFonts w:hint="default" w:ascii="Times New Roman" w:hAnsi="Times New Roman" w:cs="Times New Roman"/>
          <w:color w:val="000000" w:themeColor="text1"/>
          <w:spacing w:val="-3"/>
          <w:sz w:val="24"/>
          <w:szCs w:val="24"/>
          <w:u w:val="none"/>
          <w14:textFill>
            <w14:solidFill>
              <w14:schemeClr w14:val="tx1"/>
            </w14:solidFill>
          </w14:textFill>
        </w:rPr>
        <w:t>类建材的用</w:t>
      </w:r>
      <w:r>
        <w:rPr>
          <w:rFonts w:hint="default" w:ascii="Times New Roman" w:hAnsi="Times New Roman" w:cs="Times New Roman"/>
          <w:color w:val="000000" w:themeColor="text1"/>
          <w:spacing w:val="13"/>
          <w:sz w:val="24"/>
          <w:szCs w:val="24"/>
          <w:u w:val="none"/>
          <w14:textFill>
            <w14:solidFill>
              <w14:schemeClr w14:val="tx1"/>
            </w14:solidFill>
          </w14:textFill>
        </w:rPr>
        <w:t>量比例均不低于30%</w:t>
      </w:r>
      <w:r>
        <w:rPr>
          <w:rFonts w:hint="default" w:ascii="Times New Roman" w:hAnsi="Times New Roman" w:cs="Times New Roman"/>
          <w:color w:val="000000" w:themeColor="text1"/>
          <w:spacing w:val="13"/>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3"/>
          <w:sz w:val="24"/>
          <w:szCs w:val="24"/>
          <w:u w:val="none"/>
          <w14:textFill>
            <w14:solidFill>
              <w14:schemeClr w14:val="tx1"/>
            </w14:solidFill>
          </w14:textFill>
        </w:rPr>
        <w:t>得6分。</w:t>
      </w:r>
    </w:p>
    <w:p w14:paraId="1C461D1D">
      <w:pPr>
        <w:spacing w:line="360" w:lineRule="auto"/>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7.2.18</w:t>
      </w:r>
      <w:r>
        <w:rPr>
          <w:rFonts w:hint="default" w:ascii="Times New Roman" w:hAnsi="Times New Roman" w:cs="Times New Roman"/>
          <w:color w:val="000000" w:themeColor="text1"/>
          <w:spacing w:val="6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选用绿色建材，评价总分值为12分。绿色建材应用比</w:t>
      </w:r>
      <w:r>
        <w:rPr>
          <w:rFonts w:hint="default" w:ascii="Times New Roman" w:hAnsi="Times New Roman" w:cs="Times New Roman"/>
          <w:color w:val="000000" w:themeColor="text1"/>
          <w:spacing w:val="27"/>
          <w:sz w:val="24"/>
          <w:szCs w:val="24"/>
          <w:u w:val="none"/>
          <w14:textFill>
            <w14:solidFill>
              <w14:schemeClr w14:val="tx1"/>
            </w14:solidFill>
          </w14:textFill>
        </w:rPr>
        <w:t>例不低于40%</w:t>
      </w:r>
      <w:r>
        <w:rPr>
          <w:rFonts w:hint="default" w:ascii="Times New Roman" w:hAnsi="Times New Roman" w:cs="Times New Roman"/>
          <w:color w:val="000000" w:themeColor="text1"/>
          <w:spacing w:val="2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7"/>
          <w:sz w:val="24"/>
          <w:szCs w:val="24"/>
          <w:u w:val="none"/>
          <w14:textFill>
            <w14:solidFill>
              <w14:schemeClr w14:val="tx1"/>
            </w14:solidFill>
          </w14:textFill>
        </w:rPr>
        <w:t>得4分；不低于50%</w:t>
      </w:r>
      <w:r>
        <w:rPr>
          <w:rFonts w:hint="default" w:ascii="Times New Roman" w:hAnsi="Times New Roman" w:cs="Times New Roman"/>
          <w:color w:val="000000" w:themeColor="text1"/>
          <w:spacing w:val="2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7"/>
          <w:sz w:val="24"/>
          <w:szCs w:val="24"/>
          <w:u w:val="none"/>
          <w14:textFill>
            <w14:solidFill>
              <w14:schemeClr w14:val="tx1"/>
            </w14:solidFill>
          </w14:textFill>
        </w:rPr>
        <w:t>得8分</w:t>
      </w:r>
      <w:r>
        <w:rPr>
          <w:rFonts w:hint="eastAsia" w:ascii="Times New Roman" w:hAnsi="Times New Roman" w:cs="Times New Roman"/>
          <w:color w:val="000000" w:themeColor="text1"/>
          <w:spacing w:val="2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27"/>
          <w:sz w:val="24"/>
          <w:szCs w:val="24"/>
          <w:u w:val="none"/>
          <w14:textFill>
            <w14:solidFill>
              <w14:schemeClr w14:val="tx1"/>
            </w14:solidFill>
          </w14:textFill>
        </w:rPr>
        <w:t>不低于70%</w:t>
      </w:r>
      <w:r>
        <w:rPr>
          <w:rFonts w:hint="eastAsia" w:ascii="Times New Roman" w:hAnsi="Times New Roman" w:cs="Times New Roman"/>
          <w:color w:val="000000" w:themeColor="text1"/>
          <w:spacing w:val="2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得12分。</w:t>
      </w:r>
      <w:r>
        <w:rPr>
          <w:rFonts w:hint="default" w:ascii="Times New Roman" w:hAnsi="Times New Roman" w:cs="Times New Roman"/>
          <w:color w:val="000000" w:themeColor="text1"/>
          <w:spacing w:val="8"/>
          <w:sz w:val="24"/>
          <w:szCs w:val="24"/>
          <w:u w:val="none"/>
          <w14:textFill>
            <w14:solidFill>
              <w14:schemeClr w14:val="tx1"/>
            </w14:solidFill>
          </w14:textFill>
        </w:rPr>
        <w:br w:type="page"/>
      </w:r>
    </w:p>
    <w:p w14:paraId="5F84ACB4">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90" w:name="_Toc25619"/>
      <w:bookmarkStart w:id="91" w:name="_Toc204247732"/>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8 环境宜居</w:t>
      </w:r>
      <w:bookmarkEnd w:id="90"/>
      <w:bookmarkEnd w:id="91"/>
    </w:p>
    <w:p w14:paraId="613DDC25">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92" w:name="bookmark33"/>
      <w:bookmarkEnd w:id="92"/>
      <w:bookmarkStart w:id="93" w:name="_Toc11853"/>
      <w:bookmarkStart w:id="94" w:name="_Toc204247733"/>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8.1 控制项</w:t>
      </w:r>
      <w:bookmarkEnd w:id="93"/>
      <w:bookmarkEnd w:id="94"/>
    </w:p>
    <w:p w14:paraId="099A4DB0">
      <w:pPr>
        <w:spacing w:before="208" w:line="360" w:lineRule="auto"/>
        <w:ind w:left="115" w:right="82"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8.1.1</w:t>
      </w:r>
      <w:r>
        <w:rPr>
          <w:rFonts w:hint="default" w:ascii="Times New Roman" w:hAnsi="Times New Roman" w:cs="Times New Roman"/>
          <w:color w:val="000000" w:themeColor="text1"/>
          <w:spacing w:val="7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建筑规划布局应满足日照标准，且不得降低周边建筑的</w:t>
      </w:r>
      <w:r>
        <w:rPr>
          <w:rFonts w:hint="default" w:ascii="Times New Roman" w:hAnsi="Times New Roman" w:cs="Times New Roman"/>
          <w:color w:val="000000" w:themeColor="text1"/>
          <w:spacing w:val="-16"/>
          <w:sz w:val="24"/>
          <w:szCs w:val="24"/>
          <w:u w:val="none"/>
          <w14:textFill>
            <w14:solidFill>
              <w14:schemeClr w14:val="tx1"/>
            </w14:solidFill>
          </w14:textFill>
        </w:rPr>
        <w:t>日照标准。</w:t>
      </w:r>
    </w:p>
    <w:p w14:paraId="1A04DE92">
      <w:pPr>
        <w:spacing w:before="77" w:line="360" w:lineRule="auto"/>
        <w:ind w:left="118"/>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8.1.2</w:t>
      </w:r>
      <w:r>
        <w:rPr>
          <w:rFonts w:hint="default" w:ascii="Times New Roman" w:hAnsi="Times New Roman" w:cs="Times New Roman"/>
          <w:color w:val="000000" w:themeColor="text1"/>
          <w:spacing w:val="6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9"/>
          <w:sz w:val="24"/>
          <w:szCs w:val="24"/>
          <w:u w:val="none"/>
          <w14:textFill>
            <w14:solidFill>
              <w14:schemeClr w14:val="tx1"/>
            </w14:solidFill>
          </w14:textFill>
        </w:rPr>
        <w:t>室外热环境应满足国家现行有关</w:t>
      </w:r>
      <w:r>
        <w:rPr>
          <w:rFonts w:hint="default" w:ascii="Times New Roman" w:hAnsi="Times New Roman" w:cs="Times New Roman"/>
          <w:color w:val="000000" w:themeColor="text1"/>
          <w:spacing w:val="-10"/>
          <w:sz w:val="24"/>
          <w:szCs w:val="24"/>
          <w:u w:val="none"/>
          <w14:textFill>
            <w14:solidFill>
              <w14:schemeClr w14:val="tx1"/>
            </w14:solidFill>
          </w14:textFill>
        </w:rPr>
        <w:t>标准的要求。</w:t>
      </w:r>
    </w:p>
    <w:p w14:paraId="4DFC64A4">
      <w:pPr>
        <w:spacing w:before="38" w:line="360" w:lineRule="auto"/>
        <w:ind w:left="115" w:right="90"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8.1.3</w:t>
      </w:r>
      <w:r>
        <w:rPr>
          <w:rFonts w:hint="default" w:ascii="Times New Roman" w:hAnsi="Times New Roman" w:cs="Times New Roman"/>
          <w:color w:val="000000" w:themeColor="text1"/>
          <w:spacing w:val="7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配建的绿地应符合所在地城乡规划</w:t>
      </w:r>
      <w:r>
        <w:rPr>
          <w:rFonts w:hint="default" w:ascii="Times New Roman" w:hAnsi="Times New Roman" w:cs="Times New Roman"/>
          <w:color w:val="000000" w:themeColor="text1"/>
          <w:spacing w:val="-7"/>
          <w:sz w:val="24"/>
          <w:szCs w:val="24"/>
          <w:u w:val="none"/>
          <w14:textFill>
            <w14:solidFill>
              <w14:schemeClr w14:val="tx1"/>
            </w14:solidFill>
          </w14:textFill>
        </w:rPr>
        <w:t>的要求，应合理选择</w:t>
      </w:r>
      <w:r>
        <w:rPr>
          <w:rFonts w:hint="default" w:ascii="Times New Roman" w:hAnsi="Times New Roman" w:cs="Times New Roman"/>
          <w:color w:val="000000" w:themeColor="text1"/>
          <w:spacing w:val="-11"/>
          <w:sz w:val="24"/>
          <w:szCs w:val="24"/>
          <w:u w:val="none"/>
          <w14:textFill>
            <w14:solidFill>
              <w14:schemeClr w14:val="tx1"/>
            </w14:solidFill>
          </w14:textFill>
        </w:rPr>
        <w:t>绿化方式，植物种植应适应当地气候和土壤，且应无毒</w:t>
      </w:r>
      <w:r>
        <w:rPr>
          <w:rFonts w:hint="default" w:ascii="Times New Roman" w:hAnsi="Times New Roman" w:cs="Times New Roman"/>
          <w:color w:val="000000" w:themeColor="text1"/>
          <w:spacing w:val="-12"/>
          <w:sz w:val="24"/>
          <w:szCs w:val="24"/>
          <w:u w:val="none"/>
          <w14:textFill>
            <w14:solidFill>
              <w14:schemeClr w14:val="tx1"/>
            </w14:solidFill>
          </w14:textFill>
        </w:rPr>
        <w:t>害、易维</w:t>
      </w:r>
      <w:r>
        <w:rPr>
          <w:rFonts w:hint="default" w:ascii="Times New Roman" w:hAnsi="Times New Roman" w:cs="Times New Roman"/>
          <w:color w:val="000000" w:themeColor="text1"/>
          <w:spacing w:val="-11"/>
          <w:sz w:val="24"/>
          <w:szCs w:val="24"/>
          <w:u w:val="none"/>
          <w14:textFill>
            <w14:solidFill>
              <w14:schemeClr w14:val="tx1"/>
            </w14:solidFill>
          </w14:textFill>
        </w:rPr>
        <w:t>护，种植区域覆土深度和排水能力应满足植物生长需求</w:t>
      </w:r>
      <w:r>
        <w:rPr>
          <w:rFonts w:hint="default" w:ascii="Times New Roman" w:hAnsi="Times New Roman" w:cs="Times New Roman"/>
          <w:color w:val="000000" w:themeColor="text1"/>
          <w:spacing w:val="-12"/>
          <w:sz w:val="24"/>
          <w:szCs w:val="24"/>
          <w:u w:val="none"/>
          <w14:textFill>
            <w14:solidFill>
              <w14:schemeClr w14:val="tx1"/>
            </w14:solidFill>
          </w14:textFill>
        </w:rPr>
        <w:t>，并应采</w:t>
      </w:r>
      <w:r>
        <w:rPr>
          <w:rFonts w:hint="default" w:ascii="Times New Roman" w:hAnsi="Times New Roman" w:cs="Times New Roman"/>
          <w:color w:val="000000" w:themeColor="text1"/>
          <w:spacing w:val="-11"/>
          <w:sz w:val="24"/>
          <w:szCs w:val="24"/>
          <w:u w:val="none"/>
          <w14:textFill>
            <w14:solidFill>
              <w14:schemeClr w14:val="tx1"/>
            </w14:solidFill>
          </w14:textFill>
        </w:rPr>
        <w:t>用复层绿化方式。</w:t>
      </w:r>
    </w:p>
    <w:p w14:paraId="352C1672">
      <w:pPr>
        <w:spacing w:before="70" w:line="360" w:lineRule="auto"/>
        <w:ind w:left="115" w:right="89"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8.1.4</w:t>
      </w:r>
      <w:r>
        <w:rPr>
          <w:rFonts w:hint="default" w:ascii="Times New Roman" w:hAnsi="Times New Roman" w:cs="Times New Roman"/>
          <w:color w:val="000000" w:themeColor="text1"/>
          <w:spacing w:val="9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7"/>
          <w:sz w:val="24"/>
          <w:szCs w:val="24"/>
          <w:u w:val="none"/>
          <w14:textFill>
            <w14:solidFill>
              <w14:schemeClr w14:val="tx1"/>
            </w14:solidFill>
          </w14:textFill>
        </w:rPr>
        <w:t>场地的竖向设计应有利于雨水的收集或排放，应有效组织雨水的下渗、滞蓄或再利用；对大于10hm</w:t>
      </w:r>
      <w:r>
        <w:rPr>
          <w:rFonts w:hint="default" w:ascii="Times New Roman" w:hAnsi="Times New Roman" w:cs="Times New Roman"/>
          <w:color w:val="000000" w:themeColor="text1"/>
          <w:spacing w:val="-8"/>
          <w:sz w:val="24"/>
          <w:szCs w:val="24"/>
          <w:u w:val="none"/>
          <w14:textFill>
            <w14:solidFill>
              <w14:schemeClr w14:val="tx1"/>
            </w14:solidFill>
          </w14:textFill>
        </w:rPr>
        <w:t>²的场地应进行雨水</w:t>
      </w:r>
      <w:r>
        <w:rPr>
          <w:rFonts w:hint="default" w:ascii="Times New Roman" w:hAnsi="Times New Roman" w:cs="Times New Roman"/>
          <w:color w:val="000000" w:themeColor="text1"/>
          <w:spacing w:val="-12"/>
          <w:sz w:val="24"/>
          <w:szCs w:val="24"/>
          <w:u w:val="none"/>
          <w14:textFill>
            <w14:solidFill>
              <w14:schemeClr w14:val="tx1"/>
            </w14:solidFill>
          </w14:textFill>
        </w:rPr>
        <w:t>控制利用专项设计。</w:t>
      </w:r>
    </w:p>
    <w:p w14:paraId="2AED1925">
      <w:pPr>
        <w:spacing w:before="77" w:line="360" w:lineRule="auto"/>
        <w:ind w:left="118"/>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8.1.5</w:t>
      </w:r>
      <w:r>
        <w:rPr>
          <w:rFonts w:hint="default" w:ascii="Times New Roman" w:hAnsi="Times New Roman" w:cs="Times New Roman"/>
          <w:color w:val="000000" w:themeColor="text1"/>
          <w:spacing w:val="9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0"/>
          <w:sz w:val="24"/>
          <w:szCs w:val="24"/>
          <w:u w:val="none"/>
          <w14:textFill>
            <w14:solidFill>
              <w14:schemeClr w14:val="tx1"/>
            </w14:solidFill>
          </w14:textFill>
        </w:rPr>
        <w:t>建筑内外均应设置便于识别和使用的标识系统。</w:t>
      </w:r>
    </w:p>
    <w:p w14:paraId="483679AB">
      <w:pPr>
        <w:spacing w:before="59" w:line="360" w:lineRule="auto"/>
        <w:ind w:left="118"/>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8.1.6</w:t>
      </w:r>
      <w:r>
        <w:rPr>
          <w:rFonts w:hint="default" w:ascii="Times New Roman" w:hAnsi="Times New Roman" w:cs="Times New Roman"/>
          <w:color w:val="000000" w:themeColor="text1"/>
          <w:spacing w:val="8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9"/>
          <w:sz w:val="24"/>
          <w:szCs w:val="24"/>
          <w:u w:val="none"/>
          <w14:textFill>
            <w14:solidFill>
              <w14:schemeClr w14:val="tx1"/>
            </w14:solidFill>
          </w14:textFill>
        </w:rPr>
        <w:t>场地内不应有排放超标的污染源。</w:t>
      </w:r>
    </w:p>
    <w:p w14:paraId="4C2A5362">
      <w:pPr>
        <w:spacing w:before="48" w:line="360" w:lineRule="auto"/>
        <w:ind w:left="115" w:right="92"/>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8.1.7 </w:t>
      </w:r>
      <w:r>
        <w:rPr>
          <w:rFonts w:hint="default" w:ascii="Times New Roman" w:hAnsi="Times New Roman" w:cs="Times New Roman"/>
          <w:bCs/>
          <w:color w:val="000000" w:themeColor="text1"/>
          <w:spacing w:val="-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生活垃圾应分类收集，垃</w:t>
      </w:r>
      <w:r>
        <w:rPr>
          <w:rFonts w:hint="default" w:ascii="Times New Roman" w:hAnsi="Times New Roman" w:cs="Times New Roman"/>
          <w:color w:val="000000" w:themeColor="text1"/>
          <w:spacing w:val="-5"/>
          <w:sz w:val="24"/>
          <w:szCs w:val="24"/>
          <w:u w:val="none"/>
          <w14:textFill>
            <w14:solidFill>
              <w14:schemeClr w14:val="tx1"/>
            </w14:solidFill>
          </w14:textFill>
        </w:rPr>
        <w:t>圾容器和收集点的设置应合理</w:t>
      </w:r>
      <w:r>
        <w:rPr>
          <w:rFonts w:hint="default" w:ascii="Times New Roman" w:hAnsi="Times New Roman" w:cs="Times New Roman"/>
          <w:color w:val="000000" w:themeColor="text1"/>
          <w:spacing w:val="-12"/>
          <w:sz w:val="24"/>
          <w:szCs w:val="24"/>
          <w:u w:val="none"/>
          <w14:textFill>
            <w14:solidFill>
              <w14:schemeClr w14:val="tx1"/>
            </w14:solidFill>
          </w14:textFill>
        </w:rPr>
        <w:t>并应与周围景观协调。</w:t>
      </w:r>
    </w:p>
    <w:p w14:paraId="79D16370">
      <w:pPr>
        <w:tabs>
          <w:tab w:val="left" w:pos="115"/>
        </w:tabs>
        <w:spacing w:before="48" w:line="360" w:lineRule="auto"/>
        <w:ind w:right="92" w:firstLine="115"/>
        <w:rPr>
          <w:rFonts w:hint="default" w:ascii="Times New Roman" w:hAnsi="Times New Roman" w:cs="Times New Roman"/>
          <w:color w:val="000000" w:themeColor="text1"/>
          <w:spacing w:val="-4"/>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8.1.8</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环境宜居相关技术要求应符合现行强制性工程建设规范</w:t>
      </w:r>
      <w:r>
        <w:rPr>
          <w:rFonts w:hint="default" w:ascii="Times New Roman" w:hAnsi="Times New Roman" w:cs="Times New Roman"/>
          <w:color w:val="000000" w:themeColor="text1"/>
          <w:spacing w:val="-10"/>
          <w:sz w:val="24"/>
          <w:szCs w:val="24"/>
          <w:u w:val="none"/>
          <w14:textFill>
            <w14:solidFill>
              <w14:schemeClr w14:val="tx1"/>
            </w14:solidFill>
          </w14:textFill>
        </w:rPr>
        <w:t>《建筑环境通用规范》GB 55016、《市容环卫工程项目规范》GB</w:t>
      </w:r>
      <w:r>
        <w:rPr>
          <w:rFonts w:hint="default" w:ascii="Times New Roman" w:hAnsi="Times New Roman" w:cs="Times New Roman"/>
          <w:color w:val="000000" w:themeColor="text1"/>
          <w:spacing w:val="-12"/>
          <w:sz w:val="24"/>
          <w:szCs w:val="24"/>
          <w:u w:val="none"/>
          <w14:textFill>
            <w14:solidFill>
              <w14:schemeClr w14:val="tx1"/>
            </w14:solidFill>
          </w14:textFill>
        </w:rPr>
        <w:t>55013、《园林绿化工程项目规范》GB</w:t>
      </w:r>
      <w:r>
        <w:rPr>
          <w:rFonts w:hint="default" w:ascii="Times New Roman" w:hAnsi="Times New Roman" w:cs="Times New Roman"/>
          <w:color w:val="000000" w:themeColor="text1"/>
          <w:spacing w:val="-13"/>
          <w:sz w:val="24"/>
          <w:szCs w:val="24"/>
          <w:u w:val="none"/>
          <w14:textFill>
            <w14:solidFill>
              <w14:schemeClr w14:val="tx1"/>
            </w14:solidFill>
          </w14:textFill>
        </w:rPr>
        <w:t xml:space="preserve"> 55014、《建筑给水排水与</w:t>
      </w:r>
      <w:r>
        <w:rPr>
          <w:rFonts w:hint="default" w:ascii="Times New Roman" w:hAnsi="Times New Roman" w:cs="Times New Roman"/>
          <w:color w:val="000000" w:themeColor="text1"/>
          <w:spacing w:val="-4"/>
          <w:sz w:val="24"/>
          <w:szCs w:val="24"/>
          <w:u w:val="none"/>
          <w14:textFill>
            <w14:solidFill>
              <w14:schemeClr w14:val="tx1"/>
            </w14:solidFill>
          </w14:textFill>
        </w:rPr>
        <w:t>节水通用规范》GB 55020等的规定。</w:t>
      </w:r>
    </w:p>
    <w:p w14:paraId="64C8B5E1">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95" w:name="_Toc9216"/>
      <w:bookmarkStart w:id="96" w:name="_Toc204247734"/>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8.2 评分项</w:t>
      </w:r>
      <w:bookmarkEnd w:id="95"/>
      <w:bookmarkEnd w:id="96"/>
    </w:p>
    <w:p w14:paraId="2957ACB3">
      <w:pPr>
        <w:pStyle w:val="4"/>
        <w:spacing w:before="0" w:after="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97" w:name="bookmark35"/>
      <w:bookmarkEnd w:id="97"/>
      <w:bookmarkStart w:id="98" w:name="_Toc204247735"/>
      <w:bookmarkStart w:id="99" w:name="_Toc29236"/>
      <w:r>
        <w:rPr>
          <w:rFonts w:hint="default" w:ascii="Times New Roman" w:hAnsi="Times New Roman" w:cs="Times New Roman"/>
          <w:color w:val="000000" w:themeColor="text1"/>
          <w:sz w:val="24"/>
          <w:szCs w:val="24"/>
          <w:u w:val="none"/>
          <w:lang w:eastAsia="zh-CN"/>
          <w14:textFill>
            <w14:solidFill>
              <w14:schemeClr w14:val="tx1"/>
            </w14:solidFill>
          </w14:textFill>
        </w:rPr>
        <w:t>I 场地生态与景观</w:t>
      </w:r>
      <w:bookmarkEnd w:id="98"/>
      <w:bookmarkEnd w:id="99"/>
    </w:p>
    <w:p w14:paraId="0C3B47C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8.2.1</w:t>
      </w:r>
      <w:r>
        <w:rPr>
          <w:rFonts w:hint="default" w:ascii="Times New Roman" w:hAnsi="Times New Roman" w:cs="Times New Roman"/>
          <w:color w:val="000000" w:themeColor="text1"/>
          <w:spacing w:val="7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充分保护或修复场地生态环境，合理布局建筑及景观，</w:t>
      </w:r>
      <w:r>
        <w:rPr>
          <w:rFonts w:hint="default" w:ascii="Times New Roman" w:hAnsi="Times New Roman" w:cs="Times New Roman"/>
          <w:color w:val="000000" w:themeColor="text1"/>
          <w:spacing w:val="-7"/>
          <w:sz w:val="24"/>
          <w:szCs w:val="24"/>
          <w:u w:val="none"/>
          <w14:textFill>
            <w14:solidFill>
              <w14:schemeClr w14:val="tx1"/>
            </w14:solidFill>
          </w14:textFill>
        </w:rPr>
        <w:t>评价总分值为10分，并按下列规则评分：</w:t>
      </w:r>
    </w:p>
    <w:p w14:paraId="577028B5">
      <w:pPr>
        <w:spacing w:before="71" w:line="360" w:lineRule="auto"/>
        <w:ind w:right="101" w:firstLine="41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保护场地内原有的自然水域、湿地、植被等，保持场地</w:t>
      </w:r>
      <w:r>
        <w:rPr>
          <w:rFonts w:hint="default" w:ascii="Times New Roman" w:hAnsi="Times New Roman" w:cs="Times New Roman"/>
          <w:color w:val="000000" w:themeColor="text1"/>
          <w:spacing w:val="-8"/>
          <w:sz w:val="24"/>
          <w:szCs w:val="24"/>
          <w:u w:val="none"/>
          <w14:textFill>
            <w14:solidFill>
              <w14:schemeClr w14:val="tx1"/>
            </w14:solidFill>
          </w14:textFill>
        </w:rPr>
        <w:t>内的生态系统与场地外生态系统的连贯性，得10分。</w:t>
      </w:r>
    </w:p>
    <w:p w14:paraId="1E945319">
      <w:pPr>
        <w:spacing w:before="57" w:line="360" w:lineRule="auto"/>
        <w:ind w:left="41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采取净地表层土回收利用等生态补偿措施，得10分。</w:t>
      </w:r>
    </w:p>
    <w:p w14:paraId="2E88E3BA">
      <w:pPr>
        <w:spacing w:before="59" w:line="360" w:lineRule="auto"/>
        <w:ind w:right="81" w:firstLine="41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根据场地实际状况，采取其他生态恢复或</w:t>
      </w:r>
      <w:r>
        <w:rPr>
          <w:rFonts w:hint="default" w:ascii="Times New Roman" w:hAnsi="Times New Roman" w:cs="Times New Roman"/>
          <w:color w:val="000000" w:themeColor="text1"/>
          <w:spacing w:val="-7"/>
          <w:sz w:val="24"/>
          <w:szCs w:val="24"/>
          <w:u w:val="none"/>
          <w14:textFill>
            <w14:solidFill>
              <w14:schemeClr w14:val="tx1"/>
            </w14:solidFill>
          </w14:textFill>
        </w:rPr>
        <w:t>补偿措施，得</w:t>
      </w:r>
      <w:r>
        <w:rPr>
          <w:rFonts w:hint="default" w:ascii="Times New Roman" w:hAnsi="Times New Roman" w:cs="Times New Roman"/>
          <w:color w:val="000000" w:themeColor="text1"/>
          <w:spacing w:val="-4"/>
          <w:sz w:val="24"/>
          <w:szCs w:val="24"/>
          <w:u w:val="none"/>
          <w14:textFill>
            <w14:solidFill>
              <w14:schemeClr w14:val="tx1"/>
            </w14:solidFill>
          </w14:textFill>
        </w:rPr>
        <w:t xml:space="preserve">10分。 </w:t>
      </w:r>
    </w:p>
    <w:p w14:paraId="19885C23">
      <w:pPr>
        <w:spacing w:before="46" w:line="360" w:lineRule="auto"/>
        <w:ind w:right="91"/>
        <w:rPr>
          <w:rFonts w:hint="default" w:ascii="Times New Roman" w:hAnsi="Times New Roman" w:cs="Times New Roman"/>
          <w:color w:val="000000" w:themeColor="text1"/>
          <w:spacing w:val="-6"/>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8.2.2</w:t>
      </w:r>
      <w:r>
        <w:rPr>
          <w:rFonts w:hint="default" w:ascii="Times New Roman" w:hAnsi="Times New Roman" w:cs="Times New Roman"/>
          <w:color w:val="000000" w:themeColor="text1"/>
          <w:spacing w:val="8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规划场地地表和屋面雨水径流，对场地雨水实施外排总量控制，评价总分值为10分。场地年径流总量控制率达到 55%，得5分；达到70%</w:t>
      </w:r>
      <w:r>
        <w:rPr>
          <w:rFonts w:hint="default" w:ascii="Times New Roman" w:hAnsi="Times New Roman" w:cs="Times New Roman"/>
          <w:color w:val="000000" w:themeColor="text1"/>
          <w:spacing w:val="-6"/>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6"/>
          <w:sz w:val="24"/>
          <w:szCs w:val="24"/>
          <w:u w:val="none"/>
          <w14:textFill>
            <w14:solidFill>
              <w14:schemeClr w14:val="tx1"/>
            </w14:solidFill>
          </w14:textFill>
        </w:rPr>
        <w:t>得10分。</w:t>
      </w:r>
    </w:p>
    <w:p w14:paraId="2AA910CC">
      <w:pPr>
        <w:spacing w:before="46" w:line="360" w:lineRule="auto"/>
        <w:ind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8.2.3</w:t>
      </w:r>
      <w:r>
        <w:rPr>
          <w:rFonts w:hint="default" w:ascii="Times New Roman" w:hAnsi="Times New Roman" w:cs="Times New Roman"/>
          <w:color w:val="000000" w:themeColor="text1"/>
          <w:spacing w:val="7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3"/>
          <w:sz w:val="24"/>
          <w:szCs w:val="24"/>
          <w:u w:val="none"/>
          <w14:textFill>
            <w14:solidFill>
              <w14:schemeClr w14:val="tx1"/>
            </w14:solidFill>
          </w14:textFill>
        </w:rPr>
        <w:t>充分利用场地空间设置绿化用地，评价总分值为16分，</w:t>
      </w:r>
      <w:r>
        <w:rPr>
          <w:rFonts w:hint="default" w:ascii="Times New Roman" w:hAnsi="Times New Roman" w:cs="Times New Roman"/>
          <w:color w:val="000000" w:themeColor="text1"/>
          <w:spacing w:val="-13"/>
          <w:sz w:val="24"/>
          <w:szCs w:val="24"/>
          <w:u w:val="none"/>
          <w14:textFill>
            <w14:solidFill>
              <w14:schemeClr w14:val="tx1"/>
            </w14:solidFill>
          </w14:textFill>
        </w:rPr>
        <w:t>并按下列规则评分：</w:t>
      </w:r>
    </w:p>
    <w:p w14:paraId="52229E40">
      <w:pPr>
        <w:spacing w:before="49" w:line="360" w:lineRule="auto"/>
        <w:ind w:left="41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2"/>
          <w:sz w:val="24"/>
          <w:szCs w:val="24"/>
          <w:u w:val="none"/>
          <w14:textFill>
            <w14:solidFill>
              <w14:schemeClr w14:val="tx1"/>
            </w14:solidFill>
          </w14:textFill>
        </w:rPr>
        <w:t xml:space="preserve"> 住宅建筑按下列规则分别评分并累计：</w:t>
      </w:r>
    </w:p>
    <w:p w14:paraId="51DAADFB">
      <w:pPr>
        <w:spacing w:before="49" w:line="360" w:lineRule="auto"/>
        <w:ind w:left="413" w:firstLine="217" w:firstLineChars="1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4"/>
          <w:sz w:val="24"/>
          <w:szCs w:val="24"/>
          <w:u w:val="none"/>
          <w14:textFill>
            <w14:solidFill>
              <w14:schemeClr w14:val="tx1"/>
            </w14:solidFill>
          </w14:textFill>
        </w:rPr>
        <w:t>绿地率达到规划指标105%及以上，得10分；</w:t>
      </w:r>
    </w:p>
    <w:p w14:paraId="524E7A36">
      <w:pPr>
        <w:spacing w:before="49" w:line="360" w:lineRule="auto"/>
        <w:ind w:left="413" w:firstLine="217" w:firstLineChars="1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4"/>
          <w:sz w:val="24"/>
          <w:szCs w:val="24"/>
          <w:u w:val="none"/>
          <w14:textFill>
            <w14:solidFill>
              <w14:schemeClr w14:val="tx1"/>
            </w14:solidFill>
          </w14:textFill>
        </w:rPr>
        <w:t>住宅建筑所在居住街坊内人均集中绿地面积，按表8.2.3的规则评分，最高得6分。</w:t>
      </w:r>
    </w:p>
    <w:p w14:paraId="0FFA5EA6">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表8.2.3 住宅建筑人均集中绿地面积评分规则</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3"/>
        <w:gridCol w:w="3462"/>
        <w:gridCol w:w="1607"/>
      </w:tblGrid>
      <w:tr w14:paraId="236A7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4057" w:type="pct"/>
            <w:gridSpan w:val="2"/>
          </w:tcPr>
          <w:p w14:paraId="607697BC">
            <w:pPr>
              <w:pStyle w:val="24"/>
              <w:spacing w:before="36" w:line="360" w:lineRule="auto"/>
              <w:ind w:left="1295"/>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人均集中绿地面积</w:t>
            </w:r>
            <w: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t>Ag</w:t>
            </w:r>
            <w:r>
              <w:rPr>
                <w:rFonts w:hint="default" w:ascii="Times New Roman" w:hAnsi="Times New Roman" w:cs="Times New Roman" w:eastAsiaTheme="minorEastAsia"/>
                <w:color w:val="000000" w:themeColor="text1"/>
                <w:spacing w:val="8"/>
                <w:sz w:val="21"/>
                <w:szCs w:val="21"/>
                <w:u w:val="none"/>
                <w:lang w:eastAsia="zh-CN"/>
                <w14:textFill>
                  <w14:solidFill>
                    <w14:schemeClr w14:val="tx1"/>
                  </w14:solidFill>
                </w14:textFill>
              </w:rPr>
              <w:t>（m²/人）</w:t>
            </w:r>
          </w:p>
        </w:tc>
        <w:tc>
          <w:tcPr>
            <w:tcW w:w="943" w:type="pct"/>
            <w:vMerge w:val="restart"/>
            <w:tcBorders>
              <w:bottom w:val="nil"/>
            </w:tcBorders>
            <w:vAlign w:val="center"/>
          </w:tcPr>
          <w:p w14:paraId="613B411A">
            <w:pPr>
              <w:pStyle w:val="24"/>
              <w:spacing w:before="161" w:line="360" w:lineRule="auto"/>
              <w:ind w:left="388"/>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得分</w:t>
            </w:r>
          </w:p>
        </w:tc>
      </w:tr>
      <w:tr w14:paraId="039C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026" w:type="pct"/>
          </w:tcPr>
          <w:p w14:paraId="435764D5">
            <w:pPr>
              <w:pStyle w:val="24"/>
              <w:spacing w:before="38" w:line="360" w:lineRule="auto"/>
              <w:ind w:left="85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新区建设</w:t>
            </w:r>
          </w:p>
        </w:tc>
        <w:tc>
          <w:tcPr>
            <w:tcW w:w="2031" w:type="pct"/>
          </w:tcPr>
          <w:p w14:paraId="4D6970EA">
            <w:pPr>
              <w:pStyle w:val="24"/>
              <w:spacing w:before="38" w:line="360" w:lineRule="auto"/>
              <w:ind w:left="863"/>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旧区改建</w:t>
            </w:r>
          </w:p>
        </w:tc>
        <w:tc>
          <w:tcPr>
            <w:tcW w:w="943" w:type="pct"/>
            <w:vMerge w:val="continue"/>
            <w:tcBorders>
              <w:top w:val="nil"/>
            </w:tcBorders>
          </w:tcPr>
          <w:p w14:paraId="741D58DF">
            <w:pPr>
              <w:spacing w:line="360" w:lineRule="auto"/>
              <w:rPr>
                <w:rFonts w:hint="default" w:ascii="Times New Roman" w:hAnsi="Times New Roman" w:cs="Times New Roman"/>
                <w:color w:val="000000" w:themeColor="text1"/>
                <w:szCs w:val="21"/>
                <w:u w:val="none"/>
                <w14:textFill>
                  <w14:solidFill>
                    <w14:schemeClr w14:val="tx1"/>
                  </w14:solidFill>
                </w14:textFill>
              </w:rPr>
            </w:pPr>
          </w:p>
        </w:tc>
      </w:tr>
      <w:tr w14:paraId="256BE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2026" w:type="pct"/>
          </w:tcPr>
          <w:p w14:paraId="4DF5E1EA">
            <w:pPr>
              <w:pStyle w:val="24"/>
              <w:spacing w:before="71" w:line="360" w:lineRule="auto"/>
              <w:ind w:left="101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0.50</w:t>
            </w:r>
          </w:p>
        </w:tc>
        <w:tc>
          <w:tcPr>
            <w:tcW w:w="2031" w:type="pct"/>
          </w:tcPr>
          <w:p w14:paraId="40C7D4FD">
            <w:pPr>
              <w:pStyle w:val="24"/>
              <w:spacing w:before="71" w:line="360" w:lineRule="auto"/>
              <w:ind w:left="1024"/>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0.35</w:t>
            </w:r>
          </w:p>
        </w:tc>
        <w:tc>
          <w:tcPr>
            <w:tcW w:w="943" w:type="pct"/>
          </w:tcPr>
          <w:p w14:paraId="0D35C38C">
            <w:pPr>
              <w:pStyle w:val="24"/>
              <w:spacing w:before="71" w:line="360" w:lineRule="auto"/>
              <w:ind w:left="507"/>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2</w:t>
            </w:r>
          </w:p>
        </w:tc>
      </w:tr>
      <w:tr w14:paraId="031B7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026" w:type="pct"/>
          </w:tcPr>
          <w:p w14:paraId="0FA89521">
            <w:pPr>
              <w:pStyle w:val="24"/>
              <w:spacing w:before="37" w:line="360" w:lineRule="auto"/>
              <w:ind w:left="69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0.50&lt;Ag&lt;0.60</w:t>
            </w:r>
          </w:p>
        </w:tc>
        <w:tc>
          <w:tcPr>
            <w:tcW w:w="2031" w:type="pct"/>
          </w:tcPr>
          <w:p w14:paraId="3399A79D">
            <w:pPr>
              <w:pStyle w:val="24"/>
              <w:spacing w:before="37" w:line="360" w:lineRule="auto"/>
              <w:ind w:left="704"/>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0.35&lt;Ag&lt;0.45</w:t>
            </w:r>
          </w:p>
        </w:tc>
        <w:tc>
          <w:tcPr>
            <w:tcW w:w="943" w:type="pct"/>
          </w:tcPr>
          <w:p w14:paraId="0B6C42D8">
            <w:pPr>
              <w:pStyle w:val="24"/>
              <w:spacing w:before="83" w:line="360" w:lineRule="auto"/>
              <w:ind w:left="507"/>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position w:val="-2"/>
                <w:sz w:val="21"/>
                <w:szCs w:val="21"/>
                <w:u w:val="none"/>
                <w14:textFill>
                  <w14:solidFill>
                    <w14:schemeClr w14:val="tx1"/>
                  </w14:solidFill>
                </w14:textFill>
              </w:rPr>
              <w:t>4</w:t>
            </w:r>
          </w:p>
        </w:tc>
      </w:tr>
      <w:tr w14:paraId="106F3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2026" w:type="pct"/>
          </w:tcPr>
          <w:p w14:paraId="4BB75558">
            <w:pPr>
              <w:pStyle w:val="24"/>
              <w:spacing w:before="39" w:line="360" w:lineRule="auto"/>
              <w:ind w:left="855"/>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Ag≥0.60</w:t>
            </w:r>
          </w:p>
        </w:tc>
        <w:tc>
          <w:tcPr>
            <w:tcW w:w="2031" w:type="pct"/>
          </w:tcPr>
          <w:p w14:paraId="3F08F467">
            <w:pPr>
              <w:pStyle w:val="24"/>
              <w:spacing w:before="39" w:line="360" w:lineRule="auto"/>
              <w:ind w:left="863"/>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1"/>
                <w:sz w:val="21"/>
                <w:szCs w:val="21"/>
                <w:u w:val="none"/>
                <w14:textFill>
                  <w14:solidFill>
                    <w14:schemeClr w14:val="tx1"/>
                  </w14:solidFill>
                </w14:textFill>
              </w:rPr>
              <w:t>Ag≥0.45</w:t>
            </w:r>
          </w:p>
        </w:tc>
        <w:tc>
          <w:tcPr>
            <w:tcW w:w="943" w:type="pct"/>
          </w:tcPr>
          <w:p w14:paraId="7883207E">
            <w:pPr>
              <w:pStyle w:val="24"/>
              <w:spacing w:before="86" w:line="360" w:lineRule="auto"/>
              <w:ind w:left="507"/>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6</w:t>
            </w:r>
          </w:p>
        </w:tc>
      </w:tr>
    </w:tbl>
    <w:p w14:paraId="086089D2">
      <w:pPr>
        <w:spacing w:before="265" w:line="360" w:lineRule="auto"/>
        <w:ind w:left="41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8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1"/>
          <w:sz w:val="24"/>
          <w:szCs w:val="24"/>
          <w:u w:val="none"/>
          <w14:textFill>
            <w14:solidFill>
              <w14:schemeClr w14:val="tx1"/>
            </w14:solidFill>
          </w14:textFill>
        </w:rPr>
        <w:t>公共建筑按下列规则分别评分并累计：</w:t>
      </w:r>
    </w:p>
    <w:p w14:paraId="1AF2921D">
      <w:pPr>
        <w:spacing w:before="28" w:line="360" w:lineRule="auto"/>
        <w:ind w:left="989" w:right="101" w:hanging="3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4"/>
          <w:sz w:val="24"/>
          <w:szCs w:val="24"/>
          <w:u w:val="none"/>
          <w14:textFill>
            <w14:solidFill>
              <w14:schemeClr w14:val="tx1"/>
            </w14:solidFill>
          </w14:textFill>
        </w:rPr>
        <w:t>公共建筑绿地率达到规划指标105%及以上，得</w:t>
      </w:r>
      <w:r>
        <w:rPr>
          <w:rFonts w:hint="default" w:ascii="Times New Roman" w:hAnsi="Times New Roman" w:cs="Times New Roman"/>
          <w:color w:val="000000" w:themeColor="text1"/>
          <w:spacing w:val="-4"/>
          <w:sz w:val="24"/>
          <w:szCs w:val="24"/>
          <w:u w:val="none"/>
          <w14:textFill>
            <w14:solidFill>
              <w14:schemeClr w14:val="tx1"/>
            </w14:solidFill>
          </w14:textFill>
        </w:rPr>
        <w:t>10分；</w:t>
      </w:r>
    </w:p>
    <w:p w14:paraId="1D082F25">
      <w:pPr>
        <w:spacing w:before="67" w:line="360" w:lineRule="auto"/>
        <w:ind w:left="63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
          <w:sz w:val="24"/>
          <w:szCs w:val="24"/>
          <w:u w:val="none"/>
          <w14:textFill>
            <w14:solidFill>
              <w14:schemeClr w14:val="tx1"/>
            </w14:solidFill>
          </w14:textFill>
        </w:rPr>
        <w:t>绿地向公众开放，得6分。</w:t>
      </w:r>
    </w:p>
    <w:p w14:paraId="6D9D31DE">
      <w:pPr>
        <w:spacing w:before="36" w:line="360" w:lineRule="auto"/>
        <w:ind w:right="95"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8.2.4  </w:t>
      </w:r>
      <w:r>
        <w:rPr>
          <w:rFonts w:hint="default" w:ascii="Times New Roman" w:hAnsi="Times New Roman" w:cs="Times New Roman"/>
          <w:color w:val="000000" w:themeColor="text1"/>
          <w:spacing w:val="-2"/>
          <w:sz w:val="24"/>
          <w:szCs w:val="24"/>
          <w:u w:val="none"/>
          <w14:textFill>
            <w14:solidFill>
              <w14:schemeClr w14:val="tx1"/>
            </w14:solidFill>
          </w14:textFill>
        </w:rPr>
        <w:t>室外吸烟区位置布局合理，评价总分值为9分，并按下</w:t>
      </w:r>
      <w:r>
        <w:rPr>
          <w:rFonts w:hint="default" w:ascii="Times New Roman" w:hAnsi="Times New Roman" w:cs="Times New Roman"/>
          <w:color w:val="000000" w:themeColor="text1"/>
          <w:spacing w:val="-12"/>
          <w:sz w:val="24"/>
          <w:szCs w:val="24"/>
          <w:u w:val="none"/>
          <w14:textFill>
            <w14:solidFill>
              <w14:schemeClr w14:val="tx1"/>
            </w14:solidFill>
          </w14:textFill>
        </w:rPr>
        <w:t>列规则分别评分并累计：</w:t>
      </w:r>
    </w:p>
    <w:p w14:paraId="1A8C1547">
      <w:pPr>
        <w:spacing w:before="59" w:line="360" w:lineRule="auto"/>
        <w:ind w:right="92" w:firstLine="41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7"/>
          <w:sz w:val="24"/>
          <w:szCs w:val="24"/>
          <w:u w:val="none"/>
          <w14:textFill>
            <w14:solidFill>
              <w14:schemeClr w14:val="tx1"/>
            </w14:solidFill>
          </w14:textFill>
        </w:rPr>
        <w:t>室外吸烟区布置在建筑主出入口的主导风的下风向，与</w:t>
      </w:r>
      <w:r>
        <w:rPr>
          <w:rFonts w:hint="default" w:ascii="Times New Roman" w:hAnsi="Times New Roman" w:cs="Times New Roman"/>
          <w:color w:val="000000" w:themeColor="text1"/>
          <w:spacing w:val="-2"/>
          <w:sz w:val="24"/>
          <w:szCs w:val="24"/>
          <w:u w:val="none"/>
          <w14:textFill>
            <w14:solidFill>
              <w14:schemeClr w14:val="tx1"/>
            </w14:solidFill>
          </w14:textFill>
        </w:rPr>
        <w:t>所有建筑出入口、新风进气口和可开启窗扇的距离不少于8m，</w:t>
      </w:r>
      <w:r>
        <w:rPr>
          <w:rFonts w:hint="default" w:ascii="Times New Roman" w:hAnsi="Times New Roman" w:cs="Times New Roman"/>
          <w:color w:val="000000" w:themeColor="text1"/>
          <w:spacing w:val="-4"/>
          <w:sz w:val="24"/>
          <w:szCs w:val="24"/>
          <w:u w:val="none"/>
          <w14:textFill>
            <w14:solidFill>
              <w14:schemeClr w14:val="tx1"/>
            </w14:solidFill>
          </w14:textFill>
        </w:rPr>
        <w:t>且距离儿童和老人活动场地不少于8m</w:t>
      </w:r>
      <w:r>
        <w:rPr>
          <w:rFonts w:hint="default" w:ascii="Times New Roman" w:hAnsi="Times New Roman" w:cs="Times New Roman"/>
          <w:color w:val="000000" w:themeColor="text1"/>
          <w:spacing w:val="-4"/>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55"/>
          <w:w w:val="10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得5分；</w:t>
      </w:r>
    </w:p>
    <w:p w14:paraId="67AD518A">
      <w:pPr>
        <w:spacing w:before="59" w:line="360" w:lineRule="auto"/>
        <w:ind w:right="92" w:firstLine="410"/>
        <w:rPr>
          <w:rFonts w:hint="default" w:ascii="Times New Roman" w:hAnsi="Times New Roman" w:cs="Times New Roman"/>
          <w:color w:val="000000" w:themeColor="text1"/>
          <w:spacing w:val="-2"/>
          <w:sz w:val="24"/>
          <w:szCs w:val="24"/>
          <w:u w:val="none"/>
          <w14:textFill>
            <w14:solidFill>
              <w14:schemeClr w14:val="tx1"/>
            </w14:solidFill>
          </w14:textFill>
        </w:rPr>
      </w:pPr>
      <w:r>
        <w:rPr>
          <w:rFonts w:hint="default" w:ascii="Times New Roman" w:hAnsi="Times New Roman" w:cs="Times New Roman"/>
          <w:b/>
          <w:color w:val="000000" w:themeColor="text1"/>
          <w:spacing w:val="-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2"/>
          <w:sz w:val="24"/>
          <w:szCs w:val="24"/>
          <w:u w:val="none"/>
          <w14:textFill>
            <w14:solidFill>
              <w14:schemeClr w14:val="tx1"/>
            </w14:solidFill>
          </w14:textFill>
        </w:rPr>
        <w:t xml:space="preserve">室外吸烟区与绿植结合布置，并合理配置座椅和带烟头收集的垃圾筒，从建筑主出入口至室外吸烟区的导向标识完整、定位标识醒目，吸烟区设置吸烟有害健康的警示标识，得4分。 </w:t>
      </w:r>
    </w:p>
    <w:p w14:paraId="21A7D6AC">
      <w:pPr>
        <w:spacing w:before="71"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8.2.5 </w:t>
      </w:r>
      <w:r>
        <w:rPr>
          <w:rFonts w:hint="default" w:ascii="Times New Roman" w:hAnsi="Times New Roman" w:cs="Times New Roman"/>
          <w:color w:val="000000" w:themeColor="text1"/>
          <w:spacing w:val="-4"/>
          <w:sz w:val="24"/>
          <w:szCs w:val="24"/>
          <w:u w:val="none"/>
          <w14:textFill>
            <w14:solidFill>
              <w14:schemeClr w14:val="tx1"/>
            </w14:solidFill>
          </w14:textFill>
        </w:rPr>
        <w:t xml:space="preserve"> 利用场地空间设置绿色雨水</w:t>
      </w:r>
      <w:r>
        <w:rPr>
          <w:rFonts w:hint="default" w:ascii="Times New Roman" w:hAnsi="Times New Roman" w:cs="Times New Roman"/>
          <w:color w:val="000000" w:themeColor="text1"/>
          <w:spacing w:val="-5"/>
          <w:sz w:val="24"/>
          <w:szCs w:val="24"/>
          <w:u w:val="none"/>
          <w14:textFill>
            <w14:solidFill>
              <w14:schemeClr w14:val="tx1"/>
            </w14:solidFill>
          </w14:textFill>
        </w:rPr>
        <w:t>基础设施，汇集场地径流进入设施，有效实现雨水的滞蓄与入渗，评价总分值为15分，并</w:t>
      </w:r>
      <w:r>
        <w:rPr>
          <w:rFonts w:hint="default" w:ascii="Times New Roman" w:hAnsi="Times New Roman" w:cs="Times New Roman"/>
          <w:color w:val="000000" w:themeColor="text1"/>
          <w:spacing w:val="-13"/>
          <w:sz w:val="24"/>
          <w:szCs w:val="24"/>
          <w:u w:val="none"/>
          <w14:textFill>
            <w14:solidFill>
              <w14:schemeClr w14:val="tx1"/>
            </w14:solidFill>
          </w14:textFill>
        </w:rPr>
        <w:t>按下列规则分别评分并累计：</w:t>
      </w:r>
    </w:p>
    <w:p w14:paraId="4EA0D742">
      <w:pPr>
        <w:spacing w:before="43" w:line="360" w:lineRule="auto"/>
        <w:ind w:right="61"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1"/>
          <w:sz w:val="24"/>
          <w:szCs w:val="24"/>
          <w:u w:val="none"/>
          <w14:textFill>
            <w14:solidFill>
              <w14:schemeClr w14:val="tx1"/>
            </w14:solidFill>
          </w14:textFill>
        </w:rPr>
        <w:t>下凹式绿地、雨水花园等有调蓄雨水功能的绿地和水体</w:t>
      </w:r>
      <w:r>
        <w:rPr>
          <w:rFonts w:hint="default" w:ascii="Times New Roman" w:hAnsi="Times New Roman" w:cs="Times New Roman"/>
          <w:color w:val="000000" w:themeColor="text1"/>
          <w:spacing w:val="17"/>
          <w:sz w:val="24"/>
          <w:szCs w:val="24"/>
          <w:u w:val="none"/>
          <w14:textFill>
            <w14:solidFill>
              <w14:schemeClr w14:val="tx1"/>
            </w14:solidFill>
          </w14:textFill>
        </w:rPr>
        <w:t>的面积之和占绿地面积的比例达到40%</w:t>
      </w:r>
      <w:r>
        <w:rPr>
          <w:rFonts w:hint="default" w:ascii="Times New Roman" w:hAnsi="Times New Roman" w:cs="Times New Roman"/>
          <w:color w:val="000000" w:themeColor="text1"/>
          <w:spacing w:val="17"/>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7"/>
          <w:sz w:val="24"/>
          <w:szCs w:val="24"/>
          <w:u w:val="none"/>
          <w14:textFill>
            <w14:solidFill>
              <w14:schemeClr w14:val="tx1"/>
            </w14:solidFill>
          </w14:textFill>
        </w:rPr>
        <w:t>得3分；达到60%，</w:t>
      </w:r>
      <w:r>
        <w:rPr>
          <w:rFonts w:hint="default" w:ascii="Times New Roman" w:hAnsi="Times New Roman" w:cs="Times New Roman"/>
          <w:color w:val="000000" w:themeColor="text1"/>
          <w:spacing w:val="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4"/>
          <w:sz w:val="24"/>
          <w:szCs w:val="24"/>
          <w:u w:val="none"/>
          <w14:textFill>
            <w14:solidFill>
              <w14:schemeClr w14:val="tx1"/>
            </w14:solidFill>
          </w14:textFill>
        </w:rPr>
        <w:t>得5分；</w:t>
      </w:r>
    </w:p>
    <w:p w14:paraId="3BBB3FFB">
      <w:pPr>
        <w:spacing w:before="32" w:line="360" w:lineRule="auto"/>
        <w:ind w:left="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衔接和引导不少于80%的屋面雨水进入设施，得3分；</w:t>
      </w:r>
    </w:p>
    <w:p w14:paraId="692599F8">
      <w:pPr>
        <w:spacing w:before="59" w:line="360" w:lineRule="auto"/>
        <w:ind w:left="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1"/>
          <w:sz w:val="24"/>
          <w:szCs w:val="24"/>
          <w:u w:val="none"/>
          <w14:textFill>
            <w14:solidFill>
              <w14:schemeClr w14:val="tx1"/>
            </w14:solidFill>
          </w14:textFill>
        </w:rPr>
        <w:t xml:space="preserve"> 衔接和引导不少于80%的道路雨水进入设施，得4分；</w:t>
      </w:r>
    </w:p>
    <w:p w14:paraId="60A4744B">
      <w:pPr>
        <w:spacing w:before="55" w:line="360" w:lineRule="auto"/>
        <w:ind w:left="420"/>
        <w:rPr>
          <w:rFonts w:hint="default" w:ascii="Times New Roman" w:hAnsi="Times New Roman" w:cs="Times New Roman"/>
          <w:color w:val="000000" w:themeColor="text1"/>
          <w:spacing w:val="-7"/>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  </w:t>
      </w:r>
      <w:r>
        <w:rPr>
          <w:rFonts w:hint="default" w:ascii="Times New Roman" w:hAnsi="Times New Roman" w:cs="Times New Roman"/>
          <w:color w:val="000000" w:themeColor="text1"/>
          <w:spacing w:val="-7"/>
          <w:sz w:val="24"/>
          <w:szCs w:val="24"/>
          <w:u w:val="none"/>
          <w14:textFill>
            <w14:solidFill>
              <w14:schemeClr w14:val="tx1"/>
            </w14:solidFill>
          </w14:textFill>
        </w:rPr>
        <w:t>硬质铺装地面中透水铺装面积的比例达到50%，得3分。</w:t>
      </w:r>
    </w:p>
    <w:p w14:paraId="28DED265">
      <w:pPr>
        <w:pStyle w:val="4"/>
        <w:spacing w:before="0" w:after="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00" w:name="_Toc204247736"/>
      <w:bookmarkStart w:id="101" w:name="_Toc13405"/>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Ⅱ</w:t>
      </w:r>
      <w:r>
        <w:rPr>
          <w:rFonts w:hint="default" w:ascii="Times New Roman" w:hAnsi="Times New Roman" w:cs="Times New Roman"/>
          <w:color w:val="000000" w:themeColor="text1"/>
          <w:sz w:val="24"/>
          <w:szCs w:val="24"/>
          <w:u w:val="none"/>
          <w:lang w:eastAsia="zh-CN"/>
          <w14:textFill>
            <w14:solidFill>
              <w14:schemeClr w14:val="tx1"/>
            </w14:solidFill>
          </w14:textFill>
        </w:rPr>
        <w:t xml:space="preserve"> 室外物理环境</w:t>
      </w:r>
      <w:bookmarkEnd w:id="100"/>
      <w:bookmarkEnd w:id="101"/>
    </w:p>
    <w:p w14:paraId="60B2CD74">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8.2.6</w:t>
      </w:r>
      <w:r>
        <w:rPr>
          <w:rFonts w:hint="default" w:ascii="Times New Roman" w:hAnsi="Times New Roman" w:cs="Times New Roman"/>
          <w:color w:val="000000" w:themeColor="text1"/>
          <w:spacing w:val="7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0"/>
          <w:sz w:val="24"/>
          <w:szCs w:val="24"/>
          <w:u w:val="none"/>
          <w14:textFill>
            <w14:solidFill>
              <w14:schemeClr w14:val="tx1"/>
            </w14:solidFill>
          </w14:textFill>
        </w:rPr>
        <w:t>场地内的环境噪声优于现行国家标准《声环境质量</w:t>
      </w:r>
      <w:r>
        <w:rPr>
          <w:rFonts w:hint="default" w:ascii="Times New Roman" w:hAnsi="Times New Roman" w:cs="Times New Roman"/>
          <w:color w:val="000000" w:themeColor="text1"/>
          <w:spacing w:val="-11"/>
          <w:sz w:val="24"/>
          <w:szCs w:val="24"/>
          <w:u w:val="none"/>
          <w14:textFill>
            <w14:solidFill>
              <w14:schemeClr w14:val="tx1"/>
            </w14:solidFill>
          </w14:textFill>
        </w:rPr>
        <w:t>标准》</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GB 3096的要求，评价总分值为10分，并按</w:t>
      </w:r>
      <w:r>
        <w:rPr>
          <w:rFonts w:hint="default" w:ascii="Times New Roman" w:hAnsi="Times New Roman" w:cs="Times New Roman"/>
          <w:color w:val="000000" w:themeColor="text1"/>
          <w:spacing w:val="-5"/>
          <w:sz w:val="24"/>
          <w:szCs w:val="24"/>
          <w:u w:val="none"/>
          <w14:textFill>
            <w14:solidFill>
              <w14:schemeClr w14:val="tx1"/>
            </w14:solidFill>
          </w14:textFill>
        </w:rPr>
        <w:t>下列规则评分：</w:t>
      </w:r>
    </w:p>
    <w:p w14:paraId="0BD734A7">
      <w:pPr>
        <w:spacing w:before="51" w:line="360" w:lineRule="auto"/>
        <w:ind w:right="23"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z w:val="24"/>
          <w:szCs w:val="24"/>
          <w:u w:val="none"/>
          <w14:textFill>
            <w14:solidFill>
              <w14:schemeClr w14:val="tx1"/>
            </w14:solidFill>
          </w14:textFill>
        </w:rPr>
        <w:t>环境噪声值大于2类声环境功能区噪声等效声级限值，</w:t>
      </w:r>
      <w:r>
        <w:rPr>
          <w:rFonts w:hint="default" w:ascii="Times New Roman" w:hAnsi="Times New Roman" w:cs="Times New Roman"/>
          <w:color w:val="000000" w:themeColor="text1"/>
          <w:spacing w:val="-5"/>
          <w:sz w:val="24"/>
          <w:szCs w:val="24"/>
          <w:u w:val="none"/>
          <w14:textFill>
            <w14:solidFill>
              <w14:schemeClr w14:val="tx1"/>
            </w14:solidFill>
          </w14:textFill>
        </w:rPr>
        <w:t>且小于或等于3类声环境功能区噪声等效声级限值，得5分。</w:t>
      </w:r>
    </w:p>
    <w:p w14:paraId="096655CE">
      <w:pPr>
        <w:spacing w:before="58" w:line="360" w:lineRule="auto"/>
        <w:ind w:right="96"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3"/>
          <w:sz w:val="24"/>
          <w:szCs w:val="24"/>
          <w:u w:val="none"/>
          <w14:textFill>
            <w14:solidFill>
              <w14:schemeClr w14:val="tx1"/>
            </w14:solidFill>
          </w14:textFill>
        </w:rPr>
        <w:t>环境噪声值小于或等于2类声环境功能区噪声等效声级</w:t>
      </w:r>
      <w:r>
        <w:rPr>
          <w:rFonts w:hint="default" w:ascii="Times New Roman" w:hAnsi="Times New Roman" w:cs="Times New Roman"/>
          <w:color w:val="000000" w:themeColor="text1"/>
          <w:spacing w:val="-1"/>
          <w:sz w:val="24"/>
          <w:szCs w:val="24"/>
          <w:u w:val="none"/>
          <w14:textFill>
            <w14:solidFill>
              <w14:schemeClr w14:val="tx1"/>
            </w14:solidFill>
          </w14:textFill>
        </w:rPr>
        <w:t>限值，得10分。</w:t>
      </w:r>
    </w:p>
    <w:p w14:paraId="7BB0B277">
      <w:pPr>
        <w:spacing w:before="38" w:line="360" w:lineRule="auto"/>
        <w:ind w:right="9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8.2.7 </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5"/>
          <w:sz w:val="24"/>
          <w:szCs w:val="24"/>
          <w:u w:val="none"/>
          <w14:textFill>
            <w14:solidFill>
              <w14:schemeClr w14:val="tx1"/>
            </w14:solidFill>
          </w14:textFill>
        </w:rPr>
        <w:t>建筑室外照明及室外显示屏避免产</w:t>
      </w:r>
      <w:r>
        <w:rPr>
          <w:rFonts w:hint="default" w:ascii="Times New Roman" w:hAnsi="Times New Roman" w:cs="Times New Roman"/>
          <w:color w:val="000000" w:themeColor="text1"/>
          <w:spacing w:val="4"/>
          <w:sz w:val="24"/>
          <w:szCs w:val="24"/>
          <w:u w:val="none"/>
          <w14:textFill>
            <w14:solidFill>
              <w14:schemeClr w14:val="tx1"/>
            </w14:solidFill>
          </w14:textFill>
        </w:rPr>
        <w:t>生光污染，评价总</w:t>
      </w:r>
      <w:r>
        <w:rPr>
          <w:rFonts w:hint="default" w:ascii="Times New Roman" w:hAnsi="Times New Roman" w:cs="Times New Roman"/>
          <w:color w:val="000000" w:themeColor="text1"/>
          <w:spacing w:val="-4"/>
          <w:sz w:val="24"/>
          <w:szCs w:val="24"/>
          <w:u w:val="none"/>
          <w14:textFill>
            <w14:solidFill>
              <w14:schemeClr w14:val="tx1"/>
            </w14:solidFill>
          </w14:textFill>
        </w:rPr>
        <w:t>分值为10分，并按下列规则分别评分并累计：</w:t>
      </w:r>
    </w:p>
    <w:p w14:paraId="17884397">
      <w:pPr>
        <w:spacing w:before="1" w:line="360" w:lineRule="auto"/>
        <w:ind w:right="100"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0"/>
          <w:sz w:val="24"/>
          <w:szCs w:val="24"/>
          <w:u w:val="none"/>
          <w14:textFill>
            <w14:solidFill>
              <w14:schemeClr w14:val="tx1"/>
            </w14:solidFill>
          </w14:textFill>
        </w:rPr>
        <w:t>在居住空间窗户外表面产生的垂直照度不大于表8.2.7-1规</w:t>
      </w:r>
      <w:r>
        <w:rPr>
          <w:rFonts w:hint="default" w:ascii="Times New Roman" w:hAnsi="Times New Roman" w:cs="Times New Roman"/>
          <w:color w:val="000000" w:themeColor="text1"/>
          <w:spacing w:val="-2"/>
          <w:sz w:val="24"/>
          <w:szCs w:val="24"/>
          <w:u w:val="none"/>
          <w14:textFill>
            <w14:solidFill>
              <w14:schemeClr w14:val="tx1"/>
            </w14:solidFill>
          </w14:textFill>
        </w:rPr>
        <w:t>定的最大允许值，得5分。</w:t>
      </w:r>
    </w:p>
    <w:p w14:paraId="1E5D7277">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表8.2.7-1居住空间窗户外表面的垂直照度最大允许值</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8"/>
        <w:gridCol w:w="2313"/>
        <w:gridCol w:w="1164"/>
        <w:gridCol w:w="1149"/>
        <w:gridCol w:w="1358"/>
      </w:tblGrid>
      <w:tr w14:paraId="04D25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1489" w:type="pct"/>
            <w:vMerge w:val="restart"/>
            <w:tcBorders>
              <w:bottom w:val="nil"/>
            </w:tcBorders>
            <w:vAlign w:val="center"/>
          </w:tcPr>
          <w:p w14:paraId="663A167E">
            <w:pPr>
              <w:pStyle w:val="24"/>
              <w:spacing w:before="151"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照明技术参数</w:t>
            </w:r>
          </w:p>
        </w:tc>
        <w:tc>
          <w:tcPr>
            <w:tcW w:w="1357" w:type="pct"/>
            <w:vMerge w:val="restart"/>
            <w:tcBorders>
              <w:bottom w:val="nil"/>
            </w:tcBorders>
            <w:vAlign w:val="center"/>
          </w:tcPr>
          <w:p w14:paraId="59186359">
            <w:pPr>
              <w:pStyle w:val="24"/>
              <w:spacing w:before="151"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应用条件</w:t>
            </w:r>
          </w:p>
        </w:tc>
        <w:tc>
          <w:tcPr>
            <w:tcW w:w="2154" w:type="pct"/>
            <w:gridSpan w:val="3"/>
            <w:vAlign w:val="center"/>
          </w:tcPr>
          <w:p w14:paraId="2365910D">
            <w:pPr>
              <w:pStyle w:val="24"/>
              <w:spacing w:before="41"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环境区域</w:t>
            </w:r>
          </w:p>
        </w:tc>
      </w:tr>
      <w:tr w14:paraId="7399F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1489" w:type="pct"/>
            <w:vMerge w:val="continue"/>
            <w:tcBorders>
              <w:top w:val="nil"/>
            </w:tcBorders>
            <w:vAlign w:val="center"/>
          </w:tcPr>
          <w:p w14:paraId="30EC2FF8">
            <w:pPr>
              <w:spacing w:line="360" w:lineRule="auto"/>
              <w:jc w:val="center"/>
              <w:rPr>
                <w:rFonts w:hint="default" w:ascii="Times New Roman" w:hAnsi="Times New Roman" w:cs="Times New Roman"/>
                <w:color w:val="000000" w:themeColor="text1"/>
                <w:u w:val="none"/>
                <w14:textFill>
                  <w14:solidFill>
                    <w14:schemeClr w14:val="tx1"/>
                  </w14:solidFill>
                </w14:textFill>
              </w:rPr>
            </w:pPr>
          </w:p>
        </w:tc>
        <w:tc>
          <w:tcPr>
            <w:tcW w:w="1357" w:type="pct"/>
            <w:vMerge w:val="continue"/>
            <w:tcBorders>
              <w:top w:val="nil"/>
            </w:tcBorders>
            <w:vAlign w:val="center"/>
          </w:tcPr>
          <w:p w14:paraId="3D8C4A81">
            <w:pPr>
              <w:spacing w:line="360" w:lineRule="auto"/>
              <w:jc w:val="center"/>
              <w:rPr>
                <w:rFonts w:hint="default" w:ascii="Times New Roman" w:hAnsi="Times New Roman" w:cs="Times New Roman"/>
                <w:color w:val="000000" w:themeColor="text1"/>
                <w:u w:val="none"/>
                <w14:textFill>
                  <w14:solidFill>
                    <w14:schemeClr w14:val="tx1"/>
                  </w14:solidFill>
                </w14:textFill>
              </w:rPr>
            </w:pPr>
          </w:p>
        </w:tc>
        <w:tc>
          <w:tcPr>
            <w:tcW w:w="683" w:type="pct"/>
            <w:vAlign w:val="center"/>
          </w:tcPr>
          <w:p w14:paraId="7776A055">
            <w:pPr>
              <w:pStyle w:val="24"/>
              <w:spacing w:before="70"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E2</w:t>
            </w:r>
          </w:p>
        </w:tc>
        <w:tc>
          <w:tcPr>
            <w:tcW w:w="674" w:type="pct"/>
            <w:vAlign w:val="center"/>
          </w:tcPr>
          <w:p w14:paraId="1ED1F33F">
            <w:pPr>
              <w:pStyle w:val="24"/>
              <w:spacing w:before="70"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E3</w:t>
            </w:r>
          </w:p>
        </w:tc>
        <w:tc>
          <w:tcPr>
            <w:tcW w:w="798" w:type="pct"/>
            <w:vAlign w:val="center"/>
          </w:tcPr>
          <w:p w14:paraId="2D339E76">
            <w:pPr>
              <w:pStyle w:val="24"/>
              <w:spacing w:before="70"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E4</w:t>
            </w:r>
          </w:p>
        </w:tc>
      </w:tr>
      <w:tr w14:paraId="58E4E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489" w:type="pct"/>
            <w:vMerge w:val="restart"/>
            <w:tcBorders>
              <w:bottom w:val="nil"/>
            </w:tcBorders>
            <w:vAlign w:val="center"/>
          </w:tcPr>
          <w:p w14:paraId="40AE5EB1">
            <w:pPr>
              <w:pStyle w:val="24"/>
              <w:spacing w:before="51" w:line="360" w:lineRule="auto"/>
              <w:jc w:val="cente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垂直面照度E</w:t>
            </w:r>
            <w:r>
              <w:rPr>
                <w:rFonts w:hint="default" w:ascii="Times New Roman" w:hAnsi="Times New Roman" w:cs="Times New Roman" w:eastAsiaTheme="minorEastAsia"/>
                <w:color w:val="000000" w:themeColor="text1"/>
                <w:spacing w:val="-9"/>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9"/>
                <w:sz w:val="21"/>
                <w:szCs w:val="21"/>
                <w:u w:val="none"/>
                <w14:textFill>
                  <w14:solidFill>
                    <w14:schemeClr w14:val="tx1"/>
                  </w14:solidFill>
                </w14:textFill>
              </w:rPr>
              <w:t>lx</w:t>
            </w:r>
            <w:r>
              <w:rPr>
                <w:rFonts w:hint="default" w:ascii="Times New Roman" w:hAnsi="Times New Roman" w:cs="Times New Roman" w:eastAsiaTheme="minorEastAsia"/>
                <w:color w:val="000000" w:themeColor="text1"/>
                <w:spacing w:val="-9"/>
                <w:sz w:val="21"/>
                <w:szCs w:val="21"/>
                <w:u w:val="none"/>
                <w:lang w:eastAsia="zh-CN"/>
                <w14:textFill>
                  <w14:solidFill>
                    <w14:schemeClr w14:val="tx1"/>
                  </w14:solidFill>
                </w14:textFill>
              </w:rPr>
              <w:t>）</w:t>
            </w:r>
          </w:p>
        </w:tc>
        <w:tc>
          <w:tcPr>
            <w:tcW w:w="1357" w:type="pct"/>
            <w:vAlign w:val="center"/>
          </w:tcPr>
          <w:p w14:paraId="795951C3">
            <w:pPr>
              <w:pStyle w:val="24"/>
              <w:spacing w:before="41"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非熄灯时段</w:t>
            </w:r>
          </w:p>
        </w:tc>
        <w:tc>
          <w:tcPr>
            <w:tcW w:w="683" w:type="pct"/>
            <w:vAlign w:val="center"/>
          </w:tcPr>
          <w:p w14:paraId="5456C588">
            <w:pPr>
              <w:pStyle w:val="24"/>
              <w:spacing w:before="81"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position w:val="-2"/>
                <w:sz w:val="21"/>
                <w:szCs w:val="21"/>
                <w:u w:val="none"/>
                <w14:textFill>
                  <w14:solidFill>
                    <w14:schemeClr w14:val="tx1"/>
                  </w14:solidFill>
                </w14:textFill>
              </w:rPr>
              <w:t>2</w:t>
            </w:r>
          </w:p>
        </w:tc>
        <w:tc>
          <w:tcPr>
            <w:tcW w:w="674" w:type="pct"/>
            <w:vAlign w:val="center"/>
          </w:tcPr>
          <w:p w14:paraId="3600E5F9">
            <w:pPr>
              <w:pStyle w:val="24"/>
              <w:spacing w:before="83"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position w:val="-2"/>
                <w:sz w:val="21"/>
                <w:szCs w:val="21"/>
                <w:u w:val="none"/>
                <w14:textFill>
                  <w14:solidFill>
                    <w14:schemeClr w14:val="tx1"/>
                  </w14:solidFill>
                </w14:textFill>
              </w:rPr>
              <w:t>5</w:t>
            </w:r>
          </w:p>
        </w:tc>
        <w:tc>
          <w:tcPr>
            <w:tcW w:w="798" w:type="pct"/>
            <w:vAlign w:val="center"/>
          </w:tcPr>
          <w:p w14:paraId="39C17B53">
            <w:pPr>
              <w:pStyle w:val="24"/>
              <w:spacing w:before="80"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5"/>
                <w:sz w:val="21"/>
                <w:szCs w:val="21"/>
                <w:u w:val="none"/>
                <w14:textFill>
                  <w14:solidFill>
                    <w14:schemeClr w14:val="tx1"/>
                  </w14:solidFill>
                </w14:textFill>
              </w:rPr>
              <w:t>10</w:t>
            </w:r>
          </w:p>
        </w:tc>
      </w:tr>
      <w:tr w14:paraId="3F64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489" w:type="pct"/>
            <w:vMerge w:val="continue"/>
            <w:tcBorders>
              <w:top w:val="nil"/>
            </w:tcBorders>
            <w:vAlign w:val="center"/>
          </w:tcPr>
          <w:p w14:paraId="659F11CC">
            <w:pPr>
              <w:spacing w:line="360" w:lineRule="auto"/>
              <w:jc w:val="center"/>
              <w:rPr>
                <w:rFonts w:hint="default" w:ascii="Times New Roman" w:hAnsi="Times New Roman" w:cs="Times New Roman"/>
                <w:color w:val="000000" w:themeColor="text1"/>
                <w:u w:val="none"/>
                <w14:textFill>
                  <w14:solidFill>
                    <w14:schemeClr w14:val="tx1"/>
                  </w14:solidFill>
                </w14:textFill>
              </w:rPr>
            </w:pPr>
          </w:p>
        </w:tc>
        <w:tc>
          <w:tcPr>
            <w:tcW w:w="1357" w:type="pct"/>
            <w:vAlign w:val="center"/>
          </w:tcPr>
          <w:p w14:paraId="5E1A9E25">
            <w:pPr>
              <w:pStyle w:val="24"/>
              <w:spacing w:before="44"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熄灯时段</w:t>
            </w:r>
          </w:p>
        </w:tc>
        <w:tc>
          <w:tcPr>
            <w:tcW w:w="683" w:type="pct"/>
            <w:vAlign w:val="center"/>
          </w:tcPr>
          <w:p w14:paraId="5DF4DC55">
            <w:pPr>
              <w:pStyle w:val="24"/>
              <w:spacing w:before="85"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0*</w:t>
            </w:r>
          </w:p>
        </w:tc>
        <w:tc>
          <w:tcPr>
            <w:tcW w:w="674" w:type="pct"/>
            <w:vAlign w:val="center"/>
          </w:tcPr>
          <w:p w14:paraId="739027D2">
            <w:pPr>
              <w:pStyle w:val="24"/>
              <w:spacing w:before="84"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1</w:t>
            </w:r>
          </w:p>
        </w:tc>
        <w:tc>
          <w:tcPr>
            <w:tcW w:w="798" w:type="pct"/>
            <w:vAlign w:val="center"/>
          </w:tcPr>
          <w:p w14:paraId="7AF8232F">
            <w:pPr>
              <w:pStyle w:val="24"/>
              <w:spacing w:before="85"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t>2</w:t>
            </w:r>
          </w:p>
        </w:tc>
      </w:tr>
    </w:tbl>
    <w:p w14:paraId="2CEFF398">
      <w:pPr>
        <w:spacing w:before="42" w:line="360" w:lineRule="auto"/>
        <w:ind w:left="140"/>
        <w:rPr>
          <w:rFonts w:hint="default" w:ascii="Times New Roman" w:hAnsi="Times New Roman" w:cs="Times New Roman"/>
          <w:color w:val="000000" w:themeColor="text1"/>
          <w:spacing w:val="1"/>
          <w:u w:val="none"/>
          <w14:textFill>
            <w14:solidFill>
              <w14:schemeClr w14:val="tx1"/>
            </w14:solidFill>
          </w14:textFill>
        </w:rPr>
      </w:pPr>
      <w:r>
        <w:rPr>
          <w:rFonts w:hint="default" w:ascii="Times New Roman" w:hAnsi="Times New Roman" w:cs="Times New Roman"/>
          <w:color w:val="000000" w:themeColor="text1"/>
          <w:spacing w:val="1"/>
          <w:u w:val="none"/>
          <w14:textFill>
            <w14:solidFill>
              <w14:schemeClr w14:val="tx1"/>
            </w14:solidFill>
          </w14:textFill>
        </w:rPr>
        <w:t>注：对于公共</w:t>
      </w:r>
      <w:r>
        <w:rPr>
          <w:rFonts w:hint="default" w:ascii="Times New Roman" w:hAnsi="Times New Roman" w:cs="Times New Roman"/>
          <w:color w:val="000000" w:themeColor="text1"/>
          <w:spacing w:val="1"/>
          <w:u w:val="none"/>
          <w:lang w:eastAsia="zh-CN"/>
          <w14:textFill>
            <w14:solidFill>
              <w14:schemeClr w14:val="tx1"/>
            </w14:solidFill>
          </w14:textFill>
        </w:rPr>
        <w:t>（</w:t>
      </w:r>
      <w:r>
        <w:rPr>
          <w:rFonts w:hint="default" w:ascii="Times New Roman" w:hAnsi="Times New Roman" w:cs="Times New Roman"/>
          <w:color w:val="000000" w:themeColor="text1"/>
          <w:spacing w:val="1"/>
          <w:u w:val="none"/>
          <w14:textFill>
            <w14:solidFill>
              <w14:schemeClr w14:val="tx1"/>
            </w14:solidFill>
          </w14:textFill>
        </w:rPr>
        <w:t>道路</w:t>
      </w:r>
      <w:r>
        <w:rPr>
          <w:rFonts w:hint="default" w:ascii="Times New Roman" w:hAnsi="Times New Roman" w:cs="Times New Roman"/>
          <w:color w:val="000000" w:themeColor="text1"/>
          <w:spacing w:val="1"/>
          <w:u w:val="none"/>
          <w:lang w:eastAsia="zh-CN"/>
          <w14:textFill>
            <w14:solidFill>
              <w14:schemeClr w14:val="tx1"/>
            </w14:solidFill>
          </w14:textFill>
        </w:rPr>
        <w:t>）</w:t>
      </w:r>
      <w:r>
        <w:rPr>
          <w:rFonts w:hint="default" w:ascii="Times New Roman" w:hAnsi="Times New Roman" w:cs="Times New Roman"/>
          <w:color w:val="000000" w:themeColor="text1"/>
          <w:spacing w:val="1"/>
          <w:u w:val="none"/>
          <w14:textFill>
            <w14:solidFill>
              <w14:schemeClr w14:val="tx1"/>
            </w14:solidFill>
          </w14:textFill>
        </w:rPr>
        <w:t>照明灯具产生的影响，此值提高到1</w:t>
      </w:r>
      <w:r>
        <w:rPr>
          <w:rFonts w:hint="default" w:ascii="Times New Roman" w:hAnsi="Times New Roman" w:cs="Times New Roman"/>
          <w:color w:val="000000" w:themeColor="text1"/>
          <w:u w:val="none"/>
          <w14:textFill>
            <w14:solidFill>
              <w14:schemeClr w14:val="tx1"/>
            </w14:solidFill>
          </w14:textFill>
        </w:rPr>
        <w:t>lx</w:t>
      </w:r>
      <w:r>
        <w:rPr>
          <w:rFonts w:hint="default" w:ascii="Times New Roman" w:hAnsi="Times New Roman" w:cs="Times New Roman"/>
          <w:color w:val="000000" w:themeColor="text1"/>
          <w:spacing w:val="1"/>
          <w:u w:val="none"/>
          <w14:textFill>
            <w14:solidFill>
              <w14:schemeClr w14:val="tx1"/>
            </w14:solidFill>
          </w14:textFill>
        </w:rPr>
        <w:t>。</w:t>
      </w:r>
    </w:p>
    <w:p w14:paraId="65120A8C">
      <w:pPr>
        <w:spacing w:before="38" w:line="360" w:lineRule="auto"/>
        <w:ind w:right="90" w:firstLine="434" w:firstLineChars="200"/>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建筑室外设置的显示屏表面平均亮度不大于表8.2.7-2 规定的限值，且车道和人行道两侧未设置动态模式显示屏，得 5分。 </w:t>
      </w:r>
    </w:p>
    <w:p w14:paraId="37517E4E">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表8.2.7-2 建筑室外设置显示屏表面平均亮度限值</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4"/>
        <w:gridCol w:w="1379"/>
        <w:gridCol w:w="1379"/>
        <w:gridCol w:w="1140"/>
      </w:tblGrid>
      <w:tr w14:paraId="299B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13" w:type="pct"/>
            <w:vMerge w:val="restart"/>
            <w:vAlign w:val="center"/>
          </w:tcPr>
          <w:p w14:paraId="42D3E62B">
            <w:pPr>
              <w:pStyle w:val="24"/>
              <w:spacing w:before="55"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照明技术参数</w:t>
            </w:r>
          </w:p>
        </w:tc>
        <w:tc>
          <w:tcPr>
            <w:tcW w:w="2287" w:type="pct"/>
            <w:gridSpan w:val="3"/>
            <w:vAlign w:val="center"/>
          </w:tcPr>
          <w:p w14:paraId="41F533D7">
            <w:pPr>
              <w:pStyle w:val="24"/>
              <w:spacing w:before="112"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3"/>
                <w:sz w:val="21"/>
                <w:szCs w:val="21"/>
                <w:u w:val="none"/>
                <w14:textFill>
                  <w14:solidFill>
                    <w14:schemeClr w14:val="tx1"/>
                  </w14:solidFill>
                </w14:textFill>
              </w:rPr>
              <w:t>环境区域</w:t>
            </w:r>
          </w:p>
        </w:tc>
      </w:tr>
      <w:tr w14:paraId="7C63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713" w:type="pct"/>
            <w:vMerge w:val="continue"/>
            <w:vAlign w:val="center"/>
          </w:tcPr>
          <w:p w14:paraId="0F3C36C2">
            <w:pPr>
              <w:spacing w:line="360" w:lineRule="auto"/>
              <w:jc w:val="center"/>
              <w:rPr>
                <w:rFonts w:hint="default" w:ascii="Times New Roman" w:hAnsi="Times New Roman" w:cs="Times New Roman"/>
                <w:color w:val="000000" w:themeColor="text1"/>
                <w:u w:val="none"/>
                <w14:textFill>
                  <w14:solidFill>
                    <w14:schemeClr w14:val="tx1"/>
                  </w14:solidFill>
                </w14:textFill>
              </w:rPr>
            </w:pPr>
          </w:p>
        </w:tc>
        <w:tc>
          <w:tcPr>
            <w:tcW w:w="809" w:type="pct"/>
            <w:vAlign w:val="center"/>
          </w:tcPr>
          <w:p w14:paraId="43054A78">
            <w:pPr>
              <w:pStyle w:val="24"/>
              <w:spacing w:before="154"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E2</w:t>
            </w:r>
          </w:p>
        </w:tc>
        <w:tc>
          <w:tcPr>
            <w:tcW w:w="809" w:type="pct"/>
            <w:vAlign w:val="center"/>
          </w:tcPr>
          <w:p w14:paraId="161B3F89">
            <w:pPr>
              <w:pStyle w:val="24"/>
              <w:spacing w:before="154"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E3</w:t>
            </w:r>
          </w:p>
        </w:tc>
        <w:tc>
          <w:tcPr>
            <w:tcW w:w="669" w:type="pct"/>
            <w:vAlign w:val="center"/>
          </w:tcPr>
          <w:p w14:paraId="5A182223">
            <w:pPr>
              <w:pStyle w:val="24"/>
              <w:spacing w:before="154"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E4</w:t>
            </w:r>
          </w:p>
        </w:tc>
      </w:tr>
      <w:tr w14:paraId="0263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713" w:type="pct"/>
            <w:vAlign w:val="center"/>
          </w:tcPr>
          <w:p w14:paraId="68635DA3">
            <w:pPr>
              <w:pStyle w:val="24"/>
              <w:spacing w:before="114" w:line="360" w:lineRule="auto"/>
              <w:jc w:val="center"/>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default" w:ascii="Times New Roman" w:hAnsi="Times New Roman" w:cs="Times New Roman" w:eastAsiaTheme="minorEastAsia"/>
                <w:color w:val="000000" w:themeColor="text1"/>
                <w:spacing w:val="13"/>
                <w:sz w:val="21"/>
                <w:szCs w:val="21"/>
                <w:u w:val="none"/>
                <w14:textFill>
                  <w14:solidFill>
                    <w14:schemeClr w14:val="tx1"/>
                  </w14:solidFill>
                </w14:textFill>
              </w:rPr>
              <w:t>平均亮度</w:t>
            </w:r>
            <w:r>
              <w:rPr>
                <w:rFonts w:hint="default" w:ascii="Times New Roman" w:hAnsi="Times New Roman" w:cs="Times New Roman" w:eastAsiaTheme="minorEastAsia"/>
                <w:color w:val="000000" w:themeColor="text1"/>
                <w:spacing w:val="13"/>
                <w:sz w:val="21"/>
                <w:szCs w:val="21"/>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u w:val="none"/>
                <w14:textFill>
                  <w14:solidFill>
                    <w14:schemeClr w14:val="tx1"/>
                  </w14:solidFill>
                </w14:textFill>
              </w:rPr>
              <w:t>cd</w:t>
            </w:r>
            <w:r>
              <w:rPr>
                <w:rFonts w:hint="default" w:ascii="Times New Roman" w:hAnsi="Times New Roman" w:cs="Times New Roman" w:eastAsiaTheme="minorEastAsia"/>
                <w:color w:val="000000" w:themeColor="text1"/>
                <w:spacing w:val="13"/>
                <w:sz w:val="21"/>
                <w:szCs w:val="21"/>
                <w:u w:val="none"/>
                <w14:textFill>
                  <w14:solidFill>
                    <w14:schemeClr w14:val="tx1"/>
                  </w14:solidFill>
                </w14:textFill>
              </w:rPr>
              <w:t>/m²</w:t>
            </w:r>
            <w:r>
              <w:rPr>
                <w:rFonts w:hint="default" w:ascii="Times New Roman" w:hAnsi="Times New Roman" w:cs="Times New Roman" w:eastAsiaTheme="minorEastAsia"/>
                <w:color w:val="000000" w:themeColor="text1"/>
                <w:spacing w:val="13"/>
                <w:sz w:val="21"/>
                <w:szCs w:val="21"/>
                <w:u w:val="none"/>
                <w:lang w:eastAsia="zh-CN"/>
                <w14:textFill>
                  <w14:solidFill>
                    <w14:schemeClr w14:val="tx1"/>
                  </w14:solidFill>
                </w14:textFill>
              </w:rPr>
              <w:t>）</w:t>
            </w:r>
          </w:p>
        </w:tc>
        <w:tc>
          <w:tcPr>
            <w:tcW w:w="809" w:type="pct"/>
            <w:vAlign w:val="center"/>
          </w:tcPr>
          <w:p w14:paraId="5EC434C3">
            <w:pPr>
              <w:pStyle w:val="24"/>
              <w:spacing w:before="157"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200</w:t>
            </w:r>
          </w:p>
        </w:tc>
        <w:tc>
          <w:tcPr>
            <w:tcW w:w="809" w:type="pct"/>
            <w:vAlign w:val="center"/>
          </w:tcPr>
          <w:p w14:paraId="108542D0">
            <w:pPr>
              <w:pStyle w:val="24"/>
              <w:spacing w:before="157"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400</w:t>
            </w:r>
          </w:p>
        </w:tc>
        <w:tc>
          <w:tcPr>
            <w:tcW w:w="669" w:type="pct"/>
            <w:vAlign w:val="center"/>
          </w:tcPr>
          <w:p w14:paraId="756C8117">
            <w:pPr>
              <w:pStyle w:val="24"/>
              <w:spacing w:before="157" w:line="360" w:lineRule="auto"/>
              <w:jc w:val="center"/>
              <w:rPr>
                <w:rFonts w:hint="default" w:ascii="Times New Roman" w:hAnsi="Times New Roman" w:cs="Times New Roman" w:eastAsiaTheme="minorEastAsia"/>
                <w:color w:val="000000" w:themeColor="text1"/>
                <w:sz w:val="21"/>
                <w:szCs w:val="21"/>
                <w:u w:val="none"/>
                <w14:textFill>
                  <w14:solidFill>
                    <w14:schemeClr w14:val="tx1"/>
                  </w14:solidFill>
                </w14:textFill>
              </w:rPr>
            </w:pPr>
            <w:r>
              <w:rPr>
                <w:rFonts w:hint="default" w:ascii="Times New Roman" w:hAnsi="Times New Roman" w:cs="Times New Roman" w:eastAsiaTheme="minorEastAsia"/>
                <w:color w:val="000000" w:themeColor="text1"/>
                <w:spacing w:val="-2"/>
                <w:sz w:val="21"/>
                <w:szCs w:val="21"/>
                <w:u w:val="none"/>
                <w14:textFill>
                  <w14:solidFill>
                    <w14:schemeClr w14:val="tx1"/>
                  </w14:solidFill>
                </w14:textFill>
              </w:rPr>
              <w:t>600</w:t>
            </w:r>
          </w:p>
        </w:tc>
      </w:tr>
    </w:tbl>
    <w:p w14:paraId="1459D212">
      <w:pPr>
        <w:spacing w:before="39"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8.2.8</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 xml:space="preserve"> 场地内风环境有利于室外行走、活动舒适和建筑的自然通风，评价总分值为10分，并按下列规则分别评分并累计：</w:t>
      </w:r>
    </w:p>
    <w:p w14:paraId="17B755A2">
      <w:pPr>
        <w:spacing w:before="39"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z w:val="24"/>
          <w:szCs w:val="24"/>
          <w:u w:val="none"/>
          <w14:textFill>
            <w14:solidFill>
              <w14:schemeClr w14:val="tx1"/>
            </w14:solidFill>
          </w14:textFill>
        </w:rPr>
        <w:t>在冬季典型风速和风向条件下，按下列规则分别评分并累计：</w:t>
      </w:r>
    </w:p>
    <w:p w14:paraId="2984636C">
      <w:pPr>
        <w:spacing w:before="39"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建筑物周围人行区距地高1.5m处风速小于5m/s</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户外休息区、儿童娱乐区风速小于2m/s</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且室外风速放大系数小于2</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得3分；</w:t>
      </w:r>
    </w:p>
    <w:p w14:paraId="75394A1E">
      <w:pPr>
        <w:spacing w:before="39"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除迎风第一排建筑外，建筑迎风面与背风面表面风压差不大于5Pa</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得 2 分 。</w:t>
      </w:r>
    </w:p>
    <w:p w14:paraId="7AE1EED7">
      <w:pPr>
        <w:spacing w:before="39" w:line="360" w:lineRule="auto"/>
        <w:ind w:firstLine="325" w:firstLineChars="15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z w:val="24"/>
          <w:szCs w:val="24"/>
          <w:u w:val="none"/>
          <w14:textFill>
            <w14:solidFill>
              <w14:schemeClr w14:val="tx1"/>
            </w14:solidFill>
          </w14:textFill>
        </w:rPr>
        <w:t>过渡季、夏季典型风速和风向条件下，按下列规则分别评分并累计：</w:t>
      </w:r>
    </w:p>
    <w:p w14:paraId="035A35A6">
      <w:pPr>
        <w:spacing w:before="39"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场地内人活动区不出现涡旋或无风区，得3分；</w:t>
      </w:r>
    </w:p>
    <w:p w14:paraId="267F3392">
      <w:pPr>
        <w:spacing w:before="39"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b/>
          <w:color w:val="000000" w:themeColor="text1"/>
          <w:spacing w:val="-12"/>
          <w:sz w:val="24"/>
          <w:szCs w:val="24"/>
          <w:u w:val="none"/>
          <w:lang w:eastAsia="zh-CN"/>
          <w14:textFill>
            <w14:solidFill>
              <w14:schemeClr w14:val="tx1"/>
            </w14:solidFill>
          </w14:textFill>
        </w:rPr>
        <w:t>）</w:t>
      </w: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50%以上可开启外窗室内外表面的风压差大于0.5Pa</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得2分。</w:t>
      </w:r>
    </w:p>
    <w:p w14:paraId="2113DBA5">
      <w:pPr>
        <w:spacing w:before="39"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8.2.9 </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采取措施降低热岛强度，评价总分值为10分，按下列规则分别评分并累计：</w:t>
      </w:r>
    </w:p>
    <w:p w14:paraId="5F2B4650">
      <w:pPr>
        <w:spacing w:before="39"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z w:val="24"/>
          <w:szCs w:val="24"/>
          <w:u w:val="none"/>
          <w14:textFill>
            <w14:solidFill>
              <w14:schemeClr w14:val="tx1"/>
            </w14:solidFill>
          </w14:textFill>
        </w:rPr>
        <w:t xml:space="preserve"> 场地中处于建筑阴影区外的步道、游憩场、庭院、广场等室外活动场地设有遮阴措施的面积比例，住宅建筑达到30%</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公共建筑达到10%</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得2分；住宅建筑达到50%</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公共建筑达到20%</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得3分；</w:t>
      </w:r>
    </w:p>
    <w:p w14:paraId="3109C72E">
      <w:pPr>
        <w:spacing w:before="39"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z w:val="24"/>
          <w:szCs w:val="24"/>
          <w:u w:val="none"/>
          <w14:textFill>
            <w14:solidFill>
              <w14:schemeClr w14:val="tx1"/>
            </w14:solidFill>
          </w14:textFill>
        </w:rPr>
        <w:t>场地中处于建筑阴影区外的机动车道设有遮阴面积较大的行道树的路段长度超过70%</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得3分；</w:t>
      </w:r>
    </w:p>
    <w:p w14:paraId="18C69292">
      <w:pPr>
        <w:spacing w:before="39" w:line="360" w:lineRule="auto"/>
        <w:ind w:firstLine="434"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z w:val="24"/>
          <w:szCs w:val="24"/>
          <w:u w:val="none"/>
          <w14:textFill>
            <w14:solidFill>
              <w14:schemeClr w14:val="tx1"/>
            </w14:solidFill>
          </w14:textFill>
        </w:rPr>
        <w:t>屋顶的绿化面积、太阳能板水平投影面积以及太阳辐射反射系数不小于0.4的屋面面积合计达到75%</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得4分。</w:t>
      </w:r>
      <w:r>
        <w:rPr>
          <w:rFonts w:hint="default" w:ascii="Times New Roman" w:hAnsi="Times New Roman" w:cs="Times New Roman"/>
          <w:color w:val="000000" w:themeColor="text1"/>
          <w:sz w:val="24"/>
          <w:szCs w:val="24"/>
          <w:u w:val="none"/>
          <w14:textFill>
            <w14:solidFill>
              <w14:schemeClr w14:val="tx1"/>
            </w14:solidFill>
          </w14:textFill>
        </w:rPr>
        <w:br w:type="page"/>
      </w:r>
    </w:p>
    <w:p w14:paraId="77457594">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02" w:name="_Toc204247737"/>
      <w:bookmarkStart w:id="103" w:name="_Toc30601"/>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9 提高与创新</w:t>
      </w:r>
      <w:bookmarkEnd w:id="102"/>
      <w:bookmarkEnd w:id="103"/>
    </w:p>
    <w:p w14:paraId="44467E66">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04" w:name="bookmark38"/>
      <w:bookmarkEnd w:id="104"/>
      <w:bookmarkStart w:id="105" w:name="_Toc204247738"/>
      <w:bookmarkStart w:id="106" w:name="_Toc8514"/>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9.1 一般规定</w:t>
      </w:r>
      <w:bookmarkEnd w:id="105"/>
      <w:bookmarkEnd w:id="106"/>
    </w:p>
    <w:p w14:paraId="1FDB8EB8">
      <w:pPr>
        <w:spacing w:before="230" w:line="360" w:lineRule="auto"/>
        <w:ind w:right="147" w:firstLine="3"/>
        <w:jc w:val="left"/>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9.1.1  </w:t>
      </w:r>
      <w:r>
        <w:rPr>
          <w:rFonts w:hint="default" w:ascii="Times New Roman" w:hAnsi="Times New Roman" w:cs="Times New Roman"/>
          <w:color w:val="000000" w:themeColor="text1"/>
          <w:sz w:val="24"/>
          <w:szCs w:val="24"/>
          <w:u w:val="none"/>
          <w14:textFill>
            <w14:solidFill>
              <w14:schemeClr w14:val="tx1"/>
            </w14:solidFill>
          </w14:textFill>
        </w:rPr>
        <w:t>绿色建筑评价时，应按本章规定对提高与创新项进行评价。</w:t>
      </w:r>
    </w:p>
    <w:p w14:paraId="54D70820">
      <w:pPr>
        <w:spacing w:before="63" w:line="360" w:lineRule="auto"/>
        <w:ind w:right="128"/>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9.1.2 </w:t>
      </w:r>
      <w:r>
        <w:rPr>
          <w:rFonts w:hint="default" w:ascii="Times New Roman" w:hAnsi="Times New Roman" w:cs="Times New Roman"/>
          <w:bCs/>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提高与创新项得分为</w:t>
      </w:r>
      <w:r>
        <w:rPr>
          <w:rFonts w:hint="default" w:ascii="Times New Roman" w:hAnsi="Times New Roman" w:cs="Times New Roman"/>
          <w:color w:val="000000" w:themeColor="text1"/>
          <w:spacing w:val="-1"/>
          <w:sz w:val="24"/>
          <w:szCs w:val="24"/>
          <w:u w:val="none"/>
          <w14:textFill>
            <w14:solidFill>
              <w14:schemeClr w14:val="tx1"/>
            </w14:solidFill>
          </w14:textFill>
        </w:rPr>
        <w:t>加分项得分之和，当得分大于100</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分时，应取为100分。</w:t>
      </w:r>
    </w:p>
    <w:p w14:paraId="2719B92C">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07" w:name="bookmark39"/>
      <w:bookmarkEnd w:id="107"/>
      <w:bookmarkStart w:id="108" w:name="_Toc22992"/>
      <w:bookmarkStart w:id="109" w:name="_Toc204247739"/>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9.2 加分项</w:t>
      </w:r>
      <w:bookmarkEnd w:id="108"/>
      <w:bookmarkEnd w:id="109"/>
    </w:p>
    <w:p w14:paraId="277579DE">
      <w:pPr>
        <w:spacing w:before="218" w:line="360" w:lineRule="auto"/>
        <w:ind w:right="140" w:firstLine="3"/>
        <w:rPr>
          <w:rFonts w:hint="default" w:ascii="Times New Roman" w:hAnsi="Times New Roman" w:cs="Times New Roman"/>
          <w:color w:val="000000" w:themeColor="text1"/>
          <w:spacing w:val="-4"/>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9.2.1 </w:t>
      </w:r>
      <w:r>
        <w:rPr>
          <w:rFonts w:hint="default" w:ascii="Times New Roman" w:hAnsi="Times New Roman" w:cs="Times New Roman"/>
          <w:color w:val="000000" w:themeColor="text1"/>
          <w:spacing w:val="76"/>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采取措施进一步降低建筑供暖空调系统的能耗，评价总 分值为30分。建筑供暖空调系统能耗比现行强制性工程建设规范《建筑节能与可再生能源利用通用规范》GB 55015的规定降 低20%</w:t>
      </w:r>
      <w:r>
        <w:rPr>
          <w:rFonts w:hint="default" w:ascii="Times New Roman" w:hAnsi="Times New Roman" w:cs="Times New Roman"/>
          <w:color w:val="000000" w:themeColor="text1"/>
          <w:spacing w:val="-4"/>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4"/>
          <w:sz w:val="24"/>
          <w:szCs w:val="24"/>
          <w:u w:val="none"/>
          <w14:textFill>
            <w14:solidFill>
              <w14:schemeClr w14:val="tx1"/>
            </w14:solidFill>
          </w14:textFill>
        </w:rPr>
        <w:t>得10分；每再降低10%</w:t>
      </w:r>
      <w:r>
        <w:rPr>
          <w:rFonts w:hint="default" w:ascii="Times New Roman" w:hAnsi="Times New Roman" w:cs="Times New Roman"/>
          <w:color w:val="000000" w:themeColor="text1"/>
          <w:spacing w:val="-4"/>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4"/>
          <w:sz w:val="24"/>
          <w:szCs w:val="24"/>
          <w:u w:val="none"/>
          <w14:textFill>
            <w14:solidFill>
              <w14:schemeClr w14:val="tx1"/>
            </w14:solidFill>
          </w14:textFill>
        </w:rPr>
        <w:t>再得5分，最高得30分。</w:t>
      </w:r>
    </w:p>
    <w:p w14:paraId="5199D8DE">
      <w:pPr>
        <w:spacing w:before="66"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9.2.2 </w:t>
      </w:r>
      <w:r>
        <w:rPr>
          <w:rFonts w:hint="default" w:ascii="Times New Roman" w:hAnsi="Times New Roman" w:cs="Times New Roman"/>
          <w:bCs/>
          <w:color w:val="000000" w:themeColor="text1"/>
          <w:spacing w:val="-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因地制宜建设绿色建筑，评价总分值为30分，并按下</w:t>
      </w:r>
      <w:r>
        <w:rPr>
          <w:rFonts w:hint="default" w:ascii="Times New Roman" w:hAnsi="Times New Roman" w:cs="Times New Roman"/>
          <w:color w:val="000000" w:themeColor="text1"/>
          <w:spacing w:val="-8"/>
          <w:sz w:val="24"/>
          <w:szCs w:val="24"/>
          <w:u w:val="none"/>
          <w14:textFill>
            <w14:solidFill>
              <w14:schemeClr w14:val="tx1"/>
            </w14:solidFill>
          </w14:textFill>
        </w:rPr>
        <w:t>列规则分别评分并累计：</w:t>
      </w:r>
    </w:p>
    <w:p w14:paraId="64B49C49">
      <w:pPr>
        <w:spacing w:before="8" w:line="360" w:lineRule="auto"/>
        <w:ind w:right="150" w:firstLine="42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
          <w:sz w:val="24"/>
          <w:szCs w:val="24"/>
          <w:u w:val="none"/>
          <w14:textFill>
            <w14:solidFill>
              <w14:schemeClr w14:val="tx1"/>
            </w14:solidFill>
          </w14:textFill>
        </w:rPr>
        <w:t>传承建筑文化，采用适宜地区特色的建筑风貌设计，得</w:t>
      </w:r>
      <w:r>
        <w:rPr>
          <w:rFonts w:hint="default" w:ascii="Times New Roman" w:hAnsi="Times New Roman" w:cs="Times New Roman"/>
          <w:color w:val="000000" w:themeColor="text1"/>
          <w:spacing w:val="2"/>
          <w:sz w:val="24"/>
          <w:szCs w:val="24"/>
          <w:u w:val="none"/>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 xml:space="preserve">15分； </w:t>
      </w:r>
    </w:p>
    <w:p w14:paraId="3D7D885B">
      <w:pPr>
        <w:spacing w:before="1" w:line="360" w:lineRule="auto"/>
        <w:ind w:firstLine="42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z w:val="24"/>
          <w:szCs w:val="24"/>
          <w:u w:val="none"/>
          <w14:textFill>
            <w14:solidFill>
              <w14:schemeClr w14:val="tx1"/>
            </w14:solidFill>
          </w14:textFill>
        </w:rPr>
        <w:t xml:space="preserve">利用既有资源，合理利用废弃场地或充分利用旧建筑，得8分。 </w:t>
      </w:r>
    </w:p>
    <w:p w14:paraId="6876C4D9">
      <w:pPr>
        <w:spacing w:line="360" w:lineRule="auto"/>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9.2.3 </w:t>
      </w:r>
      <w:r>
        <w:rPr>
          <w:rFonts w:hint="default" w:ascii="Times New Roman" w:hAnsi="Times New Roman" w:cs="Times New Roman"/>
          <w:bCs/>
          <w:color w:val="000000" w:themeColor="text1"/>
          <w:spacing w:val="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采用蓄冷蓄热蓄电、建筑设备智能调节等技术实现建</w:t>
      </w:r>
      <w:r>
        <w:rPr>
          <w:rFonts w:hint="default" w:ascii="Times New Roman" w:hAnsi="Times New Roman" w:cs="Times New Roman"/>
          <w:color w:val="000000" w:themeColor="text1"/>
          <w:spacing w:val="1"/>
          <w:sz w:val="24"/>
          <w:szCs w:val="24"/>
          <w:u w:val="none"/>
          <w14:textFill>
            <w14:solidFill>
              <w14:schemeClr w14:val="tx1"/>
            </w14:solidFill>
          </w14:textFill>
        </w:rPr>
        <w:t>筑电力交互，评价总分值为20分。用电负荷调节比例达到5%</w:t>
      </w:r>
      <w:r>
        <w:rPr>
          <w:rFonts w:hint="default" w:ascii="Times New Roman" w:hAnsi="Times New Roman" w:cs="Times New Roman"/>
          <w:color w:val="000000" w:themeColor="text1"/>
          <w:spacing w:val="1"/>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9"/>
          <w:sz w:val="24"/>
          <w:szCs w:val="24"/>
          <w:u w:val="none"/>
          <w14:textFill>
            <w14:solidFill>
              <w14:schemeClr w14:val="tx1"/>
            </w14:solidFill>
          </w14:textFill>
        </w:rPr>
        <w:t>得5分；每再增加1%，再得1分，最高得20分。</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w:t>
      </w:r>
    </w:p>
    <w:p w14:paraId="298114CC">
      <w:pPr>
        <w:spacing w:before="36"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9.2.4</w:t>
      </w:r>
      <w:r>
        <w:rPr>
          <w:rFonts w:hint="default" w:ascii="Times New Roman" w:hAnsi="Times New Roman" w:cs="Times New Roman"/>
          <w:bCs/>
          <w:color w:val="000000" w:themeColor="text1"/>
          <w:spacing w:val="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
          <w:sz w:val="24"/>
          <w:szCs w:val="24"/>
          <w:u w:val="none"/>
          <w14:textFill>
            <w14:solidFill>
              <w14:schemeClr w14:val="tx1"/>
            </w14:solidFill>
          </w14:textFill>
        </w:rPr>
        <w:t>采取措施提升场地绿容率，评价总分值为5分，并按</w:t>
      </w:r>
      <w:r>
        <w:rPr>
          <w:rFonts w:hint="default" w:ascii="Times New Roman" w:hAnsi="Times New Roman" w:cs="Times New Roman"/>
          <w:color w:val="000000" w:themeColor="text1"/>
          <w:spacing w:val="-16"/>
          <w:sz w:val="24"/>
          <w:szCs w:val="24"/>
          <w:u w:val="none"/>
          <w14:textFill>
            <w14:solidFill>
              <w14:schemeClr w14:val="tx1"/>
            </w14:solidFill>
          </w14:textFill>
        </w:rPr>
        <w:t>下列规则评分：</w:t>
      </w:r>
    </w:p>
    <w:p w14:paraId="4F68437F">
      <w:pPr>
        <w:spacing w:before="4" w:line="360" w:lineRule="auto"/>
        <w:ind w:right="64" w:firstLine="4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6"/>
          <w:sz w:val="24"/>
          <w:szCs w:val="24"/>
          <w:u w:val="none"/>
          <w14:textFill>
            <w14:solidFill>
              <w14:schemeClr w14:val="tx1"/>
            </w14:solidFill>
          </w14:textFill>
        </w:rPr>
        <w:t>场地绿容率计算值，不低于1.0，得1分；不低于2.0，</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得2分；不低于3.0，得3分。 </w:t>
      </w:r>
    </w:p>
    <w:p w14:paraId="7F56919C">
      <w:pPr>
        <w:spacing w:before="59" w:line="360" w:lineRule="auto"/>
        <w:ind w:right="123" w:firstLine="400"/>
        <w:rPr>
          <w:rFonts w:hint="default" w:ascii="Times New Roman" w:hAnsi="Times New Roman" w:cs="Times New Roman"/>
          <w:color w:val="000000" w:themeColor="text1"/>
          <w:spacing w:val="5"/>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9"/>
          <w:sz w:val="24"/>
          <w:szCs w:val="24"/>
          <w:u w:val="none"/>
          <w14:textFill>
            <w14:solidFill>
              <w14:schemeClr w14:val="tx1"/>
            </w14:solidFill>
          </w14:textFill>
        </w:rPr>
        <w:t>场地绿容率实测值，不低于1.0，得2</w:t>
      </w:r>
      <w:r>
        <w:rPr>
          <w:rFonts w:hint="default" w:ascii="Times New Roman" w:hAnsi="Times New Roman" w:cs="Times New Roman"/>
          <w:color w:val="000000" w:themeColor="text1"/>
          <w:spacing w:val="8"/>
          <w:sz w:val="24"/>
          <w:szCs w:val="24"/>
          <w:u w:val="none"/>
          <w14:textFill>
            <w14:solidFill>
              <w14:schemeClr w14:val="tx1"/>
            </w14:solidFill>
          </w14:textFill>
        </w:rPr>
        <w:t>分；不低于2.0</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得4分；不低于3.0，得5分。 </w:t>
      </w:r>
    </w:p>
    <w:p w14:paraId="0C29DDAE">
      <w:pPr>
        <w:spacing w:before="81" w:line="360" w:lineRule="auto"/>
        <w:ind w:right="85"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9.2.5 </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14"/>
          <w:sz w:val="24"/>
          <w:szCs w:val="24"/>
          <w:u w:val="none"/>
          <w14:textFill>
            <w14:solidFill>
              <w14:schemeClr w14:val="tx1"/>
            </w14:solidFill>
          </w14:textFill>
        </w:rPr>
        <w:t>采用符合工业化建造要求的结构体系</w:t>
      </w:r>
      <w:r>
        <w:rPr>
          <w:rFonts w:hint="default" w:ascii="Times New Roman" w:hAnsi="Times New Roman" w:cs="Times New Roman"/>
          <w:color w:val="000000" w:themeColor="text1"/>
          <w:spacing w:val="-15"/>
          <w:sz w:val="24"/>
          <w:szCs w:val="24"/>
          <w:u w:val="none"/>
          <w14:textFill>
            <w14:solidFill>
              <w14:schemeClr w14:val="tx1"/>
            </w14:solidFill>
          </w14:textFill>
        </w:rPr>
        <w:t>与建筑构件，采用装配式建筑技术，评价</w:t>
      </w:r>
      <w:r>
        <w:rPr>
          <w:rFonts w:hint="default" w:ascii="Times New Roman" w:hAnsi="Times New Roman" w:cs="Times New Roman"/>
          <w:color w:val="000000" w:themeColor="text1"/>
          <w:spacing w:val="-14"/>
          <w:sz w:val="24"/>
          <w:szCs w:val="24"/>
          <w:u w:val="none"/>
          <w14:textFill>
            <w14:solidFill>
              <w14:schemeClr w14:val="tx1"/>
            </w14:solidFill>
          </w14:textFill>
        </w:rPr>
        <w:t>分值为35分，并按下列规则评分：</w:t>
      </w:r>
    </w:p>
    <w:p w14:paraId="599F20DE">
      <w:pPr>
        <w:spacing w:before="55" w:line="360" w:lineRule="auto"/>
        <w:ind w:left="4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  </w:t>
      </w:r>
      <w:r>
        <w:rPr>
          <w:rFonts w:hint="default" w:ascii="Times New Roman" w:hAnsi="Times New Roman" w:cs="Times New Roman"/>
          <w:color w:val="000000" w:themeColor="text1"/>
          <w:spacing w:val="-14"/>
          <w:sz w:val="24"/>
          <w:szCs w:val="24"/>
          <w:u w:val="none"/>
          <w14:textFill>
            <w14:solidFill>
              <w14:schemeClr w14:val="tx1"/>
            </w14:solidFill>
          </w14:textFill>
        </w:rPr>
        <w:t>主体结构采用钢结构、木结构，得10分。</w:t>
      </w:r>
    </w:p>
    <w:p w14:paraId="6EAFA889">
      <w:pPr>
        <w:spacing w:before="37" w:line="360" w:lineRule="auto"/>
        <w:ind w:right="43" w:firstLine="400"/>
        <w:rPr>
          <w:rFonts w:hint="default" w:ascii="Times New Roman" w:hAnsi="Times New Roman" w:cs="Times New Roman"/>
          <w:color w:val="000000" w:themeColor="text1"/>
          <w:spacing w:val="-3"/>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16"/>
          <w:sz w:val="24"/>
          <w:szCs w:val="24"/>
          <w:u w:val="none"/>
          <w14:textFill>
            <w14:solidFill>
              <w14:schemeClr w14:val="tx1"/>
            </w14:solidFill>
          </w14:textFill>
        </w:rPr>
        <w:t>主体结构采用混凝土结构，地上部分预制</w:t>
      </w:r>
      <w:r>
        <w:rPr>
          <w:rFonts w:hint="default" w:ascii="Times New Roman" w:hAnsi="Times New Roman" w:cs="Times New Roman"/>
          <w:color w:val="000000" w:themeColor="text1"/>
          <w:spacing w:val="-17"/>
          <w:sz w:val="24"/>
          <w:szCs w:val="24"/>
          <w:u w:val="none"/>
          <w14:textFill>
            <w14:solidFill>
              <w14:schemeClr w14:val="tx1"/>
            </w14:solidFill>
          </w14:textFill>
        </w:rPr>
        <w:t>构件应用混凝</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9"/>
          <w:sz w:val="24"/>
          <w:szCs w:val="24"/>
          <w:u w:val="none"/>
          <w14:textFill>
            <w14:solidFill>
              <w14:schemeClr w14:val="tx1"/>
            </w14:solidFill>
          </w14:textFill>
        </w:rPr>
        <w:t>土体积占混凝土总体积的比例达到35%</w:t>
      </w:r>
      <w:r>
        <w:rPr>
          <w:rFonts w:hint="default" w:ascii="Times New Roman" w:hAnsi="Times New Roman" w:cs="Times New Roman"/>
          <w:color w:val="000000" w:themeColor="text1"/>
          <w:spacing w:val="9"/>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9"/>
          <w:sz w:val="24"/>
          <w:szCs w:val="24"/>
          <w:u w:val="none"/>
          <w14:textFill>
            <w14:solidFill>
              <w14:schemeClr w14:val="tx1"/>
            </w14:solidFill>
          </w14:textFill>
        </w:rPr>
        <w:t>得5分；</w:t>
      </w:r>
      <w:r>
        <w:rPr>
          <w:rFonts w:hint="default" w:ascii="Times New Roman" w:hAnsi="Times New Roman" w:cs="Times New Roman"/>
          <w:color w:val="000000" w:themeColor="text1"/>
          <w:spacing w:val="8"/>
          <w:sz w:val="24"/>
          <w:szCs w:val="24"/>
          <w:u w:val="none"/>
          <w14:textFill>
            <w14:solidFill>
              <w14:schemeClr w14:val="tx1"/>
            </w14:solidFill>
          </w14:textFill>
        </w:rPr>
        <w:t>达到50%</w:t>
      </w:r>
      <w:r>
        <w:rPr>
          <w:rFonts w:hint="default" w:ascii="Times New Roman" w:hAnsi="Times New Roman"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3"/>
          <w:sz w:val="24"/>
          <w:szCs w:val="24"/>
          <w:u w:val="none"/>
          <w14:textFill>
            <w14:solidFill>
              <w14:schemeClr w14:val="tx1"/>
            </w14:solidFill>
          </w14:textFill>
        </w:rPr>
        <w:t>得10分。</w:t>
      </w:r>
    </w:p>
    <w:p w14:paraId="1CD8DFA2">
      <w:pPr>
        <w:spacing w:before="8" w:line="360" w:lineRule="auto"/>
        <w:ind w:right="150" w:firstLine="429"/>
        <w:rPr>
          <w:rFonts w:hint="default" w:ascii="Times New Roman" w:hAnsi="Times New Roman" w:cs="Times New Roman"/>
          <w:color w:val="000000" w:themeColor="text1"/>
          <w:sz w:val="24"/>
          <w:szCs w:val="24"/>
          <w:u w:val="none"/>
          <w14:textFill>
            <w14:solidFill>
              <w14:schemeClr w14:val="tx1"/>
            </w14:solidFill>
          </w14:textFill>
        </w:rPr>
      </w:pPr>
      <w:bookmarkStart w:id="110" w:name="OLE_LINK80"/>
      <w:bookmarkStart w:id="111" w:name="OLE_LINK79"/>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z w:val="24"/>
          <w:szCs w:val="24"/>
          <w:u w:val="none"/>
          <w14:textFill>
            <w14:solidFill>
              <w14:schemeClr w14:val="tx1"/>
            </w14:solidFill>
          </w14:textFill>
        </w:rPr>
        <w:t xml:space="preserve"> 采用装配式装修，如采用集成式厨房、集成式卫生间比例不低于70%，得10分。</w:t>
      </w:r>
    </w:p>
    <w:p w14:paraId="3A2B99AE">
      <w:pPr>
        <w:spacing w:before="8" w:line="360" w:lineRule="auto"/>
        <w:ind w:right="150" w:firstLine="429"/>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 </w:t>
      </w:r>
      <w:r>
        <w:rPr>
          <w:rFonts w:hint="default" w:ascii="Times New Roman" w:hAnsi="Times New Roman" w:cs="Times New Roman"/>
          <w:color w:val="000000" w:themeColor="text1"/>
          <w:sz w:val="24"/>
          <w:szCs w:val="24"/>
          <w:u w:val="none"/>
          <w14:textFill>
            <w14:solidFill>
              <w14:schemeClr w14:val="tx1"/>
            </w14:solidFill>
          </w14:textFill>
        </w:rPr>
        <w:t>不低于30%计容面积建筑装配率达到50%，得5分；不低于30%计容面积建筑装配率达到60%，评价为A级装配式建筑，得10分；不低于30%计容面积建筑装配率达到75%及以上，评价为 AA 级装配式建筑或 AAA 级装配式建筑，得15分。</w:t>
      </w:r>
    </w:p>
    <w:bookmarkEnd w:id="110"/>
    <w:bookmarkEnd w:id="111"/>
    <w:p w14:paraId="506496C6">
      <w:pPr>
        <w:spacing w:before="65" w:line="360" w:lineRule="auto"/>
        <w:ind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9.2.6 </w:t>
      </w:r>
      <w:r>
        <w:rPr>
          <w:rFonts w:hint="default" w:ascii="Times New Roman" w:hAnsi="Times New Roman" w:cs="Times New Roman"/>
          <w:color w:val="000000" w:themeColor="text1"/>
          <w:spacing w:val="47"/>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6"/>
          <w:sz w:val="24"/>
          <w:szCs w:val="24"/>
          <w:u w:val="none"/>
          <w14:textFill>
            <w14:solidFill>
              <w14:schemeClr w14:val="tx1"/>
            </w14:solidFill>
          </w14:textFill>
        </w:rPr>
        <w:t>应用建筑信息模型（BIM）技术，评价总分值为15</w:t>
      </w:r>
      <w:r>
        <w:rPr>
          <w:rFonts w:hint="default" w:ascii="Times New Roman" w:hAnsi="Times New Roman" w:cs="Times New Roman"/>
          <w:color w:val="000000" w:themeColor="text1"/>
          <w:spacing w:val="-7"/>
          <w:sz w:val="24"/>
          <w:szCs w:val="24"/>
          <w:u w:val="none"/>
          <w14:textFill>
            <w14:solidFill>
              <w14:schemeClr w14:val="tx1"/>
            </w14:solidFill>
          </w14:textFill>
        </w:rPr>
        <w:t>分。</w:t>
      </w:r>
      <w:r>
        <w:rPr>
          <w:rFonts w:hint="default" w:ascii="Times New Roman" w:hAnsi="Times New Roman" w:cs="Times New Roman"/>
          <w:color w:val="000000" w:themeColor="text1"/>
          <w:spacing w:val="-14"/>
          <w:sz w:val="24"/>
          <w:szCs w:val="24"/>
          <w:u w:val="none"/>
          <w14:textFill>
            <w14:solidFill>
              <w14:schemeClr w14:val="tx1"/>
            </w14:solidFill>
          </w14:textFill>
        </w:rPr>
        <w:t>在建筑的规划设计、施工建造和运行维护阶段中的一个阶段应</w:t>
      </w:r>
      <w:r>
        <w:rPr>
          <w:rFonts w:hint="default" w:ascii="Times New Roman" w:hAnsi="Times New Roman" w:cs="Times New Roman"/>
          <w:color w:val="000000" w:themeColor="text1"/>
          <w:spacing w:val="7"/>
          <w:sz w:val="24"/>
          <w:szCs w:val="24"/>
          <w:u w:val="none"/>
          <w14:textFill>
            <w14:solidFill>
              <w14:schemeClr w14:val="tx1"/>
            </w14:solidFill>
          </w14:textFill>
        </w:rPr>
        <w:t>用，得5分；两个阶段应用，得10分；三个阶段应用，得</w:t>
      </w:r>
      <w:r>
        <w:rPr>
          <w:rFonts w:hint="default" w:ascii="Times New Roman" w:hAnsi="Times New Roman" w:cs="Times New Roman"/>
          <w:color w:val="000000" w:themeColor="text1"/>
          <w:spacing w:val="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0"/>
          <w:sz w:val="24"/>
          <w:szCs w:val="24"/>
          <w:u w:val="none"/>
          <w14:textFill>
            <w14:solidFill>
              <w14:schemeClr w14:val="tx1"/>
            </w14:solidFill>
          </w14:textFill>
        </w:rPr>
        <w:t>15分。</w:t>
      </w:r>
    </w:p>
    <w:p w14:paraId="38C2083F">
      <w:pPr>
        <w:spacing w:before="45" w:line="360" w:lineRule="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9.2.7 </w:t>
      </w:r>
      <w:r>
        <w:rPr>
          <w:rFonts w:hint="default" w:ascii="Times New Roman" w:hAnsi="Times New Roman" w:cs="Times New Roman"/>
          <w:bCs/>
          <w:color w:val="000000" w:themeColor="text1"/>
          <w:spacing w:val="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5"/>
          <w:sz w:val="24"/>
          <w:szCs w:val="24"/>
          <w:u w:val="none"/>
          <w14:textFill>
            <w14:solidFill>
              <w14:schemeClr w14:val="tx1"/>
            </w14:solidFill>
          </w14:textFill>
        </w:rPr>
        <w:t>采取措施降低建筑全寿命期碳排放</w:t>
      </w:r>
      <w:r>
        <w:rPr>
          <w:rFonts w:hint="default" w:ascii="Times New Roman" w:hAnsi="Times New Roman" w:cs="Times New Roman"/>
          <w:color w:val="000000" w:themeColor="text1"/>
          <w:spacing w:val="-6"/>
          <w:sz w:val="24"/>
          <w:szCs w:val="24"/>
          <w:u w:val="none"/>
          <w14:textFill>
            <w14:solidFill>
              <w14:schemeClr w14:val="tx1"/>
            </w14:solidFill>
          </w14:textFill>
        </w:rPr>
        <w:t>强度，评价总分值</w:t>
      </w:r>
      <w:r>
        <w:rPr>
          <w:rFonts w:hint="default" w:ascii="Times New Roman" w:hAnsi="Times New Roman" w:cs="Times New Roman"/>
          <w:color w:val="000000" w:themeColor="text1"/>
          <w:spacing w:val="10"/>
          <w:sz w:val="24"/>
          <w:szCs w:val="24"/>
          <w:u w:val="none"/>
          <w14:textFill>
            <w14:solidFill>
              <w14:schemeClr w14:val="tx1"/>
            </w14:solidFill>
          </w14:textFill>
        </w:rPr>
        <w:t>为30分。降低10%</w:t>
      </w:r>
      <w:r>
        <w:rPr>
          <w:rFonts w:hint="default" w:ascii="Times New Roman" w:hAnsi="Times New Roman" w:cs="Times New Roman"/>
          <w:color w:val="000000" w:themeColor="text1"/>
          <w:spacing w:val="10"/>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10"/>
          <w:sz w:val="24"/>
          <w:szCs w:val="24"/>
          <w:u w:val="none"/>
          <w14:textFill>
            <w14:solidFill>
              <w14:schemeClr w14:val="tx1"/>
            </w14:solidFill>
          </w14:textFill>
        </w:rPr>
        <w:t>得10分；每再降低1%，再得1分，最高</w:t>
      </w:r>
      <w:r>
        <w:rPr>
          <w:rFonts w:hint="default" w:ascii="Times New Roman" w:hAnsi="Times New Roman" w:cs="Times New Roman"/>
          <w:color w:val="000000" w:themeColor="text1"/>
          <w:spacing w:val="9"/>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4"/>
          <w:sz w:val="24"/>
          <w:szCs w:val="24"/>
          <w:u w:val="none"/>
          <w14:textFill>
            <w14:solidFill>
              <w14:schemeClr w14:val="tx1"/>
            </w14:solidFill>
          </w14:textFill>
        </w:rPr>
        <w:t>得30分。</w:t>
      </w:r>
    </w:p>
    <w:p w14:paraId="66213566">
      <w:pPr>
        <w:spacing w:before="74" w:line="360" w:lineRule="auto"/>
        <w:ind w:right="64" w:firstLine="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9.2.8</w:t>
      </w:r>
      <w:r>
        <w:rPr>
          <w:rFonts w:hint="default" w:ascii="Times New Roman" w:hAnsi="Times New Roman" w:cs="Times New Roman"/>
          <w:color w:val="000000" w:themeColor="text1"/>
          <w:spacing w:val="64"/>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4"/>
          <w:sz w:val="24"/>
          <w:szCs w:val="24"/>
          <w:u w:val="none"/>
          <w14:textFill>
            <w14:solidFill>
              <w14:schemeClr w14:val="tx1"/>
            </w14:solidFill>
          </w14:textFill>
        </w:rPr>
        <w:t>按照绿色施工的要求进行施工和管理，评价总分值为10</w:t>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21"/>
          <w:sz w:val="24"/>
          <w:szCs w:val="24"/>
          <w:u w:val="none"/>
          <w14:textFill>
            <w14:solidFill>
              <w14:schemeClr w14:val="tx1"/>
            </w14:solidFill>
          </w14:textFill>
        </w:rPr>
        <w:t>分，并按下列规则分别评分并累计：</w:t>
      </w:r>
    </w:p>
    <w:p w14:paraId="23CE3B71">
      <w:pPr>
        <w:spacing w:before="36" w:line="360" w:lineRule="auto"/>
        <w:ind w:right="105" w:firstLine="4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5"/>
          <w:sz w:val="24"/>
          <w:szCs w:val="24"/>
          <w:u w:val="none"/>
          <w14:textFill>
            <w14:solidFill>
              <w14:schemeClr w14:val="tx1"/>
            </w14:solidFill>
          </w14:textFill>
        </w:rPr>
        <w:t>单位工程单位面积的用电量比定额节约10%以上，得</w:t>
      </w:r>
      <w:r>
        <w:rPr>
          <w:rFonts w:hint="default" w:ascii="Times New Roman" w:hAnsi="Times New Roman" w:cs="Times New Roman"/>
          <w:color w:val="000000" w:themeColor="text1"/>
          <w:spacing w:val="13"/>
          <w:sz w:val="24"/>
          <w:szCs w:val="24"/>
          <w:u w:val="none"/>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 xml:space="preserve">2分； </w:t>
      </w:r>
    </w:p>
    <w:p w14:paraId="5878EF1A">
      <w:pPr>
        <w:spacing w:before="20" w:line="360" w:lineRule="auto"/>
        <w:ind w:right="88" w:firstLine="4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cs="Times New Roman"/>
          <w:color w:val="000000" w:themeColor="text1"/>
          <w:spacing w:val="-8"/>
          <w:sz w:val="24"/>
          <w:szCs w:val="24"/>
          <w:u w:val="none"/>
          <w14:textFill>
            <w14:solidFill>
              <w14:schemeClr w14:val="tx1"/>
            </w14:solidFill>
          </w14:textFill>
        </w:rPr>
        <w:t>采取措施加强建筑垃圾回收再利用，建筑垃圾回收利用</w:t>
      </w:r>
      <w:r>
        <w:rPr>
          <w:rFonts w:hint="default" w:ascii="Times New Roman" w:hAnsi="Times New Roman" w:cs="Times New Roman"/>
          <w:color w:val="000000" w:themeColor="text1"/>
          <w:spacing w:val="2"/>
          <w:sz w:val="24"/>
          <w:szCs w:val="24"/>
          <w:u w:val="none"/>
          <w14:textFill>
            <w14:solidFill>
              <w14:schemeClr w14:val="tx1"/>
            </w14:solidFill>
          </w14:textFill>
        </w:rPr>
        <w:t>率不低于50%，得2分；</w:t>
      </w:r>
      <w:r>
        <w:rPr>
          <w:rFonts w:hint="default" w:ascii="Times New Roman" w:hAnsi="Times New Roman" w:cs="Times New Roman"/>
          <w:color w:val="000000" w:themeColor="text1"/>
          <w:sz w:val="24"/>
          <w:szCs w:val="24"/>
          <w:u w:val="none"/>
          <w14:textFill>
            <w14:solidFill>
              <w14:schemeClr w14:val="tx1"/>
            </w14:solidFill>
          </w14:textFill>
        </w:rPr>
        <w:t xml:space="preserve">  </w:t>
      </w:r>
    </w:p>
    <w:p w14:paraId="4671DF07">
      <w:pPr>
        <w:spacing w:before="20" w:line="360" w:lineRule="auto"/>
        <w:ind w:right="58" w:firstLine="4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 </w:t>
      </w:r>
      <w:r>
        <w:rPr>
          <w:rFonts w:hint="default" w:ascii="Times New Roman" w:hAnsi="Times New Roman" w:cs="Times New Roman"/>
          <w:color w:val="000000" w:themeColor="text1"/>
          <w:spacing w:val="-1"/>
          <w:sz w:val="24"/>
          <w:szCs w:val="24"/>
          <w:u w:val="none"/>
          <w14:textFill>
            <w14:solidFill>
              <w14:schemeClr w14:val="tx1"/>
            </w14:solidFill>
          </w14:textFill>
        </w:rPr>
        <w:t>采取措施减少预拌混凝土损耗，损耗率降低至1.0%，</w:t>
      </w:r>
      <w:r>
        <w:rPr>
          <w:rFonts w:hint="default" w:ascii="Times New Roman" w:hAnsi="Times New Roman" w:cs="Times New Roman"/>
          <w:color w:val="000000" w:themeColor="text1"/>
          <w:spacing w:val="2"/>
          <w:sz w:val="24"/>
          <w:szCs w:val="24"/>
          <w:u w:val="none"/>
          <w14:textFill>
            <w14:solidFill>
              <w14:schemeClr w14:val="tx1"/>
            </w14:solidFill>
          </w14:textFill>
        </w:rPr>
        <w:t>得2分；</w:t>
      </w:r>
    </w:p>
    <w:p w14:paraId="2697FA86">
      <w:pPr>
        <w:spacing w:before="75" w:line="360" w:lineRule="auto"/>
        <w:ind w:right="46" w:firstLine="4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 </w:t>
      </w:r>
      <w:r>
        <w:rPr>
          <w:rFonts w:hint="default" w:ascii="Times New Roman" w:hAnsi="Times New Roman" w:cs="Times New Roman"/>
          <w:color w:val="000000" w:themeColor="text1"/>
          <w:spacing w:val="-9"/>
          <w:sz w:val="24"/>
          <w:szCs w:val="24"/>
          <w:u w:val="none"/>
          <w14:textFill>
            <w14:solidFill>
              <w14:schemeClr w14:val="tx1"/>
            </w14:solidFill>
          </w14:textFill>
        </w:rPr>
        <w:t>采取措施减少现场加工钢筋损耗，损耗率降低至1.5%，</w:t>
      </w:r>
      <w:r>
        <w:rPr>
          <w:rFonts w:hint="default" w:ascii="Times New Roman" w:hAnsi="Times New Roman" w:cs="Times New Roman"/>
          <w:color w:val="000000" w:themeColor="text1"/>
          <w:spacing w:val="2"/>
          <w:sz w:val="24"/>
          <w:szCs w:val="24"/>
          <w:u w:val="none"/>
          <w14:textFill>
            <w14:solidFill>
              <w14:schemeClr w14:val="tx1"/>
            </w14:solidFill>
          </w14:textFill>
        </w:rPr>
        <w:t>得2分；</w:t>
      </w:r>
    </w:p>
    <w:p w14:paraId="0DA2D31F">
      <w:pPr>
        <w:spacing w:before="74" w:line="360" w:lineRule="auto"/>
        <w:ind w:right="155" w:firstLine="413"/>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w:t>
      </w:r>
      <w:r>
        <w:rPr>
          <w:rFonts w:hint="default" w:ascii="Times New Roman" w:hAnsi="Times New Roman" w:cs="Times New Roman"/>
          <w:color w:val="000000" w:themeColor="text1"/>
          <w:spacing w:val="91"/>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19"/>
          <w:sz w:val="24"/>
          <w:szCs w:val="24"/>
          <w:u w:val="none"/>
          <w14:textFill>
            <w14:solidFill>
              <w14:schemeClr w14:val="tx1"/>
            </w14:solidFill>
          </w14:textFill>
        </w:rPr>
        <w:t>现浇混凝土构件采用高周转率、免抹灰的新型模</w:t>
      </w:r>
      <w:r>
        <w:rPr>
          <w:rFonts w:hint="default" w:ascii="Times New Roman" w:hAnsi="Times New Roman" w:cs="Times New Roman"/>
          <w:color w:val="000000" w:themeColor="text1"/>
          <w:spacing w:val="-20"/>
          <w:sz w:val="24"/>
          <w:szCs w:val="24"/>
          <w:u w:val="none"/>
          <w14:textFill>
            <w14:solidFill>
              <w14:schemeClr w14:val="tx1"/>
            </w14:solidFill>
          </w14:textFill>
        </w:rPr>
        <w:t>架体系</w:t>
      </w:r>
      <w:r>
        <w:rPr>
          <w:rFonts w:hint="default" w:ascii="Times New Roman" w:hAnsi="Times New Roman" w:cs="Times New Roman"/>
          <w:color w:val="000000" w:themeColor="text1"/>
          <w:sz w:val="24"/>
          <w:szCs w:val="24"/>
          <w:u w:val="none"/>
          <w14:textFill>
            <w14:solidFill>
              <w14:schemeClr w14:val="tx1"/>
            </w14:solidFill>
          </w14:textFill>
        </w:rPr>
        <w:t>得2分。</w:t>
      </w:r>
    </w:p>
    <w:p w14:paraId="4432E612">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9.2.9</w:t>
      </w:r>
      <w:r>
        <w:rPr>
          <w:rFonts w:hint="default" w:ascii="Times New Roman" w:hAnsi="Times New Roman" w:cs="Times New Roman"/>
          <w:color w:val="000000" w:themeColor="text1"/>
          <w:spacing w:val="6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采用建设工程质量潜在缺陷保险产品或绿色建筑性能保险产品，评价总分值为30分，并按下列规则分别评分并累计：</w:t>
      </w:r>
    </w:p>
    <w:p w14:paraId="74D51FB0">
      <w:pPr>
        <w:spacing w:before="20" w:line="360" w:lineRule="auto"/>
        <w:ind w:right="88" w:firstLine="400"/>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1 建设工程质量潜在缺陷保险承保范围包括地基基础工程、主体结构工程、屋面防水工程和其他土建工程的质量问题，得 10分；</w:t>
      </w:r>
    </w:p>
    <w:p w14:paraId="109F48FB">
      <w:pPr>
        <w:spacing w:before="20" w:line="360" w:lineRule="auto"/>
        <w:ind w:right="88" w:firstLine="400"/>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2 建设工程质量潜在缺陷保险承保范围包括装修工程、电气管线、上下水管线的安装工程，供热、供冷系统工程的质量问 题，得10分；</w:t>
      </w:r>
    </w:p>
    <w:p w14:paraId="66C1FE06">
      <w:pPr>
        <w:spacing w:before="20" w:line="360" w:lineRule="auto"/>
        <w:ind w:right="88" w:firstLine="400"/>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3具有绿色建筑性能保险，得10分。</w:t>
      </w:r>
    </w:p>
    <w:p w14:paraId="6D980032">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9.2.10</w:t>
      </w:r>
      <w:r>
        <w:rPr>
          <w:rFonts w:hint="default" w:ascii="Times New Roman" w:hAnsi="Times New Roman" w:cs="Times New Roman"/>
          <w:color w:val="000000" w:themeColor="text1"/>
          <w:spacing w:val="25"/>
          <w:sz w:val="24"/>
          <w:szCs w:val="24"/>
          <w:u w:val="none"/>
          <w14:textFill>
            <w14:solidFill>
              <w14:schemeClr w14:val="tx1"/>
            </w14:solidFill>
          </w14:textFill>
        </w:rPr>
        <w:t xml:space="preserve"> </w:t>
      </w:r>
      <w:r>
        <w:rPr>
          <w:rFonts w:hint="default" w:ascii="Times New Roman" w:hAnsi="Times New Roman" w:cs="Times New Roman"/>
          <w:color w:val="000000" w:themeColor="text1"/>
          <w:spacing w:val="-8"/>
          <w:sz w:val="24"/>
          <w:szCs w:val="24"/>
          <w:u w:val="none"/>
          <w14:textFill>
            <w14:solidFill>
              <w14:schemeClr w14:val="tx1"/>
            </w14:solidFill>
          </w14:textFill>
        </w:rPr>
        <w:t>采取节约资源、保护生态环境、降低碳排放、保障安全 健康、智慧友好运行、传承历史文化等其他创新，并有明显效 益，评价总分值为40分。每采取一项，得10分，最高得40分。</w:t>
      </w:r>
    </w:p>
    <w:p w14:paraId="0F3EA0EE">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bookmarkStart w:id="112" w:name="OLE_LINK81"/>
      <w:bookmarkStart w:id="113" w:name="OLE_LINK82"/>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9.2.11 </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采取措施进一步减低建筑能耗，评价总分值为20分，并按下列规则评分：</w:t>
      </w:r>
    </w:p>
    <w:p w14:paraId="2981F751">
      <w:pPr>
        <w:spacing w:before="20" w:line="360" w:lineRule="auto"/>
        <w:ind w:right="88" w:firstLine="400"/>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不小于一个建筑单体，且10%计容面积的建筑单体达到超低能耗建筑标准及以上要求，得 10分；不小于一个建筑单体且20%计容面积的建筑单体达到超低能耗建筑标准及以上要求，得10分。</w:t>
      </w:r>
    </w:p>
    <w:p w14:paraId="2C0973DF">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bookmarkStart w:id="114" w:name="OLE_LINK31"/>
      <w:bookmarkStart w:id="115" w:name="OLE_LINK30"/>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9.2.12 </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建筑能耗管理系统与云南省建筑能耗在线监测平台实现数据对接，得10分。</w:t>
      </w:r>
      <w:bookmarkEnd w:id="112"/>
      <w:bookmarkEnd w:id="113"/>
    </w:p>
    <w:bookmarkEnd w:id="114"/>
    <w:bookmarkEnd w:id="115"/>
    <w:p w14:paraId="6091AAC5">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9.2.13</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建筑能耗及能源系统效率等性能指标符合《云南省民用建筑能效测评标识技术导则》</w:t>
      </w:r>
      <w:r>
        <w:rPr>
          <w:rFonts w:hint="default" w:ascii="Times New Roman" w:hAnsi="Times New Roman"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试行</w:t>
      </w:r>
      <w:r>
        <w:rPr>
          <w:rFonts w:hint="default" w:ascii="Times New Roman" w:hAnsi="Times New Roman"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的规定，且能效测评结果达到一星要求加5分，达到二星要求加10分，达到三星要求加15分。</w:t>
      </w:r>
      <w:r>
        <w:rPr>
          <w:rFonts w:hint="default" w:ascii="Times New Roman" w:hAnsi="Times New Roman" w:cs="Times New Roman"/>
          <w:color w:val="000000" w:themeColor="text1"/>
          <w:spacing w:val="-8"/>
          <w:sz w:val="24"/>
          <w:szCs w:val="24"/>
          <w:u w:val="none"/>
          <w14:textFill>
            <w14:solidFill>
              <w14:schemeClr w14:val="tx1"/>
            </w14:solidFill>
          </w14:textFill>
        </w:rPr>
        <w:br w:type="page"/>
      </w:r>
    </w:p>
    <w:p w14:paraId="0831AEC2">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16" w:name="_Toc8363"/>
      <w:bookmarkStart w:id="117" w:name="_Toc204247740"/>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本标准用词说明</w:t>
      </w:r>
      <w:bookmarkEnd w:id="116"/>
      <w:bookmarkEnd w:id="117"/>
    </w:p>
    <w:p w14:paraId="1A2B6C29">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为便于在执行本标准条文时区别对待，对要求严格程度不同的用词说明如下：</w:t>
      </w:r>
    </w:p>
    <w:p w14:paraId="2D827767">
      <w:pPr>
        <w:spacing w:before="20" w:line="360" w:lineRule="auto"/>
        <w:ind w:right="88" w:firstLine="224" w:firstLineChars="100"/>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1</w:t>
      </w:r>
      <w:r>
        <w:rPr>
          <w:rFonts w:hint="default" w:ascii="Times New Roman" w:hAnsi="Times New Roman"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表示很严格，非这样做不可的：</w:t>
      </w:r>
    </w:p>
    <w:p w14:paraId="476E1E33">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正面词采用</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必须</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，反面词采用</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严禁</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w:t>
      </w:r>
    </w:p>
    <w:p w14:paraId="326063ED">
      <w:pPr>
        <w:spacing w:before="20" w:line="360" w:lineRule="auto"/>
        <w:ind w:right="88" w:firstLine="112" w:firstLineChars="50"/>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 xml:space="preserve"> 2</w:t>
      </w:r>
      <w:r>
        <w:rPr>
          <w:rFonts w:hint="default" w:ascii="Times New Roman" w:hAnsi="Times New Roman"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表示严格，在正常情况下均应这样做的：</w:t>
      </w:r>
    </w:p>
    <w:p w14:paraId="56AD2446">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正面词采用</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应</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，反面词采用</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不应</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或</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不得</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w:t>
      </w:r>
    </w:p>
    <w:p w14:paraId="4F1FBB14">
      <w:pPr>
        <w:spacing w:before="20" w:line="360" w:lineRule="auto"/>
        <w:ind w:right="88" w:firstLine="224" w:firstLineChars="100"/>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3</w:t>
      </w:r>
      <w:r>
        <w:rPr>
          <w:rFonts w:hint="default" w:ascii="Times New Roman" w:hAnsi="Times New Roman"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表示允许稍有选择，在条件许可时首先应这样做的： 正面词采用</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宜</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，反面词采用</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不宜</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w:t>
      </w:r>
    </w:p>
    <w:p w14:paraId="47CEC503">
      <w:pPr>
        <w:spacing w:before="20" w:line="360" w:lineRule="auto"/>
        <w:ind w:right="88" w:firstLine="224" w:firstLineChars="100"/>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4</w:t>
      </w:r>
      <w:r>
        <w:rPr>
          <w:rFonts w:hint="default" w:ascii="Times New Roman" w:hAnsi="Times New Roman"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表示有选择，在一定条件下可以这样做的，采用</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可</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w:t>
      </w:r>
    </w:p>
    <w:p w14:paraId="39A24598">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cs="Times New Roman"/>
          <w:color w:val="000000" w:themeColor="text1"/>
          <w:spacing w:val="-8"/>
          <w:sz w:val="24"/>
          <w:szCs w:val="24"/>
          <w:u w:val="none"/>
          <w14:textFill>
            <w14:solidFill>
              <w14:schemeClr w14:val="tx1"/>
            </w14:solidFill>
          </w14:textFill>
        </w:rPr>
        <w:t xml:space="preserve"> 条文中指明应按其他有关标准执行的写法为：</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应符合……的规定</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或</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应按……执行</w:t>
      </w:r>
      <w:r>
        <w:rPr>
          <w:rFonts w:hint="eastAsia"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spacing w:val="-8"/>
          <w:sz w:val="24"/>
          <w:szCs w:val="24"/>
          <w:u w:val="none"/>
          <w14:textFill>
            <w14:solidFill>
              <w14:schemeClr w14:val="tx1"/>
            </w14:solidFill>
          </w14:textFill>
        </w:rPr>
        <w:t>。</w:t>
      </w:r>
    </w:p>
    <w:p w14:paraId="739BD2A9">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p>
    <w:p w14:paraId="387CB009">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br w:type="page"/>
      </w:r>
    </w:p>
    <w:p w14:paraId="2861066D">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18" w:name="_Toc1398"/>
      <w:bookmarkStart w:id="119" w:name="_Toc204247741"/>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引用标准名录</w:t>
      </w:r>
      <w:bookmarkEnd w:id="118"/>
      <w:bookmarkEnd w:id="119"/>
    </w:p>
    <w:p w14:paraId="6E20CE0F">
      <w:pPr>
        <w:spacing w:before="71" w:line="360" w:lineRule="auto"/>
        <w:ind w:left="23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2"/>
          <w:sz w:val="24"/>
          <w:szCs w:val="24"/>
          <w:u w:val="none"/>
          <w14:textFill>
            <w14:solidFill>
              <w14:schemeClr w14:val="tx1"/>
            </w14:solidFill>
          </w14:textFill>
        </w:rPr>
        <w:t>1 《工程结构通用规范》GB 55001</w:t>
      </w:r>
    </w:p>
    <w:p w14:paraId="6E8F5881">
      <w:pPr>
        <w:spacing w:before="46" w:line="360" w:lineRule="auto"/>
        <w:ind w:left="230" w:right="1099"/>
        <w:rPr>
          <w:rFonts w:hint="default" w:ascii="Times New Roman" w:hAnsi="Times New Roman" w:eastAsia="宋体" w:cs="Times New Roman"/>
          <w:color w:val="000000" w:themeColor="text1"/>
          <w:spacing w:val="-4"/>
          <w:sz w:val="24"/>
          <w:szCs w:val="24"/>
          <w:u w:val="none"/>
          <w14:textFill>
            <w14:solidFill>
              <w14:schemeClr w14:val="tx1"/>
            </w14:solidFill>
          </w14:textFill>
        </w:rPr>
      </w:pPr>
      <w:r>
        <w:rPr>
          <w:rFonts w:hint="default" w:ascii="Times New Roman" w:hAnsi="Times New Roman" w:eastAsia="宋体" w:cs="Times New Roman"/>
          <w:color w:val="000000" w:themeColor="text1"/>
          <w:spacing w:val="-4"/>
          <w:sz w:val="24"/>
          <w:szCs w:val="24"/>
          <w:u w:val="none"/>
          <w14:textFill>
            <w14:solidFill>
              <w14:schemeClr w14:val="tx1"/>
            </w14:solidFill>
          </w14:textFill>
        </w:rPr>
        <w:t>2 《建筑与市政工程抗震通用规范》GB 55002</w:t>
      </w:r>
    </w:p>
    <w:p w14:paraId="341BE988">
      <w:pPr>
        <w:spacing w:before="46" w:line="360" w:lineRule="auto"/>
        <w:ind w:left="230" w:right="1099"/>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4"/>
          <w:sz w:val="24"/>
          <w:szCs w:val="24"/>
          <w:u w:val="none"/>
          <w14:textFill>
            <w14:solidFill>
              <w14:schemeClr w14:val="tx1"/>
            </w14:solidFill>
          </w14:textFill>
        </w:rPr>
        <w:t>3 《建筑与市政地基基础通用规范》GB 55003</w:t>
      </w:r>
    </w:p>
    <w:p w14:paraId="397AE77D">
      <w:pPr>
        <w:spacing w:before="53" w:line="360" w:lineRule="auto"/>
        <w:ind w:left="230" w:right="2125"/>
        <w:rPr>
          <w:rFonts w:hint="default" w:ascii="Times New Roman" w:hAnsi="Times New Roman" w:eastAsia="宋体" w:cs="Times New Roman"/>
          <w:color w:val="000000" w:themeColor="text1"/>
          <w:spacing w:val="-6"/>
          <w:sz w:val="24"/>
          <w:szCs w:val="24"/>
          <w:u w:val="none"/>
          <w14:textFill>
            <w14:solidFill>
              <w14:schemeClr w14:val="tx1"/>
            </w14:solidFill>
          </w14:textFill>
        </w:rPr>
      </w:pPr>
      <w:r>
        <w:rPr>
          <w:rFonts w:hint="default" w:ascii="Times New Roman" w:hAnsi="Times New Roman" w:eastAsia="宋体" w:cs="Times New Roman"/>
          <w:color w:val="000000" w:themeColor="text1"/>
          <w:spacing w:val="-6"/>
          <w:sz w:val="24"/>
          <w:szCs w:val="24"/>
          <w:u w:val="none"/>
          <w14:textFill>
            <w14:solidFill>
              <w14:schemeClr w14:val="tx1"/>
            </w14:solidFill>
          </w14:textFill>
        </w:rPr>
        <w:t>4 《组合结构通用规范》GB 55004</w:t>
      </w:r>
    </w:p>
    <w:p w14:paraId="4C5A63BE">
      <w:pPr>
        <w:spacing w:before="53" w:line="360" w:lineRule="auto"/>
        <w:ind w:left="230" w:right="2125"/>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t>5 《木结构通用规范》</w:t>
      </w:r>
      <w:r>
        <w:rPr>
          <w:rFonts w:hint="default" w:ascii="Times New Roman" w:hAnsi="Times New Roman" w:eastAsia="宋体" w:cs="Times New Roman"/>
          <w:color w:val="000000" w:themeColor="text1"/>
          <w:sz w:val="24"/>
          <w:szCs w:val="24"/>
          <w:u w:val="none"/>
          <w14:textFill>
            <w14:solidFill>
              <w14:schemeClr w14:val="tx1"/>
            </w14:solidFill>
          </w14:textFill>
        </w:rPr>
        <w:t>GB</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55005</w:t>
      </w:r>
    </w:p>
    <w:p w14:paraId="703C4722">
      <w:pPr>
        <w:spacing w:before="1" w:line="360" w:lineRule="auto"/>
        <w:ind w:left="23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t>6 《钢结构通用规范》GB 55006</w:t>
      </w:r>
    </w:p>
    <w:p w14:paraId="0CC18BF8">
      <w:pPr>
        <w:spacing w:before="88" w:line="360" w:lineRule="auto"/>
        <w:ind w:left="23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t>7 《砌体结构通用规范》GB 55007</w:t>
      </w:r>
    </w:p>
    <w:p w14:paraId="1C0DE042">
      <w:pPr>
        <w:spacing w:before="67" w:line="360" w:lineRule="auto"/>
        <w:ind w:left="230" w:right="1912"/>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t>8 《混凝土结构通用规范》GB 55008</w:t>
      </w:r>
    </w:p>
    <w:p w14:paraId="3397BF19">
      <w:pPr>
        <w:spacing w:before="67" w:line="360" w:lineRule="auto"/>
        <w:ind w:left="230" w:right="1912"/>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t>9 《燃气工程项目规范》GB 55009</w:t>
      </w:r>
    </w:p>
    <w:p w14:paraId="028B9DED">
      <w:pPr>
        <w:spacing w:before="59" w:line="360" w:lineRule="auto"/>
        <w:ind w:left="23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2"/>
          <w:sz w:val="24"/>
          <w:szCs w:val="24"/>
          <w:u w:val="none"/>
          <w14:textFill>
            <w14:solidFill>
              <w14:schemeClr w14:val="tx1"/>
            </w14:solidFill>
          </w14:textFill>
        </w:rPr>
        <w:t>10 《供热工程项目规范》GB 55010</w:t>
      </w:r>
    </w:p>
    <w:p w14:paraId="7DB870BD">
      <w:pPr>
        <w:spacing w:before="50" w:line="360" w:lineRule="auto"/>
        <w:ind w:left="230" w:right="1599"/>
        <w:rPr>
          <w:rFonts w:hint="default" w:ascii="Times New Roman" w:hAnsi="Times New Roman" w:eastAsia="宋体" w:cs="Times New Roman"/>
          <w:color w:val="000000" w:themeColor="text1"/>
          <w:spacing w:val="6"/>
          <w:sz w:val="24"/>
          <w:szCs w:val="24"/>
          <w:u w:val="none"/>
          <w14:textFill>
            <w14:solidFill>
              <w14:schemeClr w14:val="tx1"/>
            </w14:solidFill>
          </w14:textFill>
        </w:rPr>
      </w:pPr>
      <w:r>
        <w:rPr>
          <w:rFonts w:hint="default" w:ascii="Times New Roman" w:hAnsi="Times New Roman" w:eastAsia="宋体" w:cs="Times New Roman"/>
          <w:color w:val="000000" w:themeColor="text1"/>
          <w:spacing w:val="4"/>
          <w:sz w:val="24"/>
          <w:szCs w:val="24"/>
          <w:u w:val="none"/>
          <w14:textFill>
            <w14:solidFill>
              <w14:schemeClr w14:val="tx1"/>
            </w14:solidFill>
          </w14:textFill>
        </w:rPr>
        <w:t>11 《市容环卫工程项目规范》</w:t>
      </w:r>
      <w:r>
        <w:rPr>
          <w:rFonts w:hint="default" w:ascii="Times New Roman" w:hAnsi="Times New Roman" w:eastAsia="宋体" w:cs="Times New Roman"/>
          <w:color w:val="000000" w:themeColor="text1"/>
          <w:sz w:val="24"/>
          <w:szCs w:val="24"/>
          <w:u w:val="none"/>
          <w14:textFill>
            <w14:solidFill>
              <w14:schemeClr w14:val="tx1"/>
            </w14:solidFill>
          </w14:textFill>
        </w:rPr>
        <w:t>GB</w:t>
      </w:r>
      <w:r>
        <w:rPr>
          <w:rFonts w:hint="default" w:ascii="Times New Roman" w:hAnsi="Times New Roman" w:eastAsia="宋体" w:cs="Times New Roman"/>
          <w:color w:val="000000" w:themeColor="text1"/>
          <w:spacing w:val="4"/>
          <w:sz w:val="24"/>
          <w:szCs w:val="24"/>
          <w:u w:val="none"/>
          <w14:textFill>
            <w14:solidFill>
              <w14:schemeClr w14:val="tx1"/>
            </w14:solidFill>
          </w14:textFill>
        </w:rPr>
        <w:t>55013</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 xml:space="preserve"> </w:t>
      </w:r>
    </w:p>
    <w:p w14:paraId="4FCA47B4">
      <w:pPr>
        <w:spacing w:before="50" w:line="360" w:lineRule="auto"/>
        <w:ind w:left="230" w:right="1599"/>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3"/>
          <w:sz w:val="24"/>
          <w:szCs w:val="24"/>
          <w:u w:val="none"/>
          <w14:textFill>
            <w14:solidFill>
              <w14:schemeClr w14:val="tx1"/>
            </w14:solidFill>
          </w14:textFill>
        </w:rPr>
        <w:t>12《园林绿化工程项目规范》GB 55014</w:t>
      </w:r>
    </w:p>
    <w:p w14:paraId="5AD82C1B">
      <w:pPr>
        <w:spacing w:before="90" w:line="360" w:lineRule="auto"/>
        <w:ind w:left="23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4"/>
          <w:sz w:val="24"/>
          <w:szCs w:val="24"/>
          <w:u w:val="none"/>
          <w14:textFill>
            <w14:solidFill>
              <w14:schemeClr w14:val="tx1"/>
            </w14:solidFill>
          </w14:textFill>
        </w:rPr>
        <w:t>13 《建筑节能与可再生能源利用通用规范》GB 55015</w:t>
      </w:r>
    </w:p>
    <w:p w14:paraId="375EA2C1">
      <w:pPr>
        <w:spacing w:before="18" w:line="360" w:lineRule="auto"/>
        <w:ind w:left="23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2"/>
          <w:sz w:val="24"/>
          <w:szCs w:val="24"/>
          <w:u w:val="none"/>
          <w14:textFill>
            <w14:solidFill>
              <w14:schemeClr w14:val="tx1"/>
            </w14:solidFill>
          </w14:textFill>
        </w:rPr>
        <w:t>14 《建筑环境通用规范》GB 55016</w:t>
      </w:r>
    </w:p>
    <w:p w14:paraId="57BE2B1C">
      <w:pPr>
        <w:spacing w:before="58" w:line="360" w:lineRule="auto"/>
        <w:ind w:left="230" w:right="791"/>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4"/>
          <w:sz w:val="24"/>
          <w:szCs w:val="24"/>
          <w:u w:val="none"/>
          <w14:textFill>
            <w14:solidFill>
              <w14:schemeClr w14:val="tx1"/>
            </w14:solidFill>
          </w14:textFill>
        </w:rPr>
        <w:t>15 《建筑与市政工程无障碍通用规范》GB 55019</w:t>
      </w:r>
      <w:r>
        <w:rPr>
          <w:rFonts w:hint="default" w:ascii="Times New Roman" w:hAnsi="Times New Roman" w:eastAsia="宋体" w:cs="Times New Roman"/>
          <w:color w:val="000000" w:themeColor="text1"/>
          <w:spacing w:val="4"/>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16 《建筑给水排水与节水通用规范》GB 55020</w:t>
      </w:r>
    </w:p>
    <w:p w14:paraId="1E7D3715">
      <w:pPr>
        <w:spacing w:before="83" w:line="360" w:lineRule="auto"/>
        <w:ind w:left="230" w:right="1215"/>
        <w:rPr>
          <w:rFonts w:hint="default" w:ascii="Times New Roman" w:hAnsi="Times New Roman" w:eastAsia="宋体" w:cs="Times New Roman"/>
          <w:color w:val="000000" w:themeColor="text1"/>
          <w:spacing w:val="-4"/>
          <w:sz w:val="24"/>
          <w:szCs w:val="24"/>
          <w:u w:val="none"/>
          <w14:textFill>
            <w14:solidFill>
              <w14:schemeClr w14:val="tx1"/>
            </w14:solidFill>
          </w14:textFill>
        </w:rPr>
      </w:pPr>
      <w:r>
        <w:rPr>
          <w:rFonts w:hint="default" w:ascii="Times New Roman" w:hAnsi="Times New Roman" w:eastAsia="宋体" w:cs="Times New Roman"/>
          <w:color w:val="000000" w:themeColor="text1"/>
          <w:spacing w:val="-4"/>
          <w:sz w:val="24"/>
          <w:szCs w:val="24"/>
          <w:u w:val="none"/>
          <w14:textFill>
            <w14:solidFill>
              <w14:schemeClr w14:val="tx1"/>
            </w14:solidFill>
          </w14:textFill>
        </w:rPr>
        <w:t>17 《建筑电气与智能化通用规范》GB 55024</w:t>
      </w:r>
    </w:p>
    <w:p w14:paraId="3FC1CFE1">
      <w:pPr>
        <w:spacing w:before="83" w:line="360" w:lineRule="auto"/>
        <w:ind w:left="230" w:right="1215"/>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2"/>
          <w:sz w:val="24"/>
          <w:szCs w:val="24"/>
          <w:u w:val="none"/>
          <w14:textFill>
            <w14:solidFill>
              <w14:schemeClr w14:val="tx1"/>
            </w14:solidFill>
          </w14:textFill>
        </w:rPr>
        <w:t>18 《民用建筑通用规范》GB 55031</w:t>
      </w:r>
    </w:p>
    <w:p w14:paraId="5B756D0E">
      <w:pPr>
        <w:spacing w:before="50" w:line="360" w:lineRule="auto"/>
        <w:ind w:left="23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2"/>
          <w:sz w:val="24"/>
          <w:szCs w:val="24"/>
          <w:u w:val="none"/>
          <w14:textFill>
            <w14:solidFill>
              <w14:schemeClr w14:val="tx1"/>
            </w14:solidFill>
          </w14:textFill>
        </w:rPr>
        <w:t>19 《建筑防火通用规范》GB 55037</w:t>
      </w:r>
    </w:p>
    <w:p w14:paraId="132BCF1E">
      <w:pPr>
        <w:spacing w:before="39" w:line="360" w:lineRule="auto"/>
        <w:ind w:left="23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t>20 《建筑照明设计标准》GB/T 50034</w:t>
      </w:r>
    </w:p>
    <w:p w14:paraId="20C93045">
      <w:pPr>
        <w:spacing w:before="70" w:line="360" w:lineRule="auto"/>
        <w:ind w:left="230" w:right="1584"/>
        <w:rPr>
          <w:rFonts w:hint="default" w:ascii="Times New Roman" w:hAnsi="Times New Roman" w:eastAsia="宋体" w:cs="Times New Roman"/>
          <w:color w:val="000000" w:themeColor="text1"/>
          <w:spacing w:val="9"/>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t>21 《民用建筑隔声设计规范》GB 50118</w:t>
      </w:r>
      <w:r>
        <w:rPr>
          <w:rFonts w:hint="default" w:ascii="Times New Roman" w:hAnsi="Times New Roman" w:eastAsia="宋体" w:cs="Times New Roman"/>
          <w:color w:val="000000" w:themeColor="text1"/>
          <w:spacing w:val="9"/>
          <w:sz w:val="24"/>
          <w:szCs w:val="24"/>
          <w:u w:val="none"/>
          <w14:textFill>
            <w14:solidFill>
              <w14:schemeClr w14:val="tx1"/>
            </w14:solidFill>
          </w14:textFill>
        </w:rPr>
        <w:t xml:space="preserve"> </w:t>
      </w:r>
    </w:p>
    <w:p w14:paraId="789E850B">
      <w:pPr>
        <w:spacing w:before="70" w:line="360" w:lineRule="auto"/>
        <w:ind w:left="230" w:right="1584"/>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3"/>
          <w:sz w:val="24"/>
          <w:szCs w:val="24"/>
          <w:u w:val="none"/>
          <w14:textFill>
            <w14:solidFill>
              <w14:schemeClr w14:val="tx1"/>
            </w14:solidFill>
          </w14:textFill>
        </w:rPr>
        <w:t>22 《民用建筑热工设计规范》GB 50176</w:t>
      </w:r>
    </w:p>
    <w:p w14:paraId="1B086A41">
      <w:pPr>
        <w:spacing w:before="97" w:line="360" w:lineRule="auto"/>
        <w:ind w:left="230" w:right="1584"/>
        <w:rPr>
          <w:rFonts w:hint="default" w:ascii="Times New Roman" w:hAnsi="Times New Roman" w:eastAsia="宋体" w:cs="Times New Roman"/>
          <w:color w:val="000000" w:themeColor="text1"/>
          <w:spacing w:val="9"/>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t>23 《公共建筑节能设计标准》GB 50189</w:t>
      </w:r>
      <w:r>
        <w:rPr>
          <w:rFonts w:hint="default" w:ascii="Times New Roman" w:hAnsi="Times New Roman" w:eastAsia="宋体" w:cs="Times New Roman"/>
          <w:color w:val="000000" w:themeColor="text1"/>
          <w:spacing w:val="9"/>
          <w:sz w:val="24"/>
          <w:szCs w:val="24"/>
          <w:u w:val="none"/>
          <w14:textFill>
            <w14:solidFill>
              <w14:schemeClr w14:val="tx1"/>
            </w14:solidFill>
          </w14:textFill>
        </w:rPr>
        <w:t xml:space="preserve"> </w:t>
      </w:r>
    </w:p>
    <w:p w14:paraId="1747F6F0">
      <w:pPr>
        <w:spacing w:before="97" w:line="360" w:lineRule="auto"/>
        <w:ind w:left="230" w:right="1584"/>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3"/>
          <w:sz w:val="24"/>
          <w:szCs w:val="24"/>
          <w:u w:val="none"/>
          <w14:textFill>
            <w14:solidFill>
              <w14:schemeClr w14:val="tx1"/>
            </w14:solidFill>
          </w14:textFill>
        </w:rPr>
        <w:t>24 《民用建筑节水设计标准》GB 50555</w:t>
      </w:r>
    </w:p>
    <w:p w14:paraId="37B803D0">
      <w:pPr>
        <w:spacing w:before="57" w:line="360" w:lineRule="auto"/>
        <w:ind w:left="23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25 《民用建筑供暖通风与空气调节设计规范》GB 50736</w:t>
      </w:r>
    </w:p>
    <w:p w14:paraId="3CCFF442">
      <w:pPr>
        <w:spacing w:before="57" w:line="360" w:lineRule="auto"/>
        <w:ind w:left="230"/>
        <w:rPr>
          <w:rFonts w:hint="default" w:ascii="Times New Roman" w:hAnsi="Times New Roman" w:eastAsia="宋体" w:cs="Times New Roman"/>
          <w:color w:val="000000" w:themeColor="text1"/>
          <w:spacing w:val="-5"/>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 xml:space="preserve">26 《民用建筑室内热湿环境评价标准》GB/T 50785 </w:t>
      </w:r>
    </w:p>
    <w:p w14:paraId="28660039">
      <w:pPr>
        <w:spacing w:before="57" w:line="360" w:lineRule="auto"/>
        <w:ind w:left="230"/>
        <w:rPr>
          <w:rFonts w:hint="default" w:ascii="Times New Roman" w:hAnsi="Times New Roman" w:eastAsia="宋体" w:cs="Times New Roman"/>
          <w:color w:val="000000" w:themeColor="text1"/>
          <w:spacing w:val="-5"/>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27 《声环境质量标准》GB 3096</w:t>
      </w:r>
    </w:p>
    <w:p w14:paraId="5CD3E476">
      <w:pPr>
        <w:spacing w:before="57" w:line="360" w:lineRule="auto"/>
        <w:ind w:left="230"/>
        <w:rPr>
          <w:rFonts w:hint="default" w:ascii="Times New Roman" w:hAnsi="Times New Roman" w:eastAsia="宋体" w:cs="Times New Roman"/>
          <w:color w:val="000000" w:themeColor="text1"/>
          <w:spacing w:val="-5"/>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28 《生活饮用水卫生标准》GB 5749</w:t>
      </w:r>
    </w:p>
    <w:p w14:paraId="185BD2D5">
      <w:pPr>
        <w:spacing w:before="57" w:line="360" w:lineRule="auto"/>
        <w:ind w:left="230"/>
        <w:rPr>
          <w:rFonts w:hint="default" w:ascii="Times New Roman" w:hAnsi="Times New Roman" w:eastAsia="宋体" w:cs="Times New Roman"/>
          <w:color w:val="000000" w:themeColor="text1"/>
          <w:spacing w:val="-5"/>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 xml:space="preserve">29 《节水型产品通用技术条件》GB/T 18870 </w:t>
      </w:r>
    </w:p>
    <w:p w14:paraId="7CE3453E">
      <w:pPr>
        <w:spacing w:before="57" w:line="360" w:lineRule="auto"/>
        <w:ind w:left="230"/>
        <w:rPr>
          <w:rFonts w:hint="default" w:ascii="Times New Roman" w:hAnsi="Times New Roman" w:eastAsia="宋体" w:cs="Times New Roman"/>
          <w:color w:val="000000" w:themeColor="text1"/>
          <w:spacing w:val="-5"/>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30 《室内空气质量标准》GB/T18883</w:t>
      </w:r>
    </w:p>
    <w:p w14:paraId="6A6D02C7">
      <w:pPr>
        <w:spacing w:before="57" w:line="360" w:lineRule="auto"/>
        <w:ind w:left="230"/>
        <w:rPr>
          <w:rFonts w:hint="default" w:ascii="Times New Roman" w:hAnsi="Times New Roman" w:eastAsia="宋体" w:cs="Times New Roman"/>
          <w:color w:val="000000" w:themeColor="text1"/>
          <w:spacing w:val="-5"/>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31 《家用燃气快速热水器和燃气采暖热水炉能效限定值及能效等级》GB 20665</w:t>
      </w:r>
    </w:p>
    <w:p w14:paraId="5F3312B4">
      <w:pPr>
        <w:spacing w:before="57" w:line="360" w:lineRule="auto"/>
        <w:ind w:left="230"/>
        <w:rPr>
          <w:rFonts w:hint="default" w:ascii="Times New Roman" w:hAnsi="Times New Roman" w:eastAsia="宋体" w:cs="Times New Roman"/>
          <w:color w:val="000000" w:themeColor="text1"/>
          <w:spacing w:val="-5"/>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32 《房间空气调节器能效限定值及能效等级》GB 21455</w:t>
      </w:r>
    </w:p>
    <w:p w14:paraId="1BC3BE03">
      <w:pPr>
        <w:spacing w:before="57" w:line="360" w:lineRule="auto"/>
        <w:ind w:left="230"/>
        <w:rPr>
          <w:rFonts w:hint="default" w:ascii="Times New Roman" w:hAnsi="Times New Roman" w:eastAsia="宋体" w:cs="Times New Roman"/>
          <w:color w:val="000000" w:themeColor="text1"/>
          <w:spacing w:val="-5"/>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33 《溴化锂吸收式冷水机组能效限定值及能效等级》GB 29540</w:t>
      </w:r>
    </w:p>
    <w:p w14:paraId="4FC2C8DF">
      <w:pPr>
        <w:spacing w:before="57" w:line="360" w:lineRule="auto"/>
        <w:ind w:left="230"/>
        <w:rPr>
          <w:rFonts w:hint="default" w:ascii="Times New Roman" w:hAnsi="Times New Roman" w:eastAsia="宋体" w:cs="Times New Roman"/>
          <w:color w:val="000000" w:themeColor="text1"/>
          <w:spacing w:val="-5"/>
          <w:sz w:val="24"/>
          <w:szCs w:val="24"/>
          <w:u w:val="none"/>
          <w14:textFill>
            <w14:solidFill>
              <w14:schemeClr w14:val="tx1"/>
            </w14:solidFill>
          </w14:textFill>
        </w:rPr>
      </w:pPr>
      <w:r>
        <w:rPr>
          <w:rFonts w:hint="default" w:ascii="Times New Roman" w:hAnsi="Times New Roman" w:eastAsia="宋体" w:cs="Times New Roman"/>
          <w:color w:val="000000" w:themeColor="text1"/>
          <w:spacing w:val="-5"/>
          <w:sz w:val="24"/>
          <w:szCs w:val="24"/>
          <w:u w:val="none"/>
          <w14:textFill>
            <w14:solidFill>
              <w14:schemeClr w14:val="tx1"/>
            </w14:solidFill>
          </w14:textFill>
        </w:rPr>
        <w:t>34 《建筑地面工程防滑技术规程》JGJ/T 331</w:t>
      </w:r>
    </w:p>
    <w:p w14:paraId="4B27DEEC">
      <w:pPr>
        <w:spacing w:before="20" w:line="360" w:lineRule="auto"/>
        <w:ind w:right="88"/>
        <w:rPr>
          <w:rFonts w:hint="default" w:ascii="Times New Roman" w:hAnsi="Times New Roman" w:cs="Times New Roman"/>
          <w:color w:val="000000" w:themeColor="text1"/>
          <w:spacing w:val="-8"/>
          <w:sz w:val="24"/>
          <w:szCs w:val="24"/>
          <w:u w:val="none"/>
          <w14:textFill>
            <w14:solidFill>
              <w14:schemeClr w14:val="tx1"/>
            </w14:solidFill>
          </w14:textFill>
        </w:rPr>
      </w:pPr>
    </w:p>
    <w:p w14:paraId="350BB501">
      <w:pPr>
        <w:spacing w:before="39" w:line="360" w:lineRule="auto"/>
        <w:ind w:left="65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br w:type="page"/>
      </w:r>
    </w:p>
    <w:p w14:paraId="78317968">
      <w:pPr>
        <w:spacing w:line="300" w:lineRule="auto"/>
        <w:jc w:val="center"/>
        <w:rPr>
          <w:rFonts w:hint="default" w:ascii="Times New Roman" w:hAnsi="Times New Roman" w:cs="Times New Roman"/>
          <w:color w:val="000000" w:themeColor="text1"/>
          <w:sz w:val="32"/>
          <w:u w:val="none"/>
          <w14:textFill>
            <w14:solidFill>
              <w14:schemeClr w14:val="tx1"/>
            </w14:solidFill>
          </w14:textFill>
        </w:rPr>
      </w:pPr>
      <w:r>
        <w:rPr>
          <w:rFonts w:hint="default" w:ascii="Times New Roman" w:hAnsi="Times New Roman" w:cs="Times New Roman"/>
          <w:color w:val="000000" w:themeColor="text1"/>
          <w:sz w:val="32"/>
          <w:u w:val="none"/>
          <w14:textFill>
            <w14:solidFill>
              <w14:schemeClr w14:val="tx1"/>
            </w14:solidFill>
          </w14:textFill>
        </w:rPr>
        <w:t>云南省工程建设地方标准</w:t>
      </w:r>
    </w:p>
    <w:p w14:paraId="60B6926E">
      <w:pPr>
        <w:spacing w:line="300" w:lineRule="auto"/>
        <w:jc w:val="center"/>
        <w:rPr>
          <w:rFonts w:hint="default" w:ascii="Times New Roman" w:hAnsi="Times New Roman" w:cs="Times New Roman"/>
          <w:color w:val="000000" w:themeColor="text1"/>
          <w:sz w:val="32"/>
          <w:u w:val="none"/>
          <w14:textFill>
            <w14:solidFill>
              <w14:schemeClr w14:val="tx1"/>
            </w14:solidFill>
          </w14:textFill>
        </w:rPr>
      </w:pPr>
    </w:p>
    <w:p w14:paraId="78613E44">
      <w:pPr>
        <w:spacing w:line="480" w:lineRule="auto"/>
        <w:jc w:val="center"/>
        <w:rPr>
          <w:rFonts w:hint="default" w:ascii="Times New Roman" w:hAnsi="Times New Roman" w:cs="Times New Roman"/>
          <w:bCs/>
          <w:color w:val="000000" w:themeColor="text1"/>
          <w:sz w:val="44"/>
          <w:u w:val="none"/>
          <w14:textFill>
            <w14:solidFill>
              <w14:schemeClr w14:val="tx1"/>
            </w14:solidFill>
          </w14:textFill>
        </w:rPr>
      </w:pPr>
      <w:r>
        <w:rPr>
          <w:rFonts w:hint="default" w:ascii="Times New Roman" w:hAnsi="Times New Roman" w:cs="Times New Roman"/>
          <w:bCs/>
          <w:color w:val="000000" w:themeColor="text1"/>
          <w:sz w:val="44"/>
          <w:u w:val="none"/>
          <w14:textFill>
            <w14:solidFill>
              <w14:schemeClr w14:val="tx1"/>
            </w14:solidFill>
          </w14:textFill>
        </w:rPr>
        <w:t>云南省绿色建筑评价标准</w:t>
      </w:r>
    </w:p>
    <w:p w14:paraId="175D5787">
      <w:pPr>
        <w:spacing w:line="300" w:lineRule="auto"/>
        <w:ind w:firstLine="600"/>
        <w:jc w:val="center"/>
        <w:rPr>
          <w:rFonts w:hint="default" w:ascii="Times New Roman" w:hAnsi="Times New Roman" w:cs="Times New Roman"/>
          <w:color w:val="000000" w:themeColor="text1"/>
          <w:sz w:val="28"/>
          <w:szCs w:val="28"/>
          <w:u w:val="none"/>
          <w14:textFill>
            <w14:solidFill>
              <w14:schemeClr w14:val="tx1"/>
            </w14:solidFill>
          </w14:textFill>
        </w:rPr>
      </w:pPr>
      <w:r>
        <w:rPr>
          <w:rFonts w:hint="default" w:ascii="Times New Roman" w:hAnsi="Times New Roman" w:cs="Times New Roman"/>
          <w:color w:val="000000" w:themeColor="text1"/>
          <w:sz w:val="28"/>
          <w:szCs w:val="28"/>
          <w:u w:val="none"/>
          <w14:textFill>
            <w14:solidFill>
              <w14:schemeClr w14:val="tx1"/>
            </w14:solidFill>
          </w14:textFill>
        </w:rPr>
        <w:t xml:space="preserve">Yunnan Provicial Assessment Standard for Green Building </w:t>
      </w:r>
    </w:p>
    <w:p w14:paraId="2F24E1B1">
      <w:pPr>
        <w:spacing w:line="300" w:lineRule="auto"/>
        <w:ind w:firstLine="600"/>
        <w:jc w:val="center"/>
        <w:rPr>
          <w:rFonts w:hint="default" w:ascii="Times New Roman" w:hAnsi="Times New Roman" w:cs="Times New Roman"/>
          <w:color w:val="000000" w:themeColor="text1"/>
          <w:sz w:val="28"/>
          <w:u w:val="none"/>
          <w14:textFill>
            <w14:solidFill>
              <w14:schemeClr w14:val="tx1"/>
            </w14:solidFill>
          </w14:textFill>
        </w:rPr>
      </w:pPr>
      <w:r>
        <w:rPr>
          <w:rFonts w:hint="default" w:ascii="Times New Roman" w:hAnsi="Times New Roman" w:cs="Times New Roman"/>
          <w:color w:val="000000" w:themeColor="text1"/>
          <w:sz w:val="28"/>
          <w:szCs w:val="28"/>
          <w:u w:val="none"/>
          <w14:textFill>
            <w14:solidFill>
              <w14:schemeClr w14:val="tx1"/>
            </w14:solidFill>
          </w14:textFill>
        </w:rPr>
        <w:t xml:space="preserve">DBJ </w:t>
      </w:r>
      <w:r>
        <w:rPr>
          <w:rFonts w:hint="default" w:ascii="Times New Roman" w:hAnsi="Times New Roman" w:cs="Times New Roman"/>
          <w:color w:val="000000" w:themeColor="text1"/>
          <w:sz w:val="28"/>
          <w:u w:val="none"/>
          <w14:textFill>
            <w14:solidFill>
              <w14:schemeClr w14:val="tx1"/>
            </w14:solidFill>
          </w14:textFill>
        </w:rPr>
        <w:t>××</w:t>
      </w:r>
      <w:r>
        <w:rPr>
          <w:rFonts w:hint="default" w:ascii="Times New Roman" w:hAnsi="Times New Roman" w:cs="Times New Roman"/>
          <w:color w:val="000000" w:themeColor="text1"/>
          <w:sz w:val="28"/>
          <w:szCs w:val="28"/>
          <w:u w:val="none"/>
          <w14:textFill>
            <w14:solidFill>
              <w14:schemeClr w14:val="tx1"/>
            </w14:solidFill>
          </w14:textFill>
        </w:rPr>
        <w:t>-</w:t>
      </w:r>
      <w:r>
        <w:rPr>
          <w:rFonts w:hint="default" w:ascii="Times New Roman" w:hAnsi="Times New Roman" w:cs="Times New Roman"/>
          <w:color w:val="000000" w:themeColor="text1"/>
          <w:sz w:val="28"/>
          <w:u w:val="none"/>
          <w14:textFill>
            <w14:solidFill>
              <w14:schemeClr w14:val="tx1"/>
            </w14:solidFill>
          </w14:textFill>
        </w:rPr>
        <w:t>××</w:t>
      </w:r>
      <w:r>
        <w:rPr>
          <w:rFonts w:hint="default" w:ascii="Times New Roman" w:hAnsi="Times New Roman" w:cs="Times New Roman"/>
          <w:color w:val="000000" w:themeColor="text1"/>
          <w:sz w:val="28"/>
          <w:szCs w:val="28"/>
          <w:u w:val="none"/>
          <w14:textFill>
            <w14:solidFill>
              <w14:schemeClr w14:val="tx1"/>
            </w14:solidFill>
          </w14:textFill>
        </w:rPr>
        <w:t>-</w:t>
      </w:r>
      <w:r>
        <w:rPr>
          <w:rFonts w:hint="default" w:ascii="Times New Roman" w:hAnsi="Times New Roman" w:cs="Times New Roman"/>
          <w:color w:val="000000" w:themeColor="text1"/>
          <w:sz w:val="28"/>
          <w:u w:val="none"/>
          <w14:textFill>
            <w14:solidFill>
              <w14:schemeClr w14:val="tx1"/>
            </w14:solidFill>
          </w14:textFill>
        </w:rPr>
        <w:t>××××</w:t>
      </w:r>
    </w:p>
    <w:p w14:paraId="654588DE">
      <w:pPr>
        <w:spacing w:line="300" w:lineRule="auto"/>
        <w:ind w:firstLine="600"/>
        <w:jc w:val="center"/>
        <w:rPr>
          <w:rFonts w:hint="default" w:ascii="Times New Roman" w:hAnsi="Times New Roman" w:cs="Times New Roman"/>
          <w:color w:val="000000" w:themeColor="text1"/>
          <w:sz w:val="28"/>
          <w:u w:val="none"/>
          <w14:textFill>
            <w14:solidFill>
              <w14:schemeClr w14:val="tx1"/>
            </w14:solidFill>
          </w14:textFill>
        </w:rPr>
      </w:pPr>
    </w:p>
    <w:p w14:paraId="2656E8AE">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20" w:name="_Toc18988"/>
      <w:bookmarkStart w:id="121" w:name="_Toc200982302"/>
      <w:bookmarkStart w:id="122" w:name="_Toc200983227"/>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条 文 说 明</w:t>
      </w:r>
      <w:bookmarkEnd w:id="120"/>
      <w:bookmarkEnd w:id="121"/>
      <w:bookmarkEnd w:id="122"/>
    </w:p>
    <w:p w14:paraId="4A8D0657">
      <w:pPr>
        <w:spacing w:line="480" w:lineRule="auto"/>
        <w:jc w:val="center"/>
        <w:rPr>
          <w:rFonts w:hint="default" w:ascii="Times New Roman" w:hAnsi="Times New Roman" w:cs="Times New Roman"/>
          <w:bCs/>
          <w:color w:val="000000" w:themeColor="text1"/>
          <w:sz w:val="44"/>
          <w:u w:val="none"/>
          <w14:textFill>
            <w14:solidFill>
              <w14:schemeClr w14:val="tx1"/>
            </w14:solidFill>
          </w14:textFill>
        </w:rPr>
      </w:pPr>
    </w:p>
    <w:p w14:paraId="16E90F18">
      <w:pPr>
        <w:spacing w:line="480" w:lineRule="auto"/>
        <w:jc w:val="center"/>
        <w:rPr>
          <w:rFonts w:hint="default" w:ascii="Times New Roman" w:hAnsi="Times New Roman" w:cs="Times New Roman"/>
          <w:bCs/>
          <w:color w:val="000000" w:themeColor="text1"/>
          <w:sz w:val="44"/>
          <w:u w:val="none"/>
          <w14:textFill>
            <w14:solidFill>
              <w14:schemeClr w14:val="tx1"/>
            </w14:solidFill>
          </w14:textFill>
        </w:rPr>
      </w:pPr>
    </w:p>
    <w:p w14:paraId="0E377463">
      <w:pPr>
        <w:spacing w:before="0" w:beforeLines="0" w:after="0" w:afterLines="0" w:line="240" w:lineRule="auto"/>
        <w:ind w:left="0" w:leftChars="0" w:right="0" w:rightChars="0" w:firstLine="0" w:firstLineChars="0"/>
        <w:jc w:val="center"/>
        <w:rPr>
          <w:rFonts w:hint="default" w:ascii="Times New Roman" w:hAnsi="Times New Roman" w:cs="Times New Roman"/>
          <w:bCs/>
          <w:color w:val="000000" w:themeColor="text1"/>
          <w:sz w:val="44"/>
          <w:u w:val="none"/>
          <w14:textFill>
            <w14:solidFill>
              <w14:schemeClr w14:val="tx1"/>
            </w14:solidFill>
          </w14:textFill>
        </w:rPr>
      </w:pPr>
      <w:r>
        <w:rPr>
          <w:rFonts w:hint="default" w:ascii="Times New Roman" w:hAnsi="Times New Roman" w:cs="Times New Roman"/>
          <w:bCs/>
          <w:color w:val="000000" w:themeColor="text1"/>
          <w:sz w:val="44"/>
          <w:u w:val="none"/>
          <w14:textFill>
            <w14:solidFill>
              <w14:schemeClr w14:val="tx1"/>
            </w14:solidFill>
          </w14:textFill>
        </w:rPr>
        <w:br w:type="page"/>
      </w:r>
    </w:p>
    <w:sdt>
      <w:sdtPr>
        <w:rPr>
          <w:rFonts w:hint="default" w:ascii="Times New Roman" w:hAnsi="Times New Roman" w:eastAsia="宋体" w:cs="Times New Roman"/>
          <w:b/>
          <w:bCs/>
          <w:kern w:val="2"/>
          <w:sz w:val="24"/>
          <w:szCs w:val="24"/>
          <w:u w:val="none"/>
          <w:lang w:val="en-US" w:eastAsia="zh-CN" w:bidi="ar-SA"/>
        </w:rPr>
        <w:id w:val="147463027"/>
        <w15:color w:val="DBDBDB"/>
        <w:docPartObj>
          <w:docPartGallery w:val="Table of Contents"/>
          <w:docPartUnique/>
        </w:docPartObj>
      </w:sdtPr>
      <w:sdtEndPr>
        <w:rPr>
          <w:rFonts w:hint="default" w:ascii="Times New Roman" w:hAnsi="Times New Roman" w:cs="Times New Roman" w:eastAsiaTheme="minorEastAsia"/>
          <w:b/>
          <w:bCs/>
          <w:color w:val="000000" w:themeColor="text1"/>
          <w:kern w:val="0"/>
          <w:sz w:val="21"/>
          <w:szCs w:val="22"/>
          <w:u w:val="none"/>
          <w:lang w:val="zh-CN" w:eastAsia="zh-CN" w:bidi="zh-CN"/>
          <w14:textFill>
            <w14:solidFill>
              <w14:schemeClr w14:val="tx1"/>
            </w14:solidFill>
          </w14:textFill>
        </w:rPr>
      </w:sdtEndPr>
      <w:sdtContent>
        <w:p w14:paraId="6E2ECD11">
          <w:pPr>
            <w:spacing w:before="0" w:beforeLines="0" w:after="0" w:afterLines="0" w:line="240" w:lineRule="auto"/>
            <w:ind w:left="0" w:leftChars="0" w:right="0" w:rightChars="0" w:firstLine="0" w:firstLineChars="0"/>
            <w:jc w:val="center"/>
            <w:rPr>
              <w:rFonts w:hint="default" w:ascii="Times New Roman" w:hAnsi="Times New Roman" w:cs="Times New Roman"/>
              <w:b/>
              <w:bCs/>
              <w:sz w:val="24"/>
              <w:szCs w:val="24"/>
              <w:u w:val="none"/>
            </w:rPr>
          </w:pPr>
          <w:r>
            <w:rPr>
              <w:rFonts w:hint="default" w:ascii="Times New Roman" w:hAnsi="Times New Roman" w:eastAsia="宋体" w:cs="Times New Roman"/>
              <w:b/>
              <w:bCs/>
              <w:sz w:val="24"/>
              <w:szCs w:val="24"/>
              <w:u w:val="none"/>
            </w:rPr>
            <w:t>目</w:t>
          </w:r>
          <w:r>
            <w:rPr>
              <w:rFonts w:hint="default" w:ascii="Times New Roman" w:hAnsi="Times New Roman" w:eastAsia="宋体" w:cs="Times New Roman"/>
              <w:b/>
              <w:bCs/>
              <w:sz w:val="24"/>
              <w:szCs w:val="24"/>
              <w:u w:val="none"/>
              <w:lang w:val="en-US" w:eastAsia="zh-CN"/>
            </w:rPr>
            <w:t xml:space="preserve"> </w:t>
          </w:r>
          <w:r>
            <w:rPr>
              <w:rFonts w:hint="default" w:ascii="Times New Roman" w:hAnsi="Times New Roman" w:eastAsia="宋体" w:cs="Times New Roman"/>
              <w:b/>
              <w:bCs/>
              <w:sz w:val="24"/>
              <w:szCs w:val="24"/>
              <w:u w:val="none"/>
            </w:rPr>
            <w:t>录</w:t>
          </w:r>
        </w:p>
        <w:p w14:paraId="50EE0F9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b/>
              <w:color w:val="000000" w:themeColor="text1"/>
              <w:kern w:val="0"/>
              <w:sz w:val="24"/>
              <w:u w:val="none"/>
              <w:lang w:val="zh-CN" w:bidi="zh-CN"/>
              <w14:textFill>
                <w14:solidFill>
                  <w14:schemeClr w14:val="tx1"/>
                </w14:solidFill>
              </w14:textFill>
            </w:rPr>
            <w:fldChar w:fldCharType="begin"/>
          </w:r>
          <w:r>
            <w:rPr>
              <w:rFonts w:hint="default" w:ascii="Times New Roman" w:hAnsi="Times New Roman" w:cs="Times New Roman"/>
              <w:b/>
              <w:color w:val="000000" w:themeColor="text1"/>
              <w:kern w:val="0"/>
              <w:sz w:val="24"/>
              <w:u w:val="none"/>
              <w:lang w:val="zh-CN" w:bidi="zh-CN"/>
              <w14:textFill>
                <w14:solidFill>
                  <w14:schemeClr w14:val="tx1"/>
                </w14:solidFill>
              </w14:textFill>
            </w:rPr>
            <w:instrText xml:space="preserve">TOC \o "1-3" \h \u </w:instrText>
          </w:r>
          <w:r>
            <w:rPr>
              <w:rFonts w:hint="default" w:ascii="Times New Roman" w:hAnsi="Times New Roman" w:cs="Times New Roman"/>
              <w:b/>
              <w:color w:val="000000" w:themeColor="text1"/>
              <w:kern w:val="0"/>
              <w:sz w:val="24"/>
              <w:u w:val="none"/>
              <w:lang w:val="zh-CN" w:bidi="zh-CN"/>
              <w14:textFill>
                <w14:solidFill>
                  <w14:schemeClr w14:val="tx1"/>
                </w14:solidFill>
              </w14:textFill>
            </w:rPr>
            <w:fldChar w:fldCharType="separate"/>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_Toc1337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1 总   则</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_Toc1337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38</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1EAD22F7">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_Toc20790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3 基本规定</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_Toc20790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40</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C81AF8B">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_Toc27584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3.1 一般规定</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_Toc27584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40</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7CC1B31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_Toc32461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3.2 评价与等级划分</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_Toc32461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42</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7AA862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_Toc17176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4 安全耐久</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_Toc17176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48</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170D3E7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_Toc19862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4.1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_Toc19862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48</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69B12F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_Toc30956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4.2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_Toc30956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53</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3A3515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_Toc25510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Ⅰ</w:t>
          </w:r>
          <w:r>
            <w:rPr>
              <w:rFonts w:hint="default"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lang w:eastAsia="zh-CN"/>
            </w:rPr>
            <w:t>安全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_Toc25510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53</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79AAE21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_Toc13751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Ⅱ 耐久</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_Toc13751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55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67D3FD37">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_Toc16251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5 健康舒适</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_Toc16251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60</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11C5BE9C">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_Toc15932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5.1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_Toc15932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60</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8B1D21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_Toc23041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5.2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_Toc23041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67</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123EB29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_Toc14856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  室内空气品质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_Toc14856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68</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6D0E3E09">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_Toc19869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Ⅱ  水质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_Toc19869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69</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7F6E9BDF">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_Toc20178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Ⅲ  声环境与光环境</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_Toc20178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71</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732AC131">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_Toc21125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IV  室内热湿环境</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_Toc21125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73</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7E83BAC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_Toc16361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6 生活便利</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_Toc16361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77</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63C35AC8">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_Toc8950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6.1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_Toc8950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77</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DF11BA7">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_Toc31255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6.2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_Toc31255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81</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4181385">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_Toc11784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 出行与无障碍</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_Toc11784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81</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3C5B4CB">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_Toc30630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Ⅱ 服务设施</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_Toc30630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82</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8ABBF61">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_Toc30254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Ⅲ 智慧运行</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_Toc30254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84</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656902F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_Toc1374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IV 运营管理</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_Toc1374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87</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A5140D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_Toc8356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7 资源节约</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_Toc8356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91</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65FCFF3D">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_Toc30911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7.1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_Toc30911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91</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D2BFF92">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_Toc9559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7.2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_Toc9559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96</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74D137B9">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_Toc10437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  节地与土地利用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_Toc10437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96</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F907674">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_Toc19213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Ⅱ 节能与能源利用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_Toc19213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97</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12E11867">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_Toc17900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Ⅲ 节水与水资源利用</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_Toc17900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102</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3D0F00E5">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_Toc14810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IV 节材与绿色建材</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_Toc14810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105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2AAB841">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_Toc21340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8 环境宜居</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_Toc21340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112</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257B90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_Toc32289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8.1 控制项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_Toc32289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112</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6E2EE92">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_Toc21087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8.2 评分项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_Toc21087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117</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0B9B3E42">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_Toc26801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I 场地生态与景观</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_Toc26801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117</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2629C7D9">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_Toc31370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z w:val="24"/>
              <w:szCs w:val="24"/>
              <w:u w:val="none"/>
              <w:lang w:eastAsia="zh-CN"/>
            </w:rPr>
            <w:t>Ⅱ 室外物理环境</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_Toc31370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121</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6AAE25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_Toc23745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snapToGrid/>
              <w:kern w:val="0"/>
              <w:sz w:val="24"/>
              <w:szCs w:val="24"/>
              <w:u w:val="none"/>
              <w:lang w:val="zh-CN" w:eastAsia="zh-CN" w:bidi="zh-CN"/>
            </w:rPr>
            <w:t>9  提高与创新</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_Toc23745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125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817195A">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_Toc27721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9.1 一般规定</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_Toc27721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125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5121884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u w:val="none"/>
            </w:rPr>
          </w:pP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begin"/>
          </w:r>
          <w:r>
            <w:rPr>
              <w:rFonts w:hint="default" w:ascii="Times New Roman" w:hAnsi="Times New Roman" w:cs="Times New Roman"/>
              <w:kern w:val="0"/>
              <w:sz w:val="24"/>
              <w:szCs w:val="24"/>
              <w:u w:val="none"/>
              <w:lang w:val="zh-CN" w:bidi="zh-CN"/>
            </w:rPr>
            <w:instrText xml:space="preserve"> HYPERLINK \l _Toc25303 </w:instrText>
          </w:r>
          <w:r>
            <w:rPr>
              <w:rFonts w:hint="default" w:ascii="Times New Roman" w:hAnsi="Times New Roman" w:cs="Times New Roman"/>
              <w:kern w:val="0"/>
              <w:sz w:val="24"/>
              <w:szCs w:val="24"/>
              <w:u w:val="none"/>
              <w:lang w:val="zh-CN" w:bidi="zh-CN"/>
            </w:rPr>
            <w:fldChar w:fldCharType="separate"/>
          </w:r>
          <w:r>
            <w:rPr>
              <w:rFonts w:hint="default" w:ascii="Times New Roman" w:hAnsi="Times New Roman" w:cs="Times New Roman" w:eastAsiaTheme="minorEastAsia"/>
              <w:snapToGrid/>
              <w:sz w:val="24"/>
              <w:szCs w:val="24"/>
              <w:u w:val="none"/>
              <w:lang w:val="zh-CN" w:eastAsia="zh-CN" w:bidi="zh-CN"/>
            </w:rPr>
            <w:t>9.2 加分项</w:t>
          </w:r>
          <w:r>
            <w:rPr>
              <w:rFonts w:hint="default" w:ascii="Times New Roman" w:hAnsi="Times New Roman" w:cs="Times New Roman"/>
              <w:sz w:val="24"/>
              <w:szCs w:val="24"/>
              <w:u w:val="none"/>
            </w:rPr>
            <w:tab/>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PAGEREF _Toc25303 \h </w:instrText>
          </w:r>
          <w:r>
            <w:rPr>
              <w:rFonts w:hint="default" w:ascii="Times New Roman" w:hAnsi="Times New Roman" w:cs="Times New Roman"/>
              <w:sz w:val="24"/>
              <w:szCs w:val="24"/>
              <w:u w:val="none"/>
            </w:rPr>
            <w:fldChar w:fldCharType="separate"/>
          </w:r>
          <w:r>
            <w:rPr>
              <w:rFonts w:hint="default" w:ascii="Times New Roman" w:hAnsi="Times New Roman" w:cs="Times New Roman"/>
              <w:sz w:val="24"/>
              <w:szCs w:val="24"/>
              <w:u w:val="none"/>
            </w:rPr>
            <w:t>125</w:t>
          </w:r>
          <w:r>
            <w:rPr>
              <w:rFonts w:hint="default" w:ascii="Times New Roman" w:hAnsi="Times New Roman" w:cs="Times New Roman"/>
              <w:sz w:val="24"/>
              <w:szCs w:val="24"/>
              <w:u w:val="none"/>
            </w:rPr>
            <w:fldChar w:fldCharType="end"/>
          </w:r>
          <w:r>
            <w:rPr>
              <w:rFonts w:hint="default" w:ascii="Times New Roman" w:hAnsi="Times New Roman" w:cs="Times New Roman"/>
              <w:color w:val="000000" w:themeColor="text1"/>
              <w:kern w:val="0"/>
              <w:sz w:val="24"/>
              <w:szCs w:val="24"/>
              <w:u w:val="none"/>
              <w:lang w:val="zh-CN" w:bidi="zh-CN"/>
              <w14:textFill>
                <w14:solidFill>
                  <w14:schemeClr w14:val="tx1"/>
                </w14:solidFill>
              </w14:textFill>
            </w:rPr>
            <w:fldChar w:fldCharType="end"/>
          </w:r>
        </w:p>
        <w:p w14:paraId="431CBEEC">
          <w:pPr>
            <w:autoSpaceDE w:val="0"/>
            <w:autoSpaceDN w:val="0"/>
            <w:spacing w:line="440" w:lineRule="exact"/>
            <w:jc w:val="left"/>
            <w:rPr>
              <w:rFonts w:hint="default" w:ascii="Times New Roman" w:hAnsi="Times New Roman" w:cs="Times New Roman" w:eastAsiaTheme="minorEastAsia"/>
              <w:color w:val="000000" w:themeColor="text1"/>
              <w:kern w:val="0"/>
              <w:sz w:val="21"/>
              <w:szCs w:val="22"/>
              <w:u w:val="none"/>
              <w:lang w:val="zh-CN" w:eastAsia="zh-CN" w:bidi="zh-CN"/>
              <w14:textFill>
                <w14:solidFill>
                  <w14:schemeClr w14:val="tx1"/>
                </w14:solidFill>
              </w14:textFill>
            </w:rPr>
          </w:pPr>
          <w:r>
            <w:rPr>
              <w:rFonts w:hint="default" w:ascii="Times New Roman" w:hAnsi="Times New Roman" w:cs="Times New Roman"/>
              <w:color w:val="000000" w:themeColor="text1"/>
              <w:kern w:val="0"/>
              <w:u w:val="none"/>
              <w:lang w:val="zh-CN" w:bidi="zh-CN"/>
              <w14:textFill>
                <w14:solidFill>
                  <w14:schemeClr w14:val="tx1"/>
                </w14:solidFill>
              </w14:textFill>
            </w:rPr>
            <w:fldChar w:fldCharType="end"/>
          </w:r>
        </w:p>
      </w:sdtContent>
    </w:sdt>
    <w:p w14:paraId="6397F6F4">
      <w:pPr>
        <w:autoSpaceDE w:val="0"/>
        <w:autoSpaceDN w:val="0"/>
        <w:spacing w:line="440" w:lineRule="exact"/>
        <w:jc w:val="left"/>
        <w:rPr>
          <w:rFonts w:hint="default" w:ascii="Times New Roman" w:hAnsi="Times New Roman" w:cs="Times New Roman" w:eastAsiaTheme="minorEastAsia"/>
          <w:color w:val="000000" w:themeColor="text1"/>
          <w:kern w:val="0"/>
          <w:sz w:val="21"/>
          <w:szCs w:val="22"/>
          <w:u w:val="none"/>
          <w:lang w:val="zh-CN" w:eastAsia="zh-CN" w:bidi="zh-CN"/>
          <w14:textFill>
            <w14:solidFill>
              <w14:schemeClr w14:val="tx1"/>
            </w14:solidFill>
          </w14:textFill>
        </w:rPr>
      </w:pPr>
    </w:p>
    <w:p w14:paraId="42118C27">
      <w:pPr>
        <w:spacing w:line="480" w:lineRule="auto"/>
        <w:jc w:val="center"/>
        <w:rPr>
          <w:rFonts w:hint="default" w:ascii="Times New Roman" w:hAnsi="Times New Roman" w:cs="Times New Roman"/>
          <w:bCs/>
          <w:color w:val="000000" w:themeColor="text1"/>
          <w:sz w:val="44"/>
          <w:u w:val="none"/>
          <w14:textFill>
            <w14:solidFill>
              <w14:schemeClr w14:val="tx1"/>
            </w14:solidFill>
          </w14:textFill>
        </w:rPr>
      </w:pPr>
      <w:r>
        <w:rPr>
          <w:rFonts w:hint="default" w:ascii="Times New Roman" w:hAnsi="Times New Roman" w:cs="Times New Roman"/>
          <w:bCs/>
          <w:color w:val="000000" w:themeColor="text1"/>
          <w:sz w:val="44"/>
          <w:u w:val="none"/>
          <w14:textFill>
            <w14:solidFill>
              <w14:schemeClr w14:val="tx1"/>
            </w14:solidFill>
          </w14:textFill>
        </w:rPr>
        <w:br w:type="page"/>
      </w:r>
    </w:p>
    <w:p w14:paraId="292DA848">
      <w:pPr>
        <w:spacing w:line="480" w:lineRule="auto"/>
        <w:jc w:val="center"/>
        <w:rPr>
          <w:rFonts w:hint="default" w:ascii="Times New Roman" w:hAnsi="Times New Roman" w:cs="Times New Roman"/>
          <w:bCs/>
          <w:color w:val="000000" w:themeColor="text1"/>
          <w:sz w:val="44"/>
          <w:u w:val="none"/>
          <w14:textFill>
            <w14:solidFill>
              <w14:schemeClr w14:val="tx1"/>
            </w14:solidFill>
          </w14:textFill>
        </w:rPr>
      </w:pPr>
    </w:p>
    <w:p w14:paraId="766CA53C">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23" w:name="_Toc1337"/>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1 总   则</w:t>
      </w:r>
      <w:bookmarkEnd w:id="123"/>
    </w:p>
    <w:p w14:paraId="3F1BF36F">
      <w:pPr>
        <w:pStyle w:val="26"/>
        <w:widowControl/>
        <w:spacing w:line="360" w:lineRule="auto"/>
        <w:ind w:firstLine="0" w:firstLineChars="0"/>
        <w:rPr>
          <w:rFonts w:hint="default" w:ascii="Times New Roman" w:hAnsi="Times New Roman" w:cs="Times New Roman"/>
          <w:color w:val="000000" w:themeColor="text1"/>
          <w:spacing w:val="-6"/>
          <w:kern w:val="0"/>
          <w:u w:val="none"/>
          <w14:textFill>
            <w14:solidFill>
              <w14:schemeClr w14:val="tx1"/>
            </w14:solidFill>
          </w14:textFill>
        </w:rPr>
      </w:pPr>
      <w:r>
        <w:rPr>
          <w:rFonts w:hint="default" w:ascii="Times New Roman" w:hAnsi="Times New Roman" w:cs="Times New Roman" w:eastAsiaTheme="minorEastAsia"/>
          <w:b/>
          <w:snapToGrid/>
          <w:color w:val="000000" w:themeColor="text1"/>
          <w:spacing w:val="-12"/>
          <w:u w:val="none"/>
          <w14:textFill>
            <w14:solidFill>
              <w14:schemeClr w14:val="tx1"/>
            </w14:solidFill>
          </w14:textFill>
        </w:rPr>
        <w:t xml:space="preserve">1.0.1 </w:t>
      </w:r>
      <w:r>
        <w:rPr>
          <w:rFonts w:hint="default" w:ascii="Times New Roman" w:hAnsi="Times New Roman" w:cs="Times New Roman"/>
          <w:color w:val="000000" w:themeColor="text1"/>
          <w:spacing w:val="-6"/>
          <w:kern w:val="0"/>
          <w:u w:val="none"/>
          <w14:textFill>
            <w14:solidFill>
              <w14:schemeClr w14:val="tx1"/>
            </w14:solidFill>
          </w14:textFill>
        </w:rPr>
        <w:t xml:space="preserve"> 我省绿色建筑已实现从无到有、从少到多、从个别城市到全省范围，从单体到城区、到城市规模化的发展，《云南省住房和城乡建设厅 云南省发展和改革委员会关于印发云南省加快推动建筑领域节能降碳工作方案的通知》（云建科﹝2024﹞121号文</w:t>
      </w:r>
      <w:r>
        <w:rPr>
          <w:rFonts w:hint="default" w:ascii="Times New Roman" w:hAnsi="Times New Roman" w:cs="Times New Roman"/>
          <w:color w:val="000000" w:themeColor="text1"/>
          <w:spacing w:val="-6"/>
          <w:kern w:val="0"/>
          <w:u w:val="none"/>
          <w:lang w:eastAsia="zh-CN"/>
          <w14:textFill>
            <w14:solidFill>
              <w14:schemeClr w14:val="tx1"/>
            </w14:solidFill>
          </w14:textFill>
        </w:rPr>
        <w:t>）</w:t>
      </w:r>
      <w:r>
        <w:rPr>
          <w:rFonts w:hint="default" w:ascii="Times New Roman" w:hAnsi="Times New Roman" w:cs="Times New Roman"/>
          <w:color w:val="000000" w:themeColor="text1"/>
          <w:spacing w:val="-6"/>
          <w:kern w:val="0"/>
          <w:u w:val="none"/>
          <w14:textFill>
            <w14:solidFill>
              <w14:schemeClr w14:val="tx1"/>
            </w14:solidFill>
          </w14:textFill>
        </w:rPr>
        <w:t>）规定：</w:t>
      </w:r>
      <w:r>
        <w:rPr>
          <w:rFonts w:hint="eastAsia" w:cs="Times New Roman"/>
          <w:color w:val="000000" w:themeColor="text1"/>
          <w:spacing w:val="-6"/>
          <w:kern w:val="0"/>
          <w:u w:val="none"/>
          <w:lang w:eastAsia="zh-CN"/>
          <w14:textFill>
            <w14:solidFill>
              <w14:schemeClr w14:val="tx1"/>
            </w14:solidFill>
          </w14:textFill>
        </w:rPr>
        <w:t>“</w:t>
      </w:r>
      <w:r>
        <w:rPr>
          <w:rFonts w:hint="default" w:ascii="Times New Roman" w:hAnsi="Times New Roman" w:cs="Times New Roman"/>
          <w:color w:val="000000" w:themeColor="text1"/>
          <w:spacing w:val="-6"/>
          <w:kern w:val="0"/>
          <w:u w:val="none"/>
          <w14:textFill>
            <w14:solidFill>
              <w14:schemeClr w14:val="tx1"/>
            </w14:solidFill>
          </w14:textFill>
        </w:rPr>
        <w:t>持续推动城镇新建建筑全面执行绿色建筑标准，政府投资公益性建筑、大型公共建筑、保障性住房至少达到一星级标准，超高层建筑达到三星级标准，鼓励社会投资项目达到星级标准。星级绿色建筑项目在施工图设计文件送审时应同步委托绿色建筑预评价，项目竣工验收合格后申请绿色建筑标识。</w:t>
      </w:r>
      <w:r>
        <w:rPr>
          <w:rFonts w:hint="eastAsia" w:cs="Times New Roman"/>
          <w:color w:val="000000" w:themeColor="text1"/>
          <w:spacing w:val="-6"/>
          <w:kern w:val="0"/>
          <w:u w:val="none"/>
          <w:lang w:eastAsia="zh-CN"/>
          <w14:textFill>
            <w14:solidFill>
              <w14:schemeClr w14:val="tx1"/>
            </w14:solidFill>
          </w14:textFill>
        </w:rPr>
        <w:t>”</w:t>
      </w:r>
      <w:r>
        <w:rPr>
          <w:rFonts w:hint="default" w:ascii="Times New Roman" w:hAnsi="Times New Roman" w:cs="Times New Roman"/>
          <w:color w:val="000000" w:themeColor="text1"/>
          <w:spacing w:val="-6"/>
          <w:kern w:val="0"/>
          <w:u w:val="none"/>
          <w14:textFill>
            <w14:solidFill>
              <w14:schemeClr w14:val="tx1"/>
            </w14:solidFill>
          </w14:textFill>
        </w:rPr>
        <w:t>。绿色建筑实践工作稳步推进、绿色建筑发展效益明显，从政府到公众，全省对绿色建筑的理念、认识和需求逐步提高，绿色建筑蓬勃开展。</w:t>
      </w:r>
    </w:p>
    <w:p w14:paraId="711FDA64">
      <w:pPr>
        <w:pStyle w:val="26"/>
        <w:widowControl/>
        <w:spacing w:line="360" w:lineRule="auto"/>
        <w:ind w:firstLine="456"/>
        <w:rPr>
          <w:rFonts w:hint="default" w:ascii="Times New Roman" w:hAnsi="Times New Roman" w:cs="Times New Roman"/>
          <w:color w:val="000000" w:themeColor="text1"/>
          <w:spacing w:val="-6"/>
          <w:kern w:val="0"/>
          <w:u w:val="none"/>
          <w14:textFill>
            <w14:solidFill>
              <w14:schemeClr w14:val="tx1"/>
            </w14:solidFill>
          </w14:textFill>
        </w:rPr>
      </w:pPr>
      <w:r>
        <w:rPr>
          <w:rFonts w:hint="default" w:ascii="Times New Roman" w:hAnsi="Times New Roman" w:cs="Times New Roman"/>
          <w:color w:val="000000" w:themeColor="text1"/>
          <w:spacing w:val="-6"/>
          <w:kern w:val="0"/>
          <w:u w:val="none"/>
          <w14:textFill>
            <w14:solidFill>
              <w14:schemeClr w14:val="tx1"/>
            </w14:solidFill>
          </w14:textFill>
        </w:rPr>
        <w:t>本标准的前一版本《云南省绿色建筑评价标准》DBJ 53/T-49-2015是总结云南省资源、环境特征以及绿色建筑研究成果，借鉴省内外绿色建筑发展经验制定的，建立了云南省绿色建筑评价体系，随着我省绿色建筑的发展、践行绿色建筑理念需求的不断提出以及《绿色建筑评价标准》GB/T 50378-2019</w:t>
      </w:r>
      <w:r>
        <w:rPr>
          <w:rFonts w:hint="default" w:ascii="Times New Roman" w:hAnsi="Times New Roman" w:cs="Times New Roman"/>
          <w:color w:val="000000" w:themeColor="text1"/>
          <w:spacing w:val="-6"/>
          <w:kern w:val="0"/>
          <w:u w:val="none"/>
          <w:lang w:eastAsia="zh-CN"/>
          <w14:textFill>
            <w14:solidFill>
              <w14:schemeClr w14:val="tx1"/>
            </w14:solidFill>
          </w14:textFill>
        </w:rPr>
        <w:t>（</w:t>
      </w:r>
      <w:r>
        <w:rPr>
          <w:rFonts w:hint="default" w:ascii="Times New Roman" w:hAnsi="Times New Roman" w:cs="Times New Roman"/>
          <w:color w:val="000000" w:themeColor="text1"/>
          <w:spacing w:val="-6"/>
          <w:kern w:val="0"/>
          <w:u w:val="none"/>
          <w14:textFill>
            <w14:solidFill>
              <w14:schemeClr w14:val="tx1"/>
            </w14:solidFill>
          </w14:textFill>
        </w:rPr>
        <w:t>2024</w:t>
      </w:r>
      <w:r>
        <w:rPr>
          <w:rFonts w:hint="default" w:ascii="Times New Roman" w:hAnsi="Times New Roman" w:cs="Times New Roman"/>
          <w:color w:val="000000" w:themeColor="text1"/>
          <w:spacing w:val="-6"/>
          <w:kern w:val="0"/>
          <w:u w:val="none"/>
          <w:lang w:eastAsia="zh-CN"/>
          <w14:textFill>
            <w14:solidFill>
              <w14:schemeClr w14:val="tx1"/>
            </w14:solidFill>
          </w14:textFill>
        </w:rPr>
        <w:t>）</w:t>
      </w:r>
      <w:r>
        <w:rPr>
          <w:rFonts w:hint="default" w:ascii="Times New Roman" w:hAnsi="Times New Roman" w:cs="Times New Roman"/>
          <w:color w:val="000000" w:themeColor="text1"/>
          <w:spacing w:val="-6"/>
          <w:kern w:val="0"/>
          <w:u w:val="none"/>
          <w14:textFill>
            <w14:solidFill>
              <w14:schemeClr w14:val="tx1"/>
            </w14:solidFill>
          </w14:textFill>
        </w:rPr>
        <w:t>的发布实施，云南省建筑科学研究院有限公司、云南省设计院集团有限公司和云南建筑技术发展中心按照云南省住房和城乡建设厅的要求，对《云南省绿色建筑评价标准》DBJ 53/T-49-2015进行修订。</w:t>
      </w:r>
    </w:p>
    <w:p w14:paraId="360DC26A">
      <w:pPr>
        <w:spacing w:line="360" w:lineRule="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1.0.2</w:t>
      </w:r>
      <w:r>
        <w:rPr>
          <w:rFonts w:hint="default" w:ascii="Times New Roman" w:hAnsi="Times New Roman" w:eastAsia="宋体" w:cs="Times New Roman"/>
          <w:color w:val="000000" w:themeColor="text1"/>
          <w:spacing w:val="64"/>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本条规定了标准的适用范围，即本标准适用于各类民用</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建筑绿色性能的评价，包括公共建筑和住宅建筑。</w:t>
      </w:r>
    </w:p>
    <w:p w14:paraId="6B984D53">
      <w:pPr>
        <w:spacing w:line="360" w:lineRule="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1.0.3 </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我省各地区在气候、环境、资源、经济发展水平与民俗</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文化等方面都存在较大差异，而因地制宜又是绿色建筑建设的基本原则，因此对绿色建筑的评价，也应综合考量建筑所在地域的</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气候、环境、资源、经济和文化等条件和特点。建筑物从规划设计到施工，再到运行使用及最终的拆除，构成一个全寿命期。本</w:t>
      </w:r>
      <w:r>
        <w:rPr>
          <w:rFonts w:hint="default" w:ascii="Times New Roman" w:hAnsi="Times New Roman" w:eastAsia="宋体" w:cs="Times New Roman"/>
          <w:color w:val="000000" w:themeColor="text1"/>
          <w:spacing w:val="4"/>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次修订，以</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四节一环保</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为基本约束，以</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以人为本</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为核心要求，对建筑的安全耐久、健康舒适、生活便利、资源节约、环</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境宜居等方面的性能进行综合评价。</w:t>
      </w:r>
    </w:p>
    <w:p w14:paraId="48C55418">
      <w:pPr>
        <w:spacing w:line="360" w:lineRule="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1.0.4</w:t>
      </w:r>
      <w:r>
        <w:rPr>
          <w:rFonts w:hint="default" w:ascii="Times New Roman" w:hAnsi="Times New Roman" w:eastAsia="宋体" w:cs="Times New Roman"/>
          <w:color w:val="000000" w:themeColor="text1"/>
          <w:spacing w:val="53"/>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绿色建筑充分利用场地原有的自然要素，能够减少开发</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建</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设对场地及周边生态系统的改变。从适应场地条</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件和气候特</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征</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入</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手，优化建筑布局，有利于创造积极的室外环境。</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对场地风</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环</w:t>
      </w:r>
      <w:r>
        <w:rPr>
          <w:rFonts w:hint="default" w:ascii="Times New Roman" w:hAnsi="Times New Roman" w:eastAsia="宋体" w:cs="Times New Roman"/>
          <w:color w:val="000000" w:themeColor="text1"/>
          <w:spacing w:val="-5"/>
          <w:sz w:val="24"/>
          <w:szCs w:val="24"/>
          <w:u w:val="none"/>
          <w14:textFill>
            <w14:solidFill>
              <w14:schemeClr w14:val="tx1"/>
            </w14:solidFill>
          </w14:textFill>
        </w:rPr>
        <w:t>境、光环境的组织和利用，可以改善建筑的自然通风和日照条件，提高场地舒适度；对场地热环境的组织，可以降低热岛强</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度；对场地声环境的组织，可以降低建筑室内外噪声。</w:t>
      </w:r>
    </w:p>
    <w:p w14:paraId="1FFD55CE">
      <w:pPr>
        <w:spacing w:line="360" w:lineRule="auto"/>
        <w:jc w:val="left"/>
        <w:rPr>
          <w:rFonts w:hint="default" w:ascii="Times New Roman" w:hAnsi="Times New Roman" w:cs="Times New Roman"/>
          <w:bCs/>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1.0.5</w:t>
      </w:r>
      <w:r>
        <w:rPr>
          <w:rFonts w:hint="default" w:ascii="Times New Roman" w:hAnsi="Times New Roman" w:eastAsia="宋体" w:cs="Times New Roman"/>
          <w:color w:val="000000" w:themeColor="text1"/>
          <w:spacing w:val="54"/>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符合国家法律法规和有关标准是参与绿色建筑评价的前</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提</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条件。本标准重点在于对建筑绿色性能进行评</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价，并未涵盖</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通</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常</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建筑物所应有的全部功能和性能要求，故参与评</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价的建筑尚</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应</w:t>
      </w:r>
      <w:r>
        <w:rPr>
          <w:rFonts w:hint="default" w:ascii="Times New Roman" w:hAnsi="Times New Roman" w:eastAsia="宋体" w:cs="Times New Roman"/>
          <w:color w:val="000000" w:themeColor="text1"/>
          <w:spacing w:val="-14"/>
          <w:sz w:val="24"/>
          <w:szCs w:val="24"/>
          <w:u w:val="none"/>
          <w14:textFill>
            <w14:solidFill>
              <w14:schemeClr w14:val="tx1"/>
            </w14:solidFill>
          </w14:textFill>
        </w:rPr>
        <w:t>符合国家现行有关标准的规定。</w:t>
      </w:r>
    </w:p>
    <w:p w14:paraId="2DB812C1">
      <w:pPr>
        <w:spacing w:line="360" w:lineRule="auto"/>
        <w:jc w:val="center"/>
        <w:rPr>
          <w:rFonts w:hint="default" w:ascii="Times New Roman" w:hAnsi="Times New Roman" w:cs="Times New Roman"/>
          <w:bCs/>
          <w:color w:val="000000" w:themeColor="text1"/>
          <w:sz w:val="24"/>
          <w:szCs w:val="24"/>
          <w:u w:val="none"/>
          <w14:textFill>
            <w14:solidFill>
              <w14:schemeClr w14:val="tx1"/>
            </w14:solidFill>
          </w14:textFill>
        </w:rPr>
      </w:pPr>
      <w:r>
        <w:rPr>
          <w:rFonts w:hint="default" w:ascii="Times New Roman" w:hAnsi="Times New Roman" w:cs="Times New Roman"/>
          <w:bCs/>
          <w:color w:val="000000" w:themeColor="text1"/>
          <w:sz w:val="24"/>
          <w:szCs w:val="24"/>
          <w:u w:val="none"/>
          <w14:textFill>
            <w14:solidFill>
              <w14:schemeClr w14:val="tx1"/>
            </w14:solidFill>
          </w14:textFill>
        </w:rPr>
        <w:br w:type="page"/>
      </w:r>
    </w:p>
    <w:p w14:paraId="0E74AD02">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24" w:name="_Toc204247743"/>
      <w:bookmarkStart w:id="125" w:name="_Toc20790"/>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3 基本规定</w:t>
      </w:r>
      <w:bookmarkEnd w:id="124"/>
      <w:bookmarkEnd w:id="125"/>
    </w:p>
    <w:p w14:paraId="0666631B">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26" w:name="_Toc204247744"/>
      <w:bookmarkStart w:id="127" w:name="_Toc27584"/>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3.1 一般规定</w:t>
      </w:r>
      <w:bookmarkEnd w:id="126"/>
      <w:bookmarkEnd w:id="127"/>
    </w:p>
    <w:p w14:paraId="69CD9DF4">
      <w:pPr>
        <w:spacing w:line="360" w:lineRule="auto"/>
        <w:rPr>
          <w:rFonts w:hint="default" w:ascii="Times New Roman" w:hAnsi="Times New Roman" w:eastAsia="宋体" w:cs="Times New Roman"/>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3.1.1</w:t>
      </w:r>
      <w:r>
        <w:rPr>
          <w:rFonts w:hint="default" w:ascii="Times New Roman" w:hAnsi="Times New Roman" w:eastAsia="宋体" w:cs="Times New Roman"/>
          <w:spacing w:val="83"/>
          <w:sz w:val="24"/>
          <w:szCs w:val="24"/>
          <w:u w:val="none"/>
        </w:rPr>
        <w:t xml:space="preserve"> </w:t>
      </w:r>
      <w:r>
        <w:rPr>
          <w:rFonts w:hint="default" w:ascii="Times New Roman" w:hAnsi="Times New Roman" w:eastAsia="宋体" w:cs="Times New Roman"/>
          <w:spacing w:val="-6"/>
          <w:sz w:val="24"/>
          <w:szCs w:val="24"/>
          <w:u w:val="none"/>
        </w:rPr>
        <w:t>建筑和建筑群的规划建设应符合法定详细规划，并应满</w:t>
      </w:r>
      <w:r>
        <w:rPr>
          <w:rFonts w:hint="default" w:ascii="Times New Roman" w:hAnsi="Times New Roman" w:eastAsia="宋体" w:cs="Times New Roman"/>
          <w:spacing w:val="-11"/>
          <w:sz w:val="24"/>
          <w:szCs w:val="24"/>
          <w:u w:val="none"/>
        </w:rPr>
        <w:t>足绿色生态城市发展规划、绿色建筑建设规划、海绵城</w:t>
      </w:r>
      <w:r>
        <w:rPr>
          <w:rFonts w:hint="default" w:ascii="Times New Roman" w:hAnsi="Times New Roman" w:eastAsia="宋体" w:cs="Times New Roman"/>
          <w:spacing w:val="-12"/>
          <w:sz w:val="24"/>
          <w:szCs w:val="24"/>
          <w:u w:val="none"/>
        </w:rPr>
        <w:t>市建设规</w:t>
      </w:r>
      <w:r>
        <w:rPr>
          <w:rFonts w:hint="default" w:ascii="Times New Roman" w:hAnsi="Times New Roman" w:eastAsia="宋体" w:cs="Times New Roman"/>
          <w:spacing w:val="-4"/>
          <w:sz w:val="24"/>
          <w:szCs w:val="24"/>
          <w:u w:val="none"/>
        </w:rPr>
        <w:t>划等相关专项规划提出的绿色发展控制要求，深化、细化技术</w:t>
      </w:r>
      <w:r>
        <w:rPr>
          <w:rFonts w:hint="default" w:ascii="Times New Roman" w:hAnsi="Times New Roman" w:eastAsia="宋体" w:cs="Times New Roman"/>
          <w:spacing w:val="-9"/>
          <w:sz w:val="24"/>
          <w:szCs w:val="24"/>
          <w:u w:val="none"/>
        </w:rPr>
        <w:t>措施。</w:t>
      </w:r>
    </w:p>
    <w:p w14:paraId="7F6ACAB5">
      <w:pPr>
        <w:spacing w:line="360" w:lineRule="auto"/>
        <w:ind w:firstLine="468"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pacing w:val="-3"/>
          <w:sz w:val="24"/>
          <w:szCs w:val="24"/>
          <w:u w:val="none"/>
        </w:rPr>
        <w:t>建筑单体和建筑群均可以参评绿色建筑，临</w:t>
      </w:r>
      <w:r>
        <w:rPr>
          <w:rFonts w:hint="default" w:ascii="Times New Roman" w:hAnsi="Times New Roman" w:eastAsia="宋体" w:cs="Times New Roman"/>
          <w:spacing w:val="-4"/>
          <w:sz w:val="24"/>
          <w:szCs w:val="24"/>
          <w:u w:val="none"/>
        </w:rPr>
        <w:t>时建筑不得参</w:t>
      </w:r>
      <w:r>
        <w:rPr>
          <w:rFonts w:hint="default" w:ascii="Times New Roman" w:hAnsi="Times New Roman" w:eastAsia="宋体" w:cs="Times New Roman"/>
          <w:spacing w:val="-11"/>
          <w:sz w:val="24"/>
          <w:szCs w:val="24"/>
          <w:u w:val="none"/>
        </w:rPr>
        <w:t>评。单栋建筑应为完整的建筑，不得从中剔除部分区域。</w:t>
      </w:r>
    </w:p>
    <w:p w14:paraId="754BDC62">
      <w:pPr>
        <w:spacing w:line="360" w:lineRule="auto"/>
        <w:ind w:firstLine="432"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pacing w:val="-12"/>
          <w:sz w:val="24"/>
          <w:szCs w:val="24"/>
          <w:u w:val="none"/>
        </w:rPr>
        <w:t>绿色建筑的评价，首先应基于评价对象的性能要求。当需要</w:t>
      </w:r>
      <w:r>
        <w:rPr>
          <w:rFonts w:hint="default" w:ascii="Times New Roman" w:hAnsi="Times New Roman" w:eastAsia="宋体" w:cs="Times New Roman"/>
          <w:spacing w:val="-11"/>
          <w:sz w:val="24"/>
          <w:szCs w:val="24"/>
          <w:u w:val="none"/>
        </w:rPr>
        <w:t>对某工程项目中的单栋建筑或建筑群进行评价时，由于</w:t>
      </w:r>
      <w:r>
        <w:rPr>
          <w:rFonts w:hint="default" w:ascii="Times New Roman" w:hAnsi="Times New Roman" w:eastAsia="宋体" w:cs="Times New Roman"/>
          <w:spacing w:val="-12"/>
          <w:sz w:val="24"/>
          <w:szCs w:val="24"/>
          <w:u w:val="none"/>
        </w:rPr>
        <w:t>有些评价</w:t>
      </w:r>
      <w:r>
        <w:rPr>
          <w:rFonts w:hint="default" w:ascii="Times New Roman" w:hAnsi="Times New Roman" w:eastAsia="宋体" w:cs="Times New Roman"/>
          <w:spacing w:val="-11"/>
          <w:sz w:val="24"/>
          <w:szCs w:val="24"/>
          <w:u w:val="none"/>
        </w:rPr>
        <w:t>指标是针对该工程项目设定的，或该工程项目中其他建筑也采用</w:t>
      </w:r>
      <w:r>
        <w:rPr>
          <w:rFonts w:hint="default" w:ascii="Times New Roman" w:hAnsi="Times New Roman" w:eastAsia="宋体" w:cs="Times New Roman"/>
          <w:spacing w:val="-12"/>
          <w:sz w:val="24"/>
          <w:szCs w:val="24"/>
          <w:u w:val="none"/>
        </w:rPr>
        <w:t>了相同的技术方案，难以仅基于该单栋建筑进行评价，此时，应</w:t>
      </w:r>
      <w:r>
        <w:rPr>
          <w:rFonts w:hint="default" w:ascii="Times New Roman" w:hAnsi="Times New Roman" w:eastAsia="宋体" w:cs="Times New Roman"/>
          <w:spacing w:val="-11"/>
          <w:sz w:val="24"/>
          <w:szCs w:val="24"/>
          <w:u w:val="none"/>
        </w:rPr>
        <w:t>以该栋建筑所属工程项目的总体为基准进行评价。也</w:t>
      </w:r>
      <w:r>
        <w:rPr>
          <w:rFonts w:hint="default" w:ascii="Times New Roman" w:hAnsi="Times New Roman" w:eastAsia="宋体" w:cs="Times New Roman"/>
          <w:spacing w:val="-12"/>
          <w:sz w:val="24"/>
          <w:szCs w:val="24"/>
          <w:u w:val="none"/>
        </w:rPr>
        <w:t>就是说，评</w:t>
      </w:r>
      <w:r>
        <w:rPr>
          <w:rFonts w:hint="default" w:ascii="Times New Roman" w:hAnsi="Times New Roman" w:eastAsia="宋体" w:cs="Times New Roman"/>
          <w:spacing w:val="-7"/>
          <w:sz w:val="24"/>
          <w:szCs w:val="24"/>
          <w:u w:val="none"/>
        </w:rPr>
        <w:t>价内容涉及工程建设项目总体要求时</w:t>
      </w:r>
      <w:r>
        <w:rPr>
          <w:rFonts w:hint="default" w:ascii="Times New Roman" w:hAnsi="Times New Roman" w:eastAsia="宋体" w:cs="Times New Roman"/>
          <w:spacing w:val="-7"/>
          <w:sz w:val="24"/>
          <w:szCs w:val="24"/>
          <w:u w:val="none"/>
          <w:lang w:eastAsia="zh-CN"/>
        </w:rPr>
        <w:t>（</w:t>
      </w:r>
      <w:r>
        <w:rPr>
          <w:rFonts w:hint="default" w:ascii="Times New Roman" w:hAnsi="Times New Roman" w:eastAsia="宋体" w:cs="Times New Roman"/>
          <w:spacing w:val="-7"/>
          <w:sz w:val="24"/>
          <w:szCs w:val="24"/>
          <w:u w:val="none"/>
        </w:rPr>
        <w:t>如容积率、绿</w:t>
      </w:r>
      <w:r>
        <w:rPr>
          <w:rFonts w:hint="default" w:ascii="Times New Roman" w:hAnsi="Times New Roman" w:eastAsia="宋体" w:cs="Times New Roman"/>
          <w:spacing w:val="-8"/>
          <w:sz w:val="24"/>
          <w:szCs w:val="24"/>
          <w:u w:val="none"/>
        </w:rPr>
        <w:t>地率、年径</w:t>
      </w:r>
      <w:r>
        <w:rPr>
          <w:rFonts w:hint="default" w:ascii="Times New Roman" w:hAnsi="Times New Roman" w:eastAsia="宋体" w:cs="Times New Roman"/>
          <w:spacing w:val="-3"/>
          <w:sz w:val="24"/>
          <w:szCs w:val="24"/>
          <w:u w:val="none"/>
        </w:rPr>
        <w:t>流总量控制率等控制指标</w:t>
      </w:r>
      <w:r>
        <w:rPr>
          <w:rFonts w:hint="default" w:ascii="Times New Roman" w:hAnsi="Times New Roman" w:eastAsia="宋体" w:cs="Times New Roman"/>
          <w:spacing w:val="-3"/>
          <w:sz w:val="24"/>
          <w:szCs w:val="24"/>
          <w:u w:val="none"/>
          <w:lang w:eastAsia="zh-CN"/>
        </w:rPr>
        <w:t>），</w:t>
      </w:r>
      <w:r>
        <w:rPr>
          <w:rFonts w:hint="default" w:ascii="Times New Roman" w:hAnsi="Times New Roman" w:eastAsia="宋体" w:cs="Times New Roman"/>
          <w:spacing w:val="-3"/>
          <w:sz w:val="24"/>
          <w:szCs w:val="24"/>
          <w:u w:val="none"/>
        </w:rPr>
        <w:t>应依据该项目的整体控制指标，即</w:t>
      </w:r>
      <w:r>
        <w:rPr>
          <w:rFonts w:hint="default" w:ascii="Times New Roman" w:hAnsi="Times New Roman" w:eastAsia="宋体" w:cs="Times New Roman"/>
          <w:spacing w:val="-11"/>
          <w:sz w:val="24"/>
          <w:szCs w:val="24"/>
          <w:u w:val="none"/>
        </w:rPr>
        <w:t>所在地城乡规划行政主管部门核发的工程建设规划许可</w:t>
      </w:r>
      <w:r>
        <w:rPr>
          <w:rFonts w:hint="default" w:ascii="Times New Roman" w:hAnsi="Times New Roman" w:eastAsia="宋体" w:cs="Times New Roman"/>
          <w:spacing w:val="-12"/>
          <w:sz w:val="24"/>
          <w:szCs w:val="24"/>
          <w:u w:val="none"/>
        </w:rPr>
        <w:t>证及其设</w:t>
      </w:r>
      <w:r>
        <w:rPr>
          <w:rFonts w:hint="default" w:ascii="Times New Roman" w:hAnsi="Times New Roman" w:eastAsia="宋体" w:cs="Times New Roman"/>
          <w:spacing w:val="-13"/>
          <w:sz w:val="24"/>
          <w:szCs w:val="24"/>
          <w:u w:val="none"/>
        </w:rPr>
        <w:t>计条件提出的控制要求，进行评价。</w:t>
      </w:r>
    </w:p>
    <w:p w14:paraId="7B875C14">
      <w:pPr>
        <w:spacing w:line="360" w:lineRule="auto"/>
        <w:ind w:firstLine="436"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pacing w:val="-11"/>
          <w:sz w:val="24"/>
          <w:szCs w:val="24"/>
          <w:u w:val="none"/>
        </w:rPr>
        <w:t>建筑群是指位置毗邻、功能相同、权属相同</w:t>
      </w:r>
      <w:r>
        <w:rPr>
          <w:rFonts w:hint="default" w:ascii="Times New Roman" w:hAnsi="Times New Roman" w:eastAsia="宋体" w:cs="Times New Roman"/>
          <w:spacing w:val="-12"/>
          <w:sz w:val="24"/>
          <w:szCs w:val="24"/>
          <w:u w:val="none"/>
        </w:rPr>
        <w:t>、技术体系相同</w:t>
      </w:r>
      <w:r>
        <w:rPr>
          <w:rFonts w:hint="default" w:ascii="Times New Roman" w:hAnsi="Times New Roman" w:eastAsia="宋体" w:cs="Times New Roman"/>
          <w:sz w:val="24"/>
          <w:szCs w:val="24"/>
          <w:u w:val="none"/>
        </w:rPr>
        <w:t xml:space="preserve"> </w:t>
      </w:r>
      <w:r>
        <w:rPr>
          <w:rFonts w:hint="default" w:ascii="Times New Roman" w:hAnsi="Times New Roman" w:eastAsia="宋体" w:cs="Times New Roman"/>
          <w:spacing w:val="-4"/>
          <w:sz w:val="24"/>
          <w:szCs w:val="24"/>
          <w:u w:val="none"/>
          <w:lang w:eastAsia="zh-CN"/>
        </w:rPr>
        <w:t>（</w:t>
      </w:r>
      <w:r>
        <w:rPr>
          <w:rFonts w:hint="default" w:ascii="Times New Roman" w:hAnsi="Times New Roman" w:eastAsia="宋体" w:cs="Times New Roman"/>
          <w:spacing w:val="-4"/>
          <w:sz w:val="24"/>
          <w:szCs w:val="24"/>
          <w:u w:val="none"/>
        </w:rPr>
        <w:t>相近</w:t>
      </w:r>
      <w:r>
        <w:rPr>
          <w:rFonts w:hint="default" w:ascii="Times New Roman" w:hAnsi="Times New Roman" w:eastAsia="宋体" w:cs="Times New Roman"/>
          <w:spacing w:val="-4"/>
          <w:sz w:val="24"/>
          <w:szCs w:val="24"/>
          <w:u w:val="none"/>
          <w:lang w:eastAsia="zh-CN"/>
        </w:rPr>
        <w:t>）</w:t>
      </w:r>
      <w:r>
        <w:rPr>
          <w:rFonts w:hint="default" w:ascii="Times New Roman" w:hAnsi="Times New Roman" w:eastAsia="宋体" w:cs="Times New Roman"/>
          <w:spacing w:val="-4"/>
          <w:sz w:val="24"/>
          <w:szCs w:val="24"/>
          <w:u w:val="none"/>
        </w:rPr>
        <w:t>的两个及以上单体建筑组成的群体。常见的建筑群有住</w:t>
      </w:r>
      <w:r>
        <w:rPr>
          <w:rFonts w:hint="default" w:ascii="Times New Roman" w:hAnsi="Times New Roman" w:eastAsia="宋体" w:cs="Times New Roman"/>
          <w:spacing w:val="3"/>
          <w:sz w:val="24"/>
          <w:szCs w:val="24"/>
          <w:u w:val="none"/>
        </w:rPr>
        <w:t xml:space="preserve"> </w:t>
      </w:r>
      <w:r>
        <w:rPr>
          <w:rFonts w:hint="default" w:ascii="Times New Roman" w:hAnsi="Times New Roman" w:eastAsia="宋体" w:cs="Times New Roman"/>
          <w:spacing w:val="-11"/>
          <w:sz w:val="24"/>
          <w:szCs w:val="24"/>
          <w:u w:val="none"/>
        </w:rPr>
        <w:t>宅建筑群、办公建筑群。当对建筑群进行评价时，可先</w:t>
      </w:r>
      <w:r>
        <w:rPr>
          <w:rFonts w:hint="default" w:ascii="Times New Roman" w:hAnsi="Times New Roman" w:eastAsia="宋体" w:cs="Times New Roman"/>
          <w:spacing w:val="-12"/>
          <w:sz w:val="24"/>
          <w:szCs w:val="24"/>
          <w:u w:val="none"/>
        </w:rPr>
        <w:t>用本标准</w:t>
      </w:r>
      <w:r>
        <w:rPr>
          <w:rFonts w:hint="default" w:ascii="Times New Roman" w:hAnsi="Times New Roman" w:eastAsia="宋体" w:cs="Times New Roman"/>
          <w:sz w:val="24"/>
          <w:szCs w:val="24"/>
          <w:u w:val="none"/>
        </w:rPr>
        <w:t xml:space="preserve"> </w:t>
      </w:r>
      <w:r>
        <w:rPr>
          <w:rFonts w:hint="default" w:ascii="Times New Roman" w:hAnsi="Times New Roman" w:eastAsia="宋体" w:cs="Times New Roman"/>
          <w:spacing w:val="-11"/>
          <w:sz w:val="24"/>
          <w:szCs w:val="24"/>
          <w:u w:val="none"/>
        </w:rPr>
        <w:t>评分项和加分项对各单体建筑进行评价，得到各单体</w:t>
      </w:r>
      <w:r>
        <w:rPr>
          <w:rFonts w:hint="default" w:ascii="Times New Roman" w:hAnsi="Times New Roman" w:eastAsia="宋体" w:cs="Times New Roman"/>
          <w:spacing w:val="-12"/>
          <w:sz w:val="24"/>
          <w:szCs w:val="24"/>
          <w:u w:val="none"/>
        </w:rPr>
        <w:t>建筑的总得</w:t>
      </w:r>
      <w:r>
        <w:rPr>
          <w:rFonts w:hint="default" w:ascii="Times New Roman" w:hAnsi="Times New Roman" w:eastAsia="宋体" w:cs="Times New Roman"/>
          <w:spacing w:val="-11"/>
          <w:sz w:val="24"/>
          <w:szCs w:val="24"/>
          <w:u w:val="none"/>
        </w:rPr>
        <w:t>分，再按各单体建筑的建筑面积进行加权计算得到建</w:t>
      </w:r>
      <w:r>
        <w:rPr>
          <w:rFonts w:hint="default" w:ascii="Times New Roman" w:hAnsi="Times New Roman" w:eastAsia="宋体" w:cs="Times New Roman"/>
          <w:spacing w:val="-12"/>
          <w:sz w:val="24"/>
          <w:szCs w:val="24"/>
          <w:u w:val="none"/>
        </w:rPr>
        <w:t>筑群的总得分，最后按建筑群的总得分确定建筑群的绿色建筑等级。</w:t>
      </w:r>
    </w:p>
    <w:p w14:paraId="24C36AE8">
      <w:pPr>
        <w:spacing w:line="360" w:lineRule="auto"/>
        <w:ind w:firstLine="432"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pacing w:val="-12"/>
          <w:sz w:val="24"/>
          <w:szCs w:val="24"/>
          <w:u w:val="none"/>
        </w:rPr>
        <w:t>无论</w:t>
      </w:r>
      <w:r>
        <w:rPr>
          <w:rFonts w:hint="default" w:ascii="Times New Roman" w:hAnsi="Times New Roman" w:eastAsia="宋体" w:cs="Times New Roman"/>
          <w:spacing w:val="-11"/>
          <w:sz w:val="24"/>
          <w:szCs w:val="24"/>
          <w:u w:val="none"/>
        </w:rPr>
        <w:t>评价对象为单栋建筑还是建筑群，计算系统性、整体</w:t>
      </w:r>
      <w:r>
        <w:rPr>
          <w:rFonts w:hint="default" w:ascii="Times New Roman" w:hAnsi="Times New Roman" w:eastAsia="宋体" w:cs="Times New Roman"/>
          <w:spacing w:val="-9"/>
          <w:sz w:val="24"/>
          <w:szCs w:val="24"/>
          <w:u w:val="none"/>
        </w:rPr>
        <w:t>性</w:t>
      </w:r>
      <w:r>
        <w:rPr>
          <w:rFonts w:hint="default" w:ascii="Times New Roman" w:hAnsi="Times New Roman" w:eastAsia="宋体" w:cs="Times New Roman"/>
          <w:spacing w:val="-11"/>
          <w:sz w:val="24"/>
          <w:szCs w:val="24"/>
          <w:u w:val="none"/>
        </w:rPr>
        <w:t>指标时，边界应选取合理、口径一致，一般以城市道路</w:t>
      </w:r>
      <w:r>
        <w:rPr>
          <w:rFonts w:hint="default" w:ascii="Times New Roman" w:hAnsi="Times New Roman" w:eastAsia="宋体" w:cs="Times New Roman"/>
          <w:spacing w:val="-12"/>
          <w:sz w:val="24"/>
          <w:szCs w:val="24"/>
          <w:u w:val="none"/>
        </w:rPr>
        <w:t>完整围合</w:t>
      </w:r>
      <w:r>
        <w:rPr>
          <w:rFonts w:hint="default" w:ascii="Times New Roman" w:hAnsi="Times New Roman" w:eastAsia="宋体" w:cs="Times New Roman"/>
          <w:spacing w:val="-11"/>
          <w:sz w:val="24"/>
          <w:szCs w:val="24"/>
          <w:u w:val="none"/>
        </w:rPr>
        <w:t>的最小用地面积为宜。如最小规模的城市居住区即城市道路围合</w:t>
      </w:r>
      <w:r>
        <w:rPr>
          <w:rFonts w:hint="default" w:ascii="Times New Roman" w:hAnsi="Times New Roman" w:eastAsia="宋体" w:cs="Times New Roman"/>
          <w:spacing w:val="2"/>
          <w:sz w:val="24"/>
          <w:szCs w:val="24"/>
          <w:u w:val="none"/>
        </w:rPr>
        <w:t>的居住街坊</w:t>
      </w:r>
      <w:r>
        <w:rPr>
          <w:rFonts w:hint="default" w:ascii="Times New Roman" w:hAnsi="Times New Roman" w:eastAsia="宋体" w:cs="Times New Roman"/>
          <w:spacing w:val="2"/>
          <w:sz w:val="24"/>
          <w:szCs w:val="24"/>
          <w:u w:val="none"/>
          <w:lang w:eastAsia="zh-CN"/>
        </w:rPr>
        <w:t>（</w:t>
      </w:r>
      <w:r>
        <w:rPr>
          <w:rFonts w:hint="default" w:ascii="Times New Roman" w:hAnsi="Times New Roman" w:eastAsia="宋体" w:cs="Times New Roman"/>
          <w:spacing w:val="2"/>
          <w:sz w:val="24"/>
          <w:szCs w:val="24"/>
          <w:u w:val="none"/>
        </w:rPr>
        <w:t>现行国家标准《城市居住区规划设计标准》</w:t>
      </w:r>
      <w:r>
        <w:rPr>
          <w:rFonts w:hint="default" w:ascii="Times New Roman" w:hAnsi="Times New Roman" w:eastAsia="宋体" w:cs="Times New Roman"/>
          <w:spacing w:val="-19"/>
          <w:sz w:val="24"/>
          <w:szCs w:val="24"/>
          <w:u w:val="none"/>
        </w:rPr>
        <w:t xml:space="preserve"> </w:t>
      </w:r>
      <w:r>
        <w:rPr>
          <w:rFonts w:hint="default" w:ascii="Times New Roman" w:hAnsi="Times New Roman" w:eastAsia="宋体" w:cs="Times New Roman"/>
          <w:sz w:val="24"/>
          <w:szCs w:val="24"/>
          <w:u w:val="none"/>
        </w:rPr>
        <w:t xml:space="preserve">GB </w:t>
      </w:r>
      <w:r>
        <w:rPr>
          <w:rFonts w:hint="default" w:ascii="Times New Roman" w:hAnsi="Times New Roman" w:eastAsia="宋体" w:cs="Times New Roman"/>
          <w:spacing w:val="-1"/>
          <w:sz w:val="24"/>
          <w:szCs w:val="24"/>
          <w:u w:val="none"/>
        </w:rPr>
        <w:t>50180规定的居住街坊规模</w:t>
      </w:r>
      <w:r>
        <w:rPr>
          <w:rFonts w:hint="default" w:ascii="Times New Roman" w:hAnsi="Times New Roman" w:eastAsia="宋体" w:cs="Times New Roman"/>
          <w:spacing w:val="-1"/>
          <w:sz w:val="24"/>
          <w:szCs w:val="24"/>
          <w:u w:val="none"/>
          <w:lang w:eastAsia="zh-CN"/>
        </w:rPr>
        <w:t>），</w:t>
      </w:r>
      <w:r>
        <w:rPr>
          <w:rFonts w:hint="default" w:ascii="Times New Roman" w:hAnsi="Times New Roman" w:eastAsia="宋体" w:cs="Times New Roman"/>
          <w:spacing w:val="-1"/>
          <w:sz w:val="24"/>
          <w:szCs w:val="24"/>
          <w:u w:val="none"/>
        </w:rPr>
        <w:t>或城市道路围合、由公共建筑群</w:t>
      </w:r>
      <w:r>
        <w:rPr>
          <w:rFonts w:hint="default" w:ascii="Times New Roman" w:hAnsi="Times New Roman" w:eastAsia="宋体" w:cs="Times New Roman"/>
          <w:spacing w:val="-14"/>
          <w:sz w:val="24"/>
          <w:szCs w:val="24"/>
          <w:u w:val="none"/>
        </w:rPr>
        <w:t>构成的城市街坊。</w:t>
      </w:r>
    </w:p>
    <w:p w14:paraId="6F5A047E">
      <w:pPr>
        <w:spacing w:line="360" w:lineRule="auto"/>
        <w:ind w:firstLine="436"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pacing w:val="-11"/>
          <w:sz w:val="24"/>
          <w:szCs w:val="24"/>
          <w:u w:val="none"/>
        </w:rPr>
        <w:t>对于建筑未交付使用时，应坚持本条原则，不对一栋</w:t>
      </w:r>
      <w:r>
        <w:rPr>
          <w:rFonts w:hint="default" w:ascii="Times New Roman" w:hAnsi="Times New Roman" w:eastAsia="宋体" w:cs="Times New Roman"/>
          <w:spacing w:val="-12"/>
          <w:sz w:val="24"/>
          <w:szCs w:val="24"/>
          <w:u w:val="none"/>
        </w:rPr>
        <w:t>建筑中的部分区域开展绿色建筑评价。但建筑运行阶段，可能会存在两</w:t>
      </w:r>
      <w:r>
        <w:rPr>
          <w:rFonts w:hint="default" w:ascii="Times New Roman" w:hAnsi="Times New Roman" w:eastAsia="宋体" w:cs="Times New Roman"/>
          <w:spacing w:val="-8"/>
          <w:sz w:val="24"/>
          <w:szCs w:val="24"/>
          <w:u w:val="none"/>
        </w:rPr>
        <w:t>个或两个以上业主的多功能综合性建筑，此情</w:t>
      </w:r>
      <w:r>
        <w:rPr>
          <w:rFonts w:hint="default" w:ascii="Times New Roman" w:hAnsi="Times New Roman" w:eastAsia="宋体" w:cs="Times New Roman"/>
          <w:spacing w:val="-9"/>
          <w:sz w:val="24"/>
          <w:szCs w:val="24"/>
          <w:u w:val="none"/>
        </w:rPr>
        <w:t>况下可灵活处理，</w:t>
      </w:r>
      <w:r>
        <w:rPr>
          <w:rFonts w:hint="default" w:ascii="Times New Roman" w:hAnsi="Times New Roman" w:eastAsia="宋体" w:cs="Times New Roman"/>
          <w:spacing w:val="-12"/>
          <w:sz w:val="24"/>
          <w:szCs w:val="24"/>
          <w:u w:val="none"/>
        </w:rPr>
        <w:t>首先仍应考虑</w:t>
      </w:r>
      <w:r>
        <w:rPr>
          <w:rFonts w:hint="eastAsia" w:ascii="Times New Roman" w:hAnsi="Times New Roman" w:eastAsia="宋体" w:cs="Times New Roman"/>
          <w:spacing w:val="-12"/>
          <w:sz w:val="24"/>
          <w:szCs w:val="24"/>
          <w:u w:val="none"/>
          <w:lang w:eastAsia="zh-CN"/>
        </w:rPr>
        <w:t>“</w:t>
      </w:r>
      <w:r>
        <w:rPr>
          <w:rFonts w:hint="default" w:ascii="Times New Roman" w:hAnsi="Times New Roman" w:eastAsia="宋体" w:cs="Times New Roman"/>
          <w:spacing w:val="-12"/>
          <w:sz w:val="24"/>
          <w:szCs w:val="24"/>
          <w:u w:val="none"/>
        </w:rPr>
        <w:t>以一栋完整的建筑为基本对象</w:t>
      </w:r>
      <w:r>
        <w:rPr>
          <w:rFonts w:hint="eastAsia" w:ascii="Times New Roman" w:hAnsi="Times New Roman" w:eastAsia="宋体" w:cs="Times New Roman"/>
          <w:spacing w:val="-12"/>
          <w:sz w:val="24"/>
          <w:szCs w:val="24"/>
          <w:u w:val="none"/>
          <w:lang w:eastAsia="zh-CN"/>
        </w:rPr>
        <w:t>”</w:t>
      </w:r>
      <w:r>
        <w:rPr>
          <w:rFonts w:hint="default" w:ascii="Times New Roman" w:hAnsi="Times New Roman" w:eastAsia="宋体" w:cs="Times New Roman"/>
          <w:spacing w:val="-12"/>
          <w:sz w:val="24"/>
          <w:szCs w:val="24"/>
          <w:u w:val="none"/>
        </w:rPr>
        <w:t>的原则，鼓励其业主联合申请绿色建筑评价；如所有业主无法联合申请，但有业主有意愿单独申请时，可对建筑中的部分区域进行评价，但申请</w:t>
      </w:r>
      <w:r>
        <w:rPr>
          <w:rFonts w:hint="default" w:ascii="Times New Roman" w:hAnsi="Times New Roman" w:eastAsia="宋体" w:cs="Times New Roman"/>
          <w:spacing w:val="1"/>
          <w:sz w:val="24"/>
          <w:szCs w:val="24"/>
          <w:u w:val="none"/>
        </w:rPr>
        <w:t>评价的区域，建筑面积应不少于2万m²</w:t>
      </w:r>
      <w:r>
        <w:rPr>
          <w:rFonts w:hint="default" w:ascii="Times New Roman" w:hAnsi="Times New Roman" w:eastAsia="宋体" w:cs="Times New Roman"/>
          <w:spacing w:val="1"/>
          <w:sz w:val="24"/>
          <w:szCs w:val="24"/>
          <w:u w:val="none"/>
          <w:lang w:eastAsia="zh-CN"/>
        </w:rPr>
        <w:t>，</w:t>
      </w:r>
      <w:r>
        <w:rPr>
          <w:rFonts w:hint="default" w:ascii="Times New Roman" w:hAnsi="Times New Roman" w:eastAsia="宋体" w:cs="Times New Roman"/>
          <w:spacing w:val="-31"/>
          <w:sz w:val="24"/>
          <w:szCs w:val="24"/>
          <w:u w:val="none"/>
        </w:rPr>
        <w:t xml:space="preserve"> </w:t>
      </w:r>
      <w:r>
        <w:rPr>
          <w:rFonts w:hint="default" w:ascii="Times New Roman" w:hAnsi="Times New Roman" w:eastAsia="宋体" w:cs="Times New Roman"/>
          <w:spacing w:val="1"/>
          <w:sz w:val="24"/>
          <w:szCs w:val="24"/>
          <w:u w:val="none"/>
        </w:rPr>
        <w:t>且有相对独立的暖通</w:t>
      </w:r>
      <w:r>
        <w:rPr>
          <w:rFonts w:hint="default" w:ascii="Times New Roman" w:hAnsi="Times New Roman" w:eastAsia="宋体" w:cs="Times New Roman"/>
          <w:spacing w:val="-12"/>
          <w:sz w:val="24"/>
          <w:szCs w:val="24"/>
          <w:u w:val="none"/>
        </w:rPr>
        <w:t>空调、给水排水等设备系统，此区域的电、气、热、水耗也能独立计量，还应明确物业产权和</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运行管理涵盖的区域，涉及的系统性、整体性指标，还应按照本条的规定执行。</w:t>
      </w:r>
    </w:p>
    <w:p w14:paraId="144D83A4">
      <w:pPr>
        <w:spacing w:line="360" w:lineRule="auto"/>
        <w:ind w:firstLine="432"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color w:val="000000" w:themeColor="text1"/>
          <w:spacing w:val="-12"/>
          <w:sz w:val="24"/>
          <w:szCs w:val="24"/>
          <w:u w:val="none"/>
          <w14:textFill>
            <w14:solidFill>
              <w14:schemeClr w14:val="tx1"/>
            </w14:solidFill>
          </w14:textFill>
        </w:rPr>
        <w:t>评价对象为建筑群或组团中的一幢或几幢建筑单体时，计入地下部分的参评面积参照现行《建筑工程建筑面积计算规范》GB/T 50353执行。或参评楼栋建筑面积占地上总建筑面积的比例折算地下部分的参评面积。</w:t>
      </w:r>
    </w:p>
    <w:p w14:paraId="5A5F728C">
      <w:pPr>
        <w:spacing w:line="360" w:lineRule="auto"/>
        <w:rPr>
          <w:rFonts w:hint="default" w:ascii="Times New Roman" w:hAnsi="Times New Roman" w:eastAsia="宋体" w:cs="Times New Roman"/>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3.1.2</w:t>
      </w:r>
      <w:r>
        <w:rPr>
          <w:rFonts w:hint="default" w:ascii="Times New Roman" w:hAnsi="Times New Roman" w:eastAsia="宋体" w:cs="Times New Roman"/>
          <w:spacing w:val="40"/>
          <w:sz w:val="24"/>
          <w:szCs w:val="24"/>
          <w:u w:val="none"/>
        </w:rPr>
        <w:t xml:space="preserve">  </w:t>
      </w:r>
      <w:r>
        <w:rPr>
          <w:rFonts w:hint="default" w:ascii="Times New Roman" w:hAnsi="Times New Roman" w:eastAsia="宋体" w:cs="Times New Roman"/>
          <w:spacing w:val="-9"/>
          <w:sz w:val="24"/>
          <w:szCs w:val="24"/>
          <w:u w:val="none"/>
        </w:rPr>
        <w:t>本次修订对绿色建筑评价阶段进行了重新要</w:t>
      </w:r>
      <w:r>
        <w:rPr>
          <w:rFonts w:hint="default" w:ascii="Times New Roman" w:hAnsi="Times New Roman" w:eastAsia="宋体" w:cs="Times New Roman"/>
          <w:spacing w:val="-10"/>
          <w:sz w:val="24"/>
          <w:szCs w:val="24"/>
          <w:u w:val="none"/>
        </w:rPr>
        <w:t>求。</w:t>
      </w:r>
    </w:p>
    <w:p w14:paraId="6BEB444C">
      <w:pPr>
        <w:spacing w:line="360" w:lineRule="auto"/>
        <w:ind w:firstLine="432"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pacing w:val="-12"/>
          <w:sz w:val="24"/>
          <w:szCs w:val="24"/>
          <w:u w:val="none"/>
        </w:rPr>
        <w:t>将绿色建筑的性能评价放在建设工程竣工后，能够更加有效</w:t>
      </w:r>
      <w:r>
        <w:rPr>
          <w:rFonts w:hint="default" w:ascii="Times New Roman" w:hAnsi="Times New Roman" w:eastAsia="宋体" w:cs="Times New Roman"/>
          <w:sz w:val="24"/>
          <w:szCs w:val="24"/>
          <w:u w:val="none"/>
        </w:rPr>
        <w:t>约束绿色建筑技术落地，保证绿色建筑性能的实现。本条提出</w:t>
      </w:r>
      <w:r>
        <w:rPr>
          <w:rFonts w:hint="eastAsia" w:ascii="Times New Roman" w:hAnsi="Times New Roman" w:eastAsia="宋体" w:cs="Times New Roman"/>
          <w:spacing w:val="-12"/>
          <w:sz w:val="24"/>
          <w:szCs w:val="24"/>
          <w:u w:val="none"/>
          <w:lang w:eastAsia="zh-CN"/>
        </w:rPr>
        <w:t>“</w:t>
      </w:r>
      <w:r>
        <w:rPr>
          <w:rFonts w:hint="default" w:ascii="Times New Roman" w:hAnsi="Times New Roman" w:eastAsia="宋体" w:cs="Times New Roman"/>
          <w:spacing w:val="-12"/>
          <w:sz w:val="24"/>
          <w:szCs w:val="24"/>
          <w:u w:val="none"/>
        </w:rPr>
        <w:t>绿色建筑预评价应在建筑工程施工图设计完成后进行</w:t>
      </w:r>
      <w:r>
        <w:rPr>
          <w:rFonts w:hint="eastAsia" w:ascii="Times New Roman" w:hAnsi="Times New Roman" w:eastAsia="宋体" w:cs="Times New Roman"/>
          <w:spacing w:val="-12"/>
          <w:sz w:val="24"/>
          <w:szCs w:val="24"/>
          <w:u w:val="none"/>
          <w:lang w:eastAsia="zh-CN"/>
        </w:rPr>
        <w:t>”</w:t>
      </w:r>
      <w:r>
        <w:rPr>
          <w:rFonts w:hint="default" w:ascii="Times New Roman" w:hAnsi="Times New Roman" w:eastAsia="宋体" w:cs="Times New Roman"/>
          <w:spacing w:val="-12"/>
          <w:sz w:val="24"/>
          <w:szCs w:val="24"/>
          <w:u w:val="none"/>
          <w:lang w:eastAsia="zh-CN"/>
        </w:rPr>
        <w:t>，</w:t>
      </w:r>
      <w:r>
        <w:rPr>
          <w:rFonts w:hint="default" w:ascii="Times New Roman" w:hAnsi="Times New Roman" w:eastAsia="宋体" w:cs="Times New Roman"/>
          <w:spacing w:val="-12"/>
          <w:sz w:val="24"/>
          <w:szCs w:val="24"/>
          <w:u w:val="none"/>
        </w:rPr>
        <w:t>主要是</w:t>
      </w:r>
      <w:r>
        <w:rPr>
          <w:rFonts w:hint="default" w:ascii="Times New Roman" w:hAnsi="Times New Roman" w:eastAsia="宋体" w:cs="Times New Roman"/>
          <w:spacing w:val="-8"/>
          <w:sz w:val="24"/>
          <w:szCs w:val="24"/>
          <w:u w:val="none"/>
        </w:rPr>
        <w:t>出于两个方面的考虑：一方面，预评价能够更早地掌握建筑工程可能实现的绿色性能，及时优化或调整建筑方案或技术措施，并</w:t>
      </w:r>
      <w:r>
        <w:rPr>
          <w:rFonts w:hint="default" w:ascii="Times New Roman" w:hAnsi="Times New Roman" w:eastAsia="宋体" w:cs="Times New Roman"/>
          <w:spacing w:val="-7"/>
          <w:sz w:val="24"/>
          <w:szCs w:val="24"/>
          <w:u w:val="none"/>
        </w:rPr>
        <w:t>为运行管理和绿色建筑评价做准备；另一方面，</w:t>
      </w:r>
      <w:r>
        <w:rPr>
          <w:rFonts w:hint="default" w:ascii="Times New Roman" w:hAnsi="Times New Roman" w:eastAsia="宋体" w:cs="Times New Roman"/>
          <w:spacing w:val="-8"/>
          <w:sz w:val="24"/>
          <w:szCs w:val="24"/>
          <w:u w:val="none"/>
        </w:rPr>
        <w:t>便于与绿色建筑</w:t>
      </w:r>
      <w:r>
        <w:rPr>
          <w:rFonts w:hint="default" w:ascii="Times New Roman" w:hAnsi="Times New Roman" w:eastAsia="宋体" w:cs="Times New Roman"/>
          <w:spacing w:val="-5"/>
          <w:sz w:val="24"/>
          <w:szCs w:val="24"/>
          <w:u w:val="none"/>
        </w:rPr>
        <w:t>相关的政策或管理相衔接。</w:t>
      </w:r>
    </w:p>
    <w:p w14:paraId="6525D6C2">
      <w:pPr>
        <w:spacing w:line="360" w:lineRule="auto"/>
        <w:rPr>
          <w:rFonts w:hint="default" w:ascii="Times New Roman" w:hAnsi="Times New Roman" w:eastAsia="宋体" w:cs="Times New Roman"/>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3.1.3</w:t>
      </w:r>
      <w:r>
        <w:rPr>
          <w:rFonts w:hint="default" w:ascii="Times New Roman" w:hAnsi="Times New Roman" w:eastAsia="宋体" w:cs="Times New Roman"/>
          <w:spacing w:val="43"/>
          <w:sz w:val="24"/>
          <w:szCs w:val="24"/>
          <w:u w:val="none"/>
        </w:rPr>
        <w:t xml:space="preserve"> </w:t>
      </w:r>
      <w:r>
        <w:rPr>
          <w:rFonts w:hint="default" w:ascii="Times New Roman" w:hAnsi="Times New Roman" w:eastAsia="宋体" w:cs="Times New Roman"/>
          <w:spacing w:val="-5"/>
          <w:sz w:val="24"/>
          <w:szCs w:val="24"/>
          <w:u w:val="none"/>
        </w:rPr>
        <w:t>本条对申请评价方的相关工作提出要求</w:t>
      </w:r>
      <w:r>
        <w:rPr>
          <w:rFonts w:hint="default" w:ascii="Times New Roman" w:hAnsi="Times New Roman" w:eastAsia="宋体" w:cs="Times New Roman"/>
          <w:spacing w:val="-6"/>
          <w:sz w:val="24"/>
          <w:szCs w:val="24"/>
          <w:u w:val="none"/>
        </w:rPr>
        <w:t>。申请评价方依</w:t>
      </w:r>
      <w:r>
        <w:rPr>
          <w:rFonts w:hint="default" w:ascii="Times New Roman" w:hAnsi="Times New Roman" w:eastAsia="宋体" w:cs="Times New Roman"/>
          <w:spacing w:val="-12"/>
          <w:sz w:val="24"/>
          <w:szCs w:val="24"/>
          <w:u w:val="none"/>
        </w:rPr>
        <w:t>据有关管理制度文件确定。绿色建筑注重全寿命期内资源节约与环境保护的性能，是助力碳减排的重要支撑，申请评价方应对建筑全寿命期内各个阶段进行控制，优化建筑技术、设备和材料选用，综合评估建筑规模、建筑技术与投资之间的总体平衡，并按本标准的要求提交相应分析、测试报告和相关文件，涉及计算和测试的结果，应明确计算方法和测试方法。申请评价方对所提交</w:t>
      </w:r>
      <w:r>
        <w:rPr>
          <w:rFonts w:hint="default" w:ascii="Times New Roman" w:hAnsi="Times New Roman" w:eastAsia="宋体" w:cs="Times New Roman"/>
          <w:spacing w:val="-14"/>
          <w:sz w:val="24"/>
          <w:szCs w:val="24"/>
          <w:u w:val="none"/>
        </w:rPr>
        <w:t>资料的真实性和完整性负责。</w:t>
      </w:r>
    </w:p>
    <w:p w14:paraId="1A443E00">
      <w:pPr>
        <w:spacing w:line="360" w:lineRule="auto"/>
        <w:rPr>
          <w:rFonts w:hint="default" w:ascii="Times New Roman" w:hAnsi="Times New Roman" w:eastAsia="宋体" w:cs="Times New Roman"/>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3.1.4 </w:t>
      </w:r>
      <w:r>
        <w:rPr>
          <w:rFonts w:hint="default" w:ascii="Times New Roman" w:hAnsi="Times New Roman" w:eastAsia="宋体" w:cs="Times New Roman"/>
          <w:bCs/>
          <w:spacing w:val="-5"/>
          <w:sz w:val="24"/>
          <w:szCs w:val="24"/>
          <w:u w:val="none"/>
        </w:rPr>
        <w:t xml:space="preserve">   </w:t>
      </w:r>
      <w:r>
        <w:rPr>
          <w:rFonts w:hint="default" w:ascii="Times New Roman" w:hAnsi="Times New Roman" w:eastAsia="宋体" w:cs="Times New Roman"/>
          <w:spacing w:val="-5"/>
          <w:sz w:val="24"/>
          <w:szCs w:val="24"/>
          <w:u w:val="none"/>
        </w:rPr>
        <w:t>本条对绿色建筑评价机构的相关工作提出要求。绿色建</w:t>
      </w:r>
      <w:bookmarkStart w:id="128" w:name="bookmark105"/>
      <w:bookmarkEnd w:id="128"/>
      <w:r>
        <w:rPr>
          <w:rFonts w:hint="default" w:ascii="Times New Roman" w:hAnsi="Times New Roman" w:eastAsia="宋体" w:cs="Times New Roman"/>
          <w:spacing w:val="-11"/>
          <w:sz w:val="24"/>
          <w:szCs w:val="24"/>
          <w:u w:val="none"/>
        </w:rPr>
        <w:t>筑评价机构依据有关管理制度文件确定。绿色建筑评价机构</w:t>
      </w:r>
      <w:r>
        <w:rPr>
          <w:rFonts w:hint="default" w:ascii="Times New Roman" w:hAnsi="Times New Roman" w:eastAsia="宋体" w:cs="Times New Roman"/>
          <w:spacing w:val="-12"/>
          <w:sz w:val="24"/>
          <w:szCs w:val="24"/>
          <w:u w:val="none"/>
        </w:rPr>
        <w:t>应按</w:t>
      </w:r>
      <w:r>
        <w:rPr>
          <w:rFonts w:hint="default" w:ascii="Times New Roman" w:hAnsi="Times New Roman" w:eastAsia="宋体" w:cs="Times New Roman"/>
          <w:sz w:val="24"/>
          <w:szCs w:val="24"/>
          <w:u w:val="none"/>
        </w:rPr>
        <w:t xml:space="preserve"> </w:t>
      </w:r>
      <w:r>
        <w:rPr>
          <w:rFonts w:hint="default" w:ascii="Times New Roman" w:hAnsi="Times New Roman" w:eastAsia="宋体" w:cs="Times New Roman"/>
          <w:spacing w:val="-12"/>
          <w:sz w:val="24"/>
          <w:szCs w:val="24"/>
          <w:u w:val="none"/>
        </w:rPr>
        <w:t>照本标准的有关要求审查申请评价方提交的报告、文档，并在评</w:t>
      </w:r>
      <w:r>
        <w:rPr>
          <w:rFonts w:hint="default" w:ascii="Times New Roman" w:hAnsi="Times New Roman" w:eastAsia="宋体" w:cs="Times New Roman"/>
          <w:spacing w:val="-11"/>
          <w:sz w:val="24"/>
          <w:szCs w:val="24"/>
          <w:u w:val="none"/>
        </w:rPr>
        <w:t>价报告中确定等级。</w:t>
      </w:r>
    </w:p>
    <w:p w14:paraId="15131241">
      <w:pPr>
        <w:spacing w:line="360" w:lineRule="auto"/>
        <w:rPr>
          <w:rFonts w:hint="default" w:ascii="Times New Roman" w:hAnsi="Times New Roman" w:eastAsia="宋体" w:cs="Times New Roman"/>
          <w:spacing w:val="-6"/>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3.1.5</w:t>
      </w:r>
      <w:r>
        <w:rPr>
          <w:rFonts w:hint="default" w:ascii="Times New Roman" w:hAnsi="Times New Roman" w:eastAsia="宋体" w:cs="Times New Roman"/>
          <w:spacing w:val="95"/>
          <w:sz w:val="24"/>
          <w:szCs w:val="24"/>
          <w:u w:val="none"/>
        </w:rPr>
        <w:t xml:space="preserve"> </w:t>
      </w:r>
      <w:r>
        <w:rPr>
          <w:rFonts w:hint="default" w:ascii="Times New Roman" w:hAnsi="Times New Roman" w:eastAsia="宋体" w:cs="Times New Roman"/>
          <w:spacing w:val="-6"/>
          <w:sz w:val="24"/>
          <w:szCs w:val="24"/>
          <w:u w:val="none"/>
        </w:rPr>
        <w:t>本条对申请绿色金融服务的建筑项目提出了要求。</w:t>
      </w:r>
    </w:p>
    <w:p w14:paraId="423101B8">
      <w:pPr>
        <w:spacing w:line="360" w:lineRule="auto"/>
        <w:ind w:firstLine="456" w:firstLineChars="200"/>
        <w:rPr>
          <w:rFonts w:hint="default" w:ascii="Times New Roman" w:hAnsi="Times New Roman" w:eastAsia="宋体" w:cs="Times New Roman"/>
          <w:spacing w:val="-12"/>
          <w:sz w:val="24"/>
          <w:szCs w:val="24"/>
          <w:u w:val="none"/>
        </w:rPr>
      </w:pPr>
      <w:r>
        <w:rPr>
          <w:rFonts w:hint="default" w:ascii="Times New Roman" w:hAnsi="Times New Roman" w:eastAsia="宋体" w:cs="Times New Roman"/>
          <w:spacing w:val="-6"/>
          <w:sz w:val="24"/>
          <w:szCs w:val="24"/>
          <w:u w:val="none"/>
        </w:rPr>
        <w:t>2</w:t>
      </w:r>
      <w:r>
        <w:rPr>
          <w:rFonts w:hint="default" w:ascii="Times New Roman" w:hAnsi="Times New Roman" w:eastAsia="宋体" w:cs="Times New Roman"/>
          <w:spacing w:val="-12"/>
          <w:sz w:val="24"/>
          <w:szCs w:val="24"/>
          <w:u w:val="none"/>
        </w:rPr>
        <w:t>016 年8月31日，中国人民银行、财政部、国家发展改革委、环境保护部、银监会、证监会、保监会印发《关于构建绿色金融体系 的指导意见》</w:t>
      </w:r>
      <w:r>
        <w:rPr>
          <w:rFonts w:hint="default" w:ascii="Times New Roman" w:hAnsi="Times New Roman" w:eastAsia="宋体" w:cs="Times New Roman"/>
          <w:spacing w:val="-12"/>
          <w:sz w:val="24"/>
          <w:szCs w:val="24"/>
          <w:u w:val="none"/>
          <w:lang w:eastAsia="zh-CN"/>
        </w:rPr>
        <w:t>，</w:t>
      </w:r>
      <w:r>
        <w:rPr>
          <w:rFonts w:hint="default" w:ascii="Times New Roman" w:hAnsi="Times New Roman" w:eastAsia="宋体" w:cs="Times New Roman"/>
          <w:spacing w:val="-12"/>
          <w:sz w:val="24"/>
          <w:szCs w:val="24"/>
          <w:u w:val="none"/>
        </w:rPr>
        <w:t>指出绿色金融是指为支持环境改善、应对气候变化和资源节约高效利用的经济活动，即对环保、节能、清洁能 源、绿色交通、绿色建筑等领域的项目投融资、项目运营、风险 管理等所提供的金融服务。绿色金融服务包括绿色信贷、绿色债券、绿色股票指数和相关产品、绿色发展基金、绿色保险、碳金融等。对于申请绿色金融服务的建筑项目，应按照相关要求，对建筑的能耗和节能措施、碳排放、节水措施等进行计算和说明并形成专项报告。</w:t>
      </w:r>
    </w:p>
    <w:p w14:paraId="10CB71AD">
      <w:pPr>
        <w:spacing w:line="360" w:lineRule="auto"/>
        <w:rPr>
          <w:rFonts w:hint="default" w:ascii="Times New Roman" w:hAnsi="Times New Roman" w:eastAsia="宋体" w:cs="Times New Roman"/>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3.1.6 </w:t>
      </w:r>
      <w:r>
        <w:rPr>
          <w:rFonts w:hint="default" w:ascii="Times New Roman" w:hAnsi="Times New Roman" w:eastAsia="宋体" w:cs="Times New Roman"/>
          <w:spacing w:val="-6"/>
          <w:sz w:val="24"/>
          <w:szCs w:val="24"/>
          <w:u w:val="none"/>
        </w:rPr>
        <w:t xml:space="preserve"> </w:t>
      </w:r>
      <w:r>
        <w:rPr>
          <w:rFonts w:hint="default" w:ascii="Times New Roman" w:hAnsi="Times New Roman" w:eastAsia="宋体" w:cs="Times New Roman"/>
          <w:spacing w:val="-1"/>
          <w:sz w:val="24"/>
          <w:szCs w:val="24"/>
          <w:u w:val="none"/>
        </w:rPr>
        <w:t>本条对绿色建筑设计和交付工作提出要求。</w:t>
      </w:r>
    </w:p>
    <w:p w14:paraId="1F25EDCA">
      <w:pPr>
        <w:spacing w:line="360" w:lineRule="auto"/>
        <w:ind w:firstLine="432"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pacing w:val="-12"/>
          <w:sz w:val="24"/>
          <w:szCs w:val="24"/>
          <w:u w:val="none"/>
        </w:rPr>
        <w:t>近年来，绿色建筑设计模式、方法和技术也有较大进步，不</w:t>
      </w:r>
      <w:r>
        <w:rPr>
          <w:rFonts w:hint="default" w:ascii="Times New Roman" w:hAnsi="Times New Roman" w:eastAsia="宋体" w:cs="Times New Roman"/>
          <w:spacing w:val="-13"/>
          <w:sz w:val="24"/>
          <w:szCs w:val="24"/>
          <w:u w:val="none"/>
        </w:rPr>
        <w:t>同的设计方法对于达成同样的全寿命期绿色性能付出的代价存在</w:t>
      </w:r>
      <w:r>
        <w:rPr>
          <w:rFonts w:hint="default" w:ascii="Times New Roman" w:hAnsi="Times New Roman" w:eastAsia="宋体" w:cs="Times New Roman"/>
          <w:spacing w:val="-7"/>
          <w:sz w:val="24"/>
          <w:szCs w:val="24"/>
          <w:u w:val="none"/>
        </w:rPr>
        <w:t>一定差异。现行行业标准《民用建筑绿色设计规范》JGJ/T 229</w:t>
      </w:r>
      <w:r>
        <w:rPr>
          <w:rFonts w:hint="default" w:ascii="Times New Roman" w:hAnsi="Times New Roman" w:eastAsia="宋体" w:cs="Times New Roman"/>
          <w:spacing w:val="2"/>
          <w:sz w:val="24"/>
          <w:szCs w:val="24"/>
          <w:u w:val="none"/>
        </w:rPr>
        <w:t xml:space="preserve"> </w:t>
      </w:r>
      <w:r>
        <w:rPr>
          <w:rFonts w:hint="default" w:ascii="Times New Roman" w:hAnsi="Times New Roman" w:eastAsia="宋体" w:cs="Times New Roman"/>
          <w:spacing w:val="-12"/>
          <w:sz w:val="24"/>
          <w:szCs w:val="24"/>
          <w:u w:val="none"/>
        </w:rPr>
        <w:t>为绿色建筑等级目标的达成提供了技术路径，这种路径通过全过程、全专业协同实现绿色建筑技术的有机集成应用，进而实现更</w:t>
      </w:r>
      <w:r>
        <w:rPr>
          <w:rFonts w:hint="default" w:ascii="Times New Roman" w:hAnsi="Times New Roman" w:eastAsia="宋体" w:cs="Times New Roman"/>
          <w:spacing w:val="2"/>
          <w:sz w:val="24"/>
          <w:szCs w:val="24"/>
          <w:u w:val="none"/>
        </w:rPr>
        <w:t xml:space="preserve"> </w:t>
      </w:r>
      <w:r>
        <w:rPr>
          <w:rFonts w:hint="default" w:ascii="Times New Roman" w:hAnsi="Times New Roman" w:eastAsia="宋体" w:cs="Times New Roman"/>
          <w:spacing w:val="-8"/>
          <w:sz w:val="24"/>
          <w:szCs w:val="24"/>
          <w:u w:val="none"/>
        </w:rPr>
        <w:t>高的绿色性能（安全耐久、健康舒适、生活便利、资源节约、环</w:t>
      </w:r>
      <w:r>
        <w:rPr>
          <w:rFonts w:hint="default" w:ascii="Times New Roman" w:hAnsi="Times New Roman" w:eastAsia="宋体" w:cs="Times New Roman"/>
          <w:spacing w:val="-11"/>
          <w:sz w:val="24"/>
          <w:szCs w:val="24"/>
          <w:u w:val="none"/>
        </w:rPr>
        <w:t>境宜居</w:t>
      </w:r>
      <w:r>
        <w:rPr>
          <w:rFonts w:hint="default" w:ascii="Times New Roman" w:hAnsi="Times New Roman" w:eastAsia="宋体" w:cs="Times New Roman"/>
          <w:spacing w:val="-8"/>
          <w:sz w:val="24"/>
          <w:szCs w:val="24"/>
          <w:u w:val="none"/>
        </w:rPr>
        <w:t>）</w:t>
      </w:r>
      <w:r>
        <w:rPr>
          <w:rFonts w:hint="default" w:ascii="Times New Roman" w:hAnsi="Times New Roman" w:eastAsia="宋体" w:cs="Times New Roman"/>
          <w:spacing w:val="-11"/>
          <w:sz w:val="24"/>
          <w:szCs w:val="24"/>
          <w:u w:val="none"/>
        </w:rPr>
        <w:t>。因此，鼓励通过绿色设计的方式</w:t>
      </w:r>
      <w:r>
        <w:rPr>
          <w:rFonts w:hint="default" w:ascii="Times New Roman" w:hAnsi="Times New Roman" w:eastAsia="宋体" w:cs="Times New Roman"/>
          <w:spacing w:val="-11"/>
          <w:sz w:val="24"/>
          <w:szCs w:val="24"/>
          <w:u w:val="none"/>
          <w:lang w:eastAsia="zh-CN"/>
        </w:rPr>
        <w:t>，</w:t>
      </w:r>
      <w:r>
        <w:rPr>
          <w:rFonts w:hint="default" w:ascii="Times New Roman" w:hAnsi="Times New Roman" w:eastAsia="宋体" w:cs="Times New Roman"/>
          <w:spacing w:val="-11"/>
          <w:sz w:val="24"/>
          <w:szCs w:val="24"/>
          <w:u w:val="none"/>
        </w:rPr>
        <w:t>达成绿色建筑目标。</w:t>
      </w:r>
    </w:p>
    <w:p w14:paraId="6B1B9E1B">
      <w:pPr>
        <w:spacing w:line="360" w:lineRule="auto"/>
        <w:ind w:firstLine="428"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pacing w:val="-13"/>
          <w:sz w:val="24"/>
          <w:szCs w:val="24"/>
          <w:u w:val="none"/>
        </w:rPr>
        <w:t>绿色建筑应体现共享、平衡、集成的理念，在设计过程中规</w:t>
      </w:r>
      <w:r>
        <w:rPr>
          <w:rFonts w:hint="default" w:ascii="Times New Roman" w:hAnsi="Times New Roman" w:eastAsia="宋体" w:cs="Times New Roman"/>
          <w:spacing w:val="-4"/>
          <w:sz w:val="24"/>
          <w:szCs w:val="24"/>
          <w:u w:val="none"/>
        </w:rPr>
        <w:t>划、建筑、结构、给水排水、暖通空调、燃气、电气</w:t>
      </w:r>
      <w:r>
        <w:rPr>
          <w:rFonts w:hint="default" w:ascii="Times New Roman" w:hAnsi="Times New Roman" w:eastAsia="宋体" w:cs="Times New Roman"/>
          <w:spacing w:val="-5"/>
          <w:sz w:val="24"/>
          <w:szCs w:val="24"/>
          <w:u w:val="none"/>
        </w:rPr>
        <w:t>与智能化</w:t>
      </w:r>
      <w:r>
        <w:rPr>
          <w:rFonts w:hint="default" w:ascii="Times New Roman" w:hAnsi="Times New Roman" w:eastAsia="宋体" w:cs="Times New Roman"/>
          <w:sz w:val="24"/>
          <w:szCs w:val="24"/>
          <w:u w:val="none"/>
        </w:rPr>
        <w:t xml:space="preserve"> </w:t>
      </w:r>
      <w:r>
        <w:rPr>
          <w:rFonts w:hint="default" w:ascii="Times New Roman" w:hAnsi="Times New Roman" w:eastAsia="宋体" w:cs="Times New Roman"/>
          <w:spacing w:val="-12"/>
          <w:sz w:val="24"/>
          <w:szCs w:val="24"/>
          <w:u w:val="none"/>
        </w:rPr>
        <w:t>室内设计、景观、经济等各专业应紧密配合，因此要求在施工图</w:t>
      </w:r>
      <w:r>
        <w:rPr>
          <w:rFonts w:hint="default" w:ascii="Times New Roman" w:hAnsi="Times New Roman" w:eastAsia="宋体" w:cs="Times New Roman"/>
          <w:spacing w:val="13"/>
          <w:sz w:val="24"/>
          <w:szCs w:val="24"/>
          <w:u w:val="none"/>
        </w:rPr>
        <w:t xml:space="preserve"> </w:t>
      </w:r>
      <w:r>
        <w:rPr>
          <w:rFonts w:hint="default" w:ascii="Times New Roman" w:hAnsi="Times New Roman" w:eastAsia="宋体" w:cs="Times New Roman"/>
          <w:spacing w:val="-12"/>
          <w:sz w:val="24"/>
          <w:szCs w:val="24"/>
          <w:u w:val="none"/>
        </w:rPr>
        <w:t>设计阶段应提供绿色建筑设计专篇，在专篇中明确绿色建筑等级</w:t>
      </w:r>
      <w:r>
        <w:rPr>
          <w:rFonts w:hint="default" w:ascii="Times New Roman" w:hAnsi="Times New Roman" w:eastAsia="宋体" w:cs="Times New Roman"/>
          <w:spacing w:val="-13"/>
          <w:sz w:val="24"/>
          <w:szCs w:val="24"/>
          <w:u w:val="none"/>
        </w:rPr>
        <w:t>目标，相关专业采取的技术措施和详细的设计参数，并明确对绿</w:t>
      </w:r>
      <w:r>
        <w:rPr>
          <w:rFonts w:hint="default" w:ascii="Times New Roman" w:hAnsi="Times New Roman" w:eastAsia="宋体" w:cs="Times New Roman"/>
          <w:spacing w:val="11"/>
          <w:sz w:val="24"/>
          <w:szCs w:val="24"/>
          <w:u w:val="none"/>
        </w:rPr>
        <w:t xml:space="preserve"> </w:t>
      </w:r>
      <w:r>
        <w:rPr>
          <w:rFonts w:hint="default" w:ascii="Times New Roman" w:hAnsi="Times New Roman" w:eastAsia="宋体" w:cs="Times New Roman"/>
          <w:spacing w:val="-12"/>
          <w:sz w:val="24"/>
          <w:szCs w:val="24"/>
          <w:u w:val="none"/>
        </w:rPr>
        <w:t>色建筑施工与建筑运营管理的技术要求。此外，为保证绿色建筑设计的系统性，在立项阶段、方案设计阶段和初步设计阶段，应</w:t>
      </w:r>
      <w:r>
        <w:rPr>
          <w:rFonts w:hint="default" w:ascii="Times New Roman" w:hAnsi="Times New Roman" w:eastAsia="宋体" w:cs="Times New Roman"/>
          <w:spacing w:val="-11"/>
          <w:sz w:val="24"/>
          <w:szCs w:val="24"/>
          <w:u w:val="none"/>
        </w:rPr>
        <w:t>提前开展绿色建筑设计专篇有关工作，例如明确绿色建筑等级目</w:t>
      </w:r>
      <w:r>
        <w:rPr>
          <w:rFonts w:hint="default" w:ascii="Times New Roman" w:hAnsi="Times New Roman" w:eastAsia="宋体" w:cs="Times New Roman"/>
          <w:spacing w:val="-12"/>
          <w:sz w:val="24"/>
          <w:szCs w:val="24"/>
          <w:u w:val="none"/>
        </w:rPr>
        <w:t>标、技术路径、设计参数要求，并将相关费用纳入工程投资概算等。各阶段专业设计图纸应与同阶段绿色建筑相关内容一致，并达到相应的设计深度要求。</w:t>
      </w:r>
    </w:p>
    <w:p w14:paraId="66955163">
      <w:pPr>
        <w:spacing w:line="360" w:lineRule="auto"/>
        <w:ind w:firstLine="432"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pacing w:val="-12"/>
          <w:sz w:val="24"/>
          <w:szCs w:val="24"/>
          <w:u w:val="none"/>
        </w:rPr>
        <w:t>绿色建筑交付时应有绿色建筑使用说明书，主要是供建设单位、业主、物业管理者、使用者在运营过程中使用的设计技术说明书。说明书应载明绿色建筑相关性能要求、绿色技术措施、设</w:t>
      </w:r>
      <w:r>
        <w:rPr>
          <w:rFonts w:hint="default" w:ascii="Times New Roman" w:hAnsi="Times New Roman" w:eastAsia="宋体" w:cs="Times New Roman"/>
          <w:spacing w:val="-5"/>
          <w:sz w:val="24"/>
          <w:szCs w:val="24"/>
          <w:u w:val="none"/>
        </w:rPr>
        <w:t>施设备清单和使用说明，比如设计年限、参数、风险注意事项</w:t>
      </w:r>
      <w:r>
        <w:rPr>
          <w:rFonts w:hint="default" w:ascii="Times New Roman" w:hAnsi="Times New Roman" w:eastAsia="宋体" w:cs="Times New Roman"/>
          <w:spacing w:val="-11"/>
          <w:sz w:val="24"/>
          <w:szCs w:val="24"/>
          <w:u w:val="none"/>
        </w:rPr>
        <w:t>检查维修周期和要点、使用注意事项等。</w:t>
      </w:r>
    </w:p>
    <w:p w14:paraId="6244A2B4">
      <w:pPr>
        <w:spacing w:line="360" w:lineRule="auto"/>
        <w:ind w:firstLine="432" w:firstLineChars="200"/>
        <w:rPr>
          <w:rFonts w:hint="default" w:ascii="Times New Roman" w:hAnsi="Times New Roman" w:eastAsia="宋体" w:cs="Times New Roman"/>
          <w:spacing w:val="-12"/>
          <w:sz w:val="24"/>
          <w:szCs w:val="24"/>
          <w:u w:val="none"/>
        </w:rPr>
      </w:pPr>
      <w:r>
        <w:rPr>
          <w:rFonts w:hint="default" w:ascii="Times New Roman" w:hAnsi="Times New Roman" w:eastAsia="宋体" w:cs="Times New Roman"/>
          <w:spacing w:val="-12"/>
          <w:sz w:val="24"/>
          <w:szCs w:val="24"/>
          <w:u w:val="none"/>
        </w:rPr>
        <w:t>设计单位最具备编制绿色建筑设计专篇和绿色建筑使用说明书的能力，因此主张在设计合同中对该项工作内容的深度、交付时间和责任予以明确，由设计单位向建设单位或设计合同委托单位提供。后续再由建设单位或设计合同委托单位向物业、使用者等相关方提供。说明书与设计图纸</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、计算模型等材</w:t>
      </w:r>
      <w:r>
        <w:rPr>
          <w:rFonts w:hint="default" w:ascii="Times New Roman" w:hAnsi="Times New Roman" w:eastAsia="宋体" w:cs="Times New Roman"/>
          <w:spacing w:val="-12"/>
          <w:sz w:val="24"/>
          <w:szCs w:val="24"/>
          <w:u w:val="none"/>
        </w:rPr>
        <w:t>料一并纳入验收材料。</w:t>
      </w:r>
    </w:p>
    <w:p w14:paraId="5DEBDC49">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29" w:name="_Toc32461"/>
      <w:bookmarkStart w:id="130" w:name="_Toc204247745"/>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3.2 评价与等级划分</w:t>
      </w:r>
      <w:bookmarkEnd w:id="129"/>
      <w:bookmarkEnd w:id="130"/>
    </w:p>
    <w:p w14:paraId="2C5EB23D">
      <w:pPr>
        <w:spacing w:before="215" w:line="360" w:lineRule="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3.2.1</w:t>
      </w:r>
      <w:r>
        <w:rPr>
          <w:rFonts w:hint="default" w:ascii="Times New Roman" w:hAnsi="Times New Roman" w:eastAsia="宋体" w:cs="Times New Roman"/>
          <w:color w:val="000000" w:themeColor="text1"/>
          <w:spacing w:val="64"/>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此次修订，以</w:t>
      </w:r>
      <w:r>
        <w:rPr>
          <w:rFonts w:hint="eastAsia" w:ascii="Times New Roman" w:hAnsi="Times New Roman" w:eastAsia="宋体" w:cs="Times New Roman"/>
          <w:color w:val="000000" w:themeColor="text1"/>
          <w:spacing w:val="-6"/>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四节一环保</w:t>
      </w:r>
      <w:r>
        <w:rPr>
          <w:rFonts w:hint="eastAsia" w:ascii="Times New Roman" w:hAnsi="Times New Roman" w:eastAsia="宋体" w:cs="Times New Roman"/>
          <w:color w:val="000000" w:themeColor="text1"/>
          <w:spacing w:val="-6"/>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为基本约束，遵循以人民</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为中心的发展理念，构建了新的绿色建筑评价指标体系，将绿色建筑的评价指标体系调整为安全耐久、健康舒适、生活便利、资</w:t>
      </w:r>
      <w:r>
        <w:rPr>
          <w:rFonts w:hint="default" w:ascii="Times New Roman" w:hAnsi="Times New Roman" w:eastAsia="宋体" w:cs="Times New Roman"/>
          <w:color w:val="000000" w:themeColor="text1"/>
          <w:spacing w:val="-4"/>
          <w:sz w:val="24"/>
          <w:szCs w:val="24"/>
          <w:u w:val="none"/>
          <w14:textFill>
            <w14:solidFill>
              <w14:schemeClr w14:val="tx1"/>
            </w14:solidFill>
          </w14:textFill>
        </w:rPr>
        <w:t>源节约、环境宜居5类指标，升级本标准2015年版的指标体</w:t>
      </w:r>
      <w:r>
        <w:rPr>
          <w:rFonts w:hint="default" w:ascii="Times New Roman" w:hAnsi="Times New Roman" w:eastAsia="宋体" w:cs="Times New Roman"/>
          <w:color w:val="000000" w:themeColor="text1"/>
          <w:spacing w:val="-5"/>
          <w:sz w:val="24"/>
          <w:szCs w:val="24"/>
          <w:u w:val="none"/>
          <w14:textFill>
            <w14:solidFill>
              <w14:schemeClr w14:val="tx1"/>
            </w14:solidFill>
          </w14:textFill>
        </w:rPr>
        <w:t>系，</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重新构建了绿色建筑的评价指标体系。其优点体现在：①符合目</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前国家新时代鼓励创新的发展方向；②指标体系名称易懂、易理</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解和易接受；③指标名称体现了新时代所关心的问题</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，能够提高</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人们对绿色建筑的可感知性。</w:t>
      </w:r>
    </w:p>
    <w:p w14:paraId="24A7FC3D">
      <w:pPr>
        <w:spacing w:line="360" w:lineRule="auto"/>
        <w:ind w:firstLine="432"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12"/>
          <w:sz w:val="24"/>
          <w:szCs w:val="24"/>
          <w:u w:val="none"/>
          <w14:textFill>
            <w14:solidFill>
              <w14:schemeClr w14:val="tx1"/>
            </w14:solidFill>
          </w14:textFill>
        </w:rPr>
        <w:t>每类指标均包括控制项和评分项。为了鼓励绿色建筑采用提高、创新的建筑技术和产品建造更高性能的绿色建筑，评价指标</w:t>
      </w:r>
      <w:r>
        <w:rPr>
          <w:rFonts w:hint="default" w:ascii="Times New Roman" w:hAnsi="Times New Roman" w:eastAsia="宋体" w:cs="Times New Roman"/>
          <w:color w:val="000000" w:themeColor="text1"/>
          <w:spacing w:val="3"/>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体系还统一设置</w:t>
      </w:r>
      <w:r>
        <w:rPr>
          <w:rFonts w:hint="eastAsia" w:ascii="Times New Roman" w:hAnsi="Times New Roman" w:eastAsia="宋体" w:cs="Times New Roman"/>
          <w:color w:val="000000" w:themeColor="text1"/>
          <w:spacing w:val="-13"/>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提高与创新</w:t>
      </w:r>
      <w:r>
        <w:rPr>
          <w:rFonts w:hint="eastAsia" w:ascii="Times New Roman" w:hAnsi="Times New Roman" w:eastAsia="宋体" w:cs="Times New Roman"/>
          <w:color w:val="000000" w:themeColor="text1"/>
          <w:spacing w:val="-13"/>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加分项。</w:t>
      </w:r>
    </w:p>
    <w:p w14:paraId="16289036">
      <w:pPr>
        <w:spacing w:before="20" w:line="360" w:lineRule="auto"/>
        <w:ind w:right="77"/>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3.2.2</w:t>
      </w:r>
      <w:r>
        <w:rPr>
          <w:rFonts w:hint="default" w:ascii="Times New Roman" w:hAnsi="Times New Roman" w:eastAsia="宋体" w:cs="Times New Roman"/>
          <w:color w:val="000000" w:themeColor="text1"/>
          <w:spacing w:val="97"/>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控制项的评价同本标准2015年版。评分项的评价，依据</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评价条文的规定确定得分或不得分，得分时根据需要对具体评分子项确定得分值，或根据具体达标程度确定得分值。加分项的评</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价，依据评价条文的规定确定得分或不得分。</w:t>
      </w:r>
    </w:p>
    <w:p w14:paraId="73BEE423">
      <w:pPr>
        <w:spacing w:before="72" w:line="360" w:lineRule="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12"/>
          <w:sz w:val="24"/>
          <w:szCs w:val="24"/>
          <w:u w:val="none"/>
          <w14:textFill>
            <w14:solidFill>
              <w14:schemeClr w14:val="tx1"/>
            </w14:solidFill>
          </w14:textFill>
        </w:rPr>
        <w:t>本标准中评分项的赋分有以下几种方式：</w:t>
      </w:r>
    </w:p>
    <w:p w14:paraId="6005A56A">
      <w:pPr>
        <w:spacing w:line="360" w:lineRule="auto"/>
        <w:ind w:firstLine="434"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1</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 xml:space="preserve">  一条条文评判一类性能或技术指标，且不需要根据达标</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情况不同赋以不同分值时，赋以一个固定分值，该评分项的得分</w:t>
      </w:r>
      <w:r>
        <w:rPr>
          <w:rFonts w:hint="default" w:ascii="Times New Roman" w:hAnsi="Times New Roman" w:eastAsia="宋体" w:cs="Times New Roman"/>
          <w:color w:val="000000" w:themeColor="text1"/>
          <w:spacing w:val="-10"/>
          <w:sz w:val="24"/>
          <w:szCs w:val="24"/>
          <w:u w:val="none"/>
          <w14:textFill>
            <w14:solidFill>
              <w14:schemeClr w14:val="tx1"/>
            </w14:solidFill>
          </w14:textFill>
        </w:rPr>
        <w:t>为0分或固定分值，在条文主干部分表述为</w:t>
      </w:r>
      <w:r>
        <w:rPr>
          <w:rFonts w:hint="eastAsia" w:ascii="Times New Roman" w:hAnsi="Times New Roman" w:eastAsia="宋体" w:cs="Times New Roman"/>
          <w:color w:val="000000" w:themeColor="text1"/>
          <w:spacing w:val="-10"/>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0"/>
          <w:sz w:val="24"/>
          <w:szCs w:val="24"/>
          <w:u w:val="none"/>
          <w14:textFill>
            <w14:solidFill>
              <w14:schemeClr w14:val="tx1"/>
            </w14:solidFill>
          </w14:textFill>
        </w:rPr>
        <w:t>评价</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分值为某分</w:t>
      </w:r>
      <w:r>
        <w:rPr>
          <w:rFonts w:hint="eastAsia" w:ascii="Times New Roman" w:hAnsi="Times New Roman" w:eastAsia="宋体"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w:t>
      </w:r>
    </w:p>
    <w:p w14:paraId="14D7755E">
      <w:pPr>
        <w:spacing w:line="360" w:lineRule="auto"/>
        <w:ind w:firstLine="434"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2</w:t>
      </w:r>
      <w:r>
        <w:rPr>
          <w:rFonts w:hint="default" w:ascii="Times New Roman" w:hAnsi="Times New Roman" w:eastAsia="宋体" w:cs="Times New Roman"/>
          <w:color w:val="000000" w:themeColor="text1"/>
          <w:spacing w:val="81"/>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一条条文评判一类性能或技术指标，需要根据达</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标情况</w:t>
      </w:r>
      <w:r>
        <w:rPr>
          <w:rFonts w:hint="default" w:ascii="Times New Roman" w:hAnsi="Times New Roman" w:eastAsia="宋体" w:cs="Times New Roman"/>
          <w:color w:val="000000" w:themeColor="text1"/>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不同赋以不同分值时，在条文主干部分表述为</w:t>
      </w:r>
      <w:r>
        <w:rPr>
          <w:rFonts w:hint="eastAsia" w:ascii="Times New Roman" w:hAnsi="Times New Roman" w:eastAsia="宋体"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评价总分值为某</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分</w:t>
      </w:r>
      <w:r>
        <w:rPr>
          <w:rFonts w:hint="eastAsia" w:ascii="Times New Roman" w:hAnsi="Times New Roman" w:eastAsia="宋体" w:cs="Times New Roman"/>
          <w:color w:val="000000" w:themeColor="text1"/>
          <w:spacing w:val="-6"/>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同时将不同得分值表述为</w:t>
      </w:r>
      <w:r>
        <w:rPr>
          <w:rFonts w:hint="eastAsia" w:ascii="Times New Roman" w:hAnsi="Times New Roman" w:eastAsia="宋体" w:cs="Times New Roman"/>
          <w:color w:val="000000" w:themeColor="text1"/>
          <w:spacing w:val="-6"/>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得某分</w:t>
      </w:r>
      <w:r>
        <w:rPr>
          <w:rFonts w:hint="eastAsia" w:ascii="Times New Roman" w:hAnsi="Times New Roman" w:eastAsia="宋体" w:cs="Times New Roman"/>
          <w:color w:val="000000" w:themeColor="text1"/>
          <w:spacing w:val="-6"/>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的</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形式，且从低分到</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高分排列；递进的档次特别多或者评分特别复杂的，则采用列表</w:t>
      </w:r>
      <w:r>
        <w:rPr>
          <w:rFonts w:hint="default" w:ascii="Times New Roman" w:hAnsi="Times New Roman" w:eastAsia="宋体" w:cs="Times New Roman"/>
          <w:color w:val="000000" w:themeColor="text1"/>
          <w:spacing w:val="-14"/>
          <w:sz w:val="24"/>
          <w:szCs w:val="24"/>
          <w:u w:val="none"/>
          <w14:textFill>
            <w14:solidFill>
              <w14:schemeClr w14:val="tx1"/>
            </w14:solidFill>
          </w14:textFill>
        </w:rPr>
        <w:t>的形式表达，在条文主干部分表述为</w:t>
      </w:r>
      <w:r>
        <w:rPr>
          <w:rFonts w:hint="eastAsia" w:ascii="Times New Roman" w:hAnsi="Times New Roman" w:eastAsia="宋体" w:cs="Times New Roman"/>
          <w:color w:val="000000" w:themeColor="text1"/>
          <w:spacing w:val="-14"/>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24"/>
          <w:szCs w:val="24"/>
          <w:u w:val="none"/>
          <w14:textFill>
            <w14:solidFill>
              <w14:schemeClr w14:val="tx1"/>
            </w14:solidFill>
          </w14:textFill>
        </w:rPr>
        <w:t>按某表的规则评分</w:t>
      </w:r>
      <w:r>
        <w:rPr>
          <w:rFonts w:hint="eastAsia" w:ascii="Times New Roman" w:hAnsi="Times New Roman" w:eastAsia="宋体" w:cs="Times New Roman"/>
          <w:color w:val="000000" w:themeColor="text1"/>
          <w:spacing w:val="-14"/>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24"/>
          <w:szCs w:val="24"/>
          <w:u w:val="none"/>
          <w14:textFill>
            <w14:solidFill>
              <w14:schemeClr w14:val="tx1"/>
            </w14:solidFill>
          </w14:textFill>
        </w:rPr>
        <w:t>；</w:t>
      </w:r>
    </w:p>
    <w:p w14:paraId="75C52077">
      <w:pPr>
        <w:spacing w:line="360" w:lineRule="auto"/>
        <w:ind w:firstLine="434"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w:t>
      </w:r>
      <w:r>
        <w:rPr>
          <w:rFonts w:hint="default" w:ascii="Times New Roman" w:hAnsi="Times New Roman" w:eastAsia="宋体" w:cs="Times New Roman"/>
          <w:color w:val="000000" w:themeColor="text1"/>
          <w:spacing w:val="103"/>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一条条文评判一类性能或技术指标，但需要</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针对不同建筑类型或特点分别评判时，针对各种类型或特点按款或项分别赋以分值，各款或项得分均等于该条得分，在条文主干</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部分表述为</w:t>
      </w:r>
      <w:r>
        <w:rPr>
          <w:rFonts w:hint="eastAsia" w:ascii="Times New Roman" w:hAnsi="Times New Roman" w:eastAsia="宋体" w:cs="Times New Roman"/>
          <w:color w:val="000000" w:themeColor="text1"/>
          <w:spacing w:val="-20"/>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20"/>
          <w:sz w:val="24"/>
          <w:szCs w:val="24"/>
          <w:u w:val="none"/>
          <w14:textFill>
            <w14:solidFill>
              <w14:schemeClr w14:val="tx1"/>
            </w14:solidFill>
          </w14:textFill>
        </w:rPr>
        <w:t>按下列规则评分</w:t>
      </w:r>
      <w:r>
        <w:rPr>
          <w:rFonts w:hint="eastAsia" w:ascii="Times New Roman" w:hAnsi="Times New Roman" w:eastAsia="宋体" w:cs="Times New Roman"/>
          <w:color w:val="000000" w:themeColor="text1"/>
          <w:spacing w:val="-20"/>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20"/>
          <w:sz w:val="24"/>
          <w:szCs w:val="24"/>
          <w:u w:val="none"/>
          <w14:textFill>
            <w14:solidFill>
              <w14:schemeClr w14:val="tx1"/>
            </w14:solidFill>
          </w14:textFill>
        </w:rPr>
        <w:t>；</w:t>
      </w:r>
    </w:p>
    <w:p w14:paraId="70738BD2">
      <w:pPr>
        <w:spacing w:line="360" w:lineRule="auto"/>
        <w:ind w:firstLine="434"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 </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 xml:space="preserve"> 一条条文评判多个技术指标，将多个技术指标的评判以</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款或项的形式表达，并按款或项赋以分值，该条得分为各款或项</w:t>
      </w:r>
      <w:r>
        <w:rPr>
          <w:rFonts w:hint="default" w:ascii="Times New Roman" w:hAnsi="Times New Roman" w:eastAsia="宋体" w:cs="Times New Roman"/>
          <w:color w:val="000000" w:themeColor="text1"/>
          <w:spacing w:val="-2"/>
          <w:sz w:val="24"/>
          <w:szCs w:val="24"/>
          <w:u w:val="none"/>
          <w14:textFill>
            <w14:solidFill>
              <w14:schemeClr w14:val="tx1"/>
            </w14:solidFill>
          </w14:textFill>
        </w:rPr>
        <w:t>得分之和，在条文主干部分表述为</w:t>
      </w:r>
      <w:r>
        <w:rPr>
          <w:rFonts w:hint="eastAsia" w:ascii="Times New Roman" w:hAnsi="Times New Roman" w:eastAsia="宋体" w:cs="Times New Roman"/>
          <w:color w:val="000000" w:themeColor="text1"/>
          <w:spacing w:val="-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u w:val="none"/>
          <w14:textFill>
            <w14:solidFill>
              <w14:schemeClr w14:val="tx1"/>
            </w14:solidFill>
          </w14:textFill>
        </w:rPr>
        <w:t>按下列规则分别评</w:t>
      </w:r>
      <w:r>
        <w:rPr>
          <w:rFonts w:hint="default" w:ascii="Times New Roman" w:hAnsi="Times New Roman" w:eastAsia="宋体" w:cs="Times New Roman"/>
          <w:color w:val="000000" w:themeColor="text1"/>
          <w:spacing w:val="-3"/>
          <w:sz w:val="24"/>
          <w:szCs w:val="24"/>
          <w:u w:val="none"/>
          <w14:textFill>
            <w14:solidFill>
              <w14:schemeClr w14:val="tx1"/>
            </w14:solidFill>
          </w14:textFill>
        </w:rPr>
        <w:t>分并累</w:t>
      </w:r>
      <w:r>
        <w:rPr>
          <w:rFonts w:hint="default" w:ascii="Times New Roman" w:hAnsi="Times New Roman" w:eastAsia="宋体" w:cs="Times New Roman"/>
          <w:color w:val="000000" w:themeColor="text1"/>
          <w:spacing w:val="-33"/>
          <w:sz w:val="24"/>
          <w:szCs w:val="24"/>
          <w:u w:val="none"/>
          <w14:textFill>
            <w14:solidFill>
              <w14:schemeClr w14:val="tx1"/>
            </w14:solidFill>
          </w14:textFill>
        </w:rPr>
        <w:t>计</w:t>
      </w:r>
      <w:r>
        <w:rPr>
          <w:rFonts w:hint="eastAsia" w:ascii="Times New Roman" w:hAnsi="Times New Roman" w:eastAsia="宋体" w:cs="Times New Roman"/>
          <w:color w:val="000000" w:themeColor="text1"/>
          <w:spacing w:val="-33"/>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33"/>
          <w:sz w:val="24"/>
          <w:szCs w:val="24"/>
          <w:u w:val="none"/>
          <w14:textFill>
            <w14:solidFill>
              <w14:schemeClr w14:val="tx1"/>
            </w14:solidFill>
          </w14:textFill>
        </w:rPr>
        <w:t>；</w:t>
      </w:r>
    </w:p>
    <w:p w14:paraId="3CA44320">
      <w:pPr>
        <w:spacing w:line="360" w:lineRule="auto"/>
        <w:ind w:firstLine="434"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w:t>
      </w:r>
      <w:r>
        <w:rPr>
          <w:rFonts w:hint="default" w:ascii="Times New Roman" w:hAnsi="Times New Roman" w:eastAsia="宋体" w:cs="Times New Roman"/>
          <w:color w:val="000000" w:themeColor="text1"/>
          <w:spacing w:val="101"/>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一条条文评判多个技术指标，其中某技术指标需要根据</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达标情况不同赋以不同分值时，首先按多个技术指标的评判以款或项的形式表达并按款或项赋以分值，然后考虑达标程度不同对</w:t>
      </w:r>
      <w:r>
        <w:rPr>
          <w:rFonts w:hint="default" w:ascii="Times New Roman" w:hAnsi="Times New Roman" w:eastAsia="宋体" w:cs="Times New Roman"/>
          <w:color w:val="000000" w:themeColor="text1"/>
          <w:spacing w:val="16"/>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其中部分技术指标采用递进赋分方式。</w:t>
      </w:r>
    </w:p>
    <w:p w14:paraId="08D3F71E">
      <w:pPr>
        <w:spacing w:line="360" w:lineRule="auto"/>
        <w:ind w:firstLine="436"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11"/>
          <w:sz w:val="24"/>
          <w:szCs w:val="24"/>
          <w:u w:val="none"/>
          <w14:textFill>
            <w14:solidFill>
              <w14:schemeClr w14:val="tx1"/>
            </w14:solidFill>
          </w14:textFill>
        </w:rPr>
        <w:t>可能还会有少数条文出现其他评分方式组合。</w:t>
      </w:r>
    </w:p>
    <w:p w14:paraId="27523F18">
      <w:pPr>
        <w:spacing w:line="360" w:lineRule="auto"/>
        <w:ind w:firstLine="436"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11"/>
          <w:sz w:val="24"/>
          <w:szCs w:val="24"/>
          <w:u w:val="none"/>
          <w14:textFill>
            <w14:solidFill>
              <w14:schemeClr w14:val="tx1"/>
            </w14:solidFill>
          </w14:textFill>
        </w:rPr>
        <w:t>本标准中评分项和加分项条文主干部分给出</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了该条文的</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评</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价分值</w:t>
      </w:r>
      <w:r>
        <w:rPr>
          <w:rFonts w:hint="eastAsia" w:ascii="Times New Roman" w:hAnsi="Times New Roman" w:eastAsia="宋体"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或</w:t>
      </w:r>
      <w:r>
        <w:rPr>
          <w:rFonts w:hint="eastAsia" w:ascii="Times New Roman" w:hAnsi="Times New Roman" w:eastAsia="宋体"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评价总分值</w:t>
      </w:r>
      <w:r>
        <w:rPr>
          <w:rFonts w:hint="eastAsia" w:ascii="Times New Roman" w:hAnsi="Times New Roman" w:eastAsia="宋体"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是该条可能得到的最高分值。</w:t>
      </w:r>
    </w:p>
    <w:p w14:paraId="2E319E15">
      <w:pPr>
        <w:spacing w:before="20" w:line="360" w:lineRule="auto"/>
        <w:ind w:right="77"/>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3.2.3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不论建筑功能是否综合，均以各个条/款为基本评判单</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元。对于某一条文，只要建筑中有相关区域涉及，则该建筑就参</w:t>
      </w:r>
      <w:r>
        <w:rPr>
          <w:rFonts w:hint="default" w:ascii="Times New Roman" w:hAnsi="Times New Roman" w:eastAsia="宋体" w:cs="Times New Roman"/>
          <w:color w:val="000000" w:themeColor="text1"/>
          <w:spacing w:val="-3"/>
          <w:sz w:val="24"/>
          <w:szCs w:val="24"/>
          <w:u w:val="none"/>
          <w14:textFill>
            <w14:solidFill>
              <w14:schemeClr w14:val="tx1"/>
            </w14:solidFill>
          </w14:textFill>
        </w:rPr>
        <w:t>评并确定得分。对于条文下设两款分别针对住宅建筑和公共建</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筑，所评价建筑如果同时具有住宅建筑和公共建筑，则需按这两种功能分别评价后再取平均值。总体原则为：只要有涉及即全部参评；系统性、整体性指标应总体评价；所有部分均满足要求才</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给分；递进分档的条文，按</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就低不就高</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的原则确定得分；上</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述情况之外的特殊情况可特殊处理。标准后文中不再一一说明。</w:t>
      </w:r>
      <w:r>
        <w:rPr>
          <w:rFonts w:hint="default" w:ascii="Times New Roman" w:hAnsi="Times New Roman" w:eastAsia="宋体" w:cs="Times New Roman"/>
          <w:color w:val="000000" w:themeColor="text1"/>
          <w:spacing w:val="3"/>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建筑整体的等级仍按本标准的规定确定。</w:t>
      </w:r>
    </w:p>
    <w:p w14:paraId="11C6325A">
      <w:pPr>
        <w:spacing w:before="41" w:line="360" w:lineRule="auto"/>
        <w:ind w:right="8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3.2.4</w:t>
      </w:r>
      <w:r>
        <w:rPr>
          <w:rFonts w:hint="default" w:ascii="Times New Roman" w:hAnsi="Times New Roman" w:eastAsia="宋体" w:cs="Times New Roman"/>
          <w:color w:val="000000" w:themeColor="text1"/>
          <w:spacing w:val="83"/>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5"/>
          <w:sz w:val="24"/>
          <w:szCs w:val="24"/>
          <w:u w:val="none"/>
          <w14:textFill>
            <w14:solidFill>
              <w14:schemeClr w14:val="tx1"/>
            </w14:solidFill>
          </w14:textFill>
        </w:rPr>
        <w:t>本次修订的绿色建筑评价分值与本标</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准2015年版变化较</w:t>
      </w:r>
      <w:r>
        <w:rPr>
          <w:rFonts w:hint="default" w:ascii="Times New Roman" w:hAnsi="Times New Roman" w:eastAsia="宋体" w:cs="Times New Roman"/>
          <w:color w:val="000000" w:themeColor="text1"/>
          <w:spacing w:val="-4"/>
          <w:sz w:val="24"/>
          <w:szCs w:val="24"/>
          <w:u w:val="none"/>
          <w14:textFill>
            <w14:solidFill>
              <w14:schemeClr w14:val="tx1"/>
            </w14:solidFill>
          </w14:textFill>
        </w:rPr>
        <w:t>大。控制项基础分值的获得条件是满足本标准所有控制项的要</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求。对于住宅建筑和公共建筑，5类指标同等</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重要，所以未按照</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不同建筑类型划分各评价指标评分项的总分值。本次修订，将绿色建筑的评价指标体系评分项分值进行了调整。</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资源节约</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指标包含了节地、节能、节水、节材的相关内容，故该指标的总分值高于其他指标。</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提高与创新</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为加分项，鼓励绿色建筑性能</w:t>
      </w:r>
      <w:r>
        <w:rPr>
          <w:rFonts w:hint="default" w:ascii="Times New Roman" w:hAnsi="Times New Roman" w:eastAsia="宋体" w:cs="Times New Roman"/>
          <w:color w:val="000000" w:themeColor="text1"/>
          <w:spacing w:val="-15"/>
          <w:sz w:val="24"/>
          <w:szCs w:val="24"/>
          <w:u w:val="none"/>
          <w14:textFill>
            <w14:solidFill>
              <w14:schemeClr w14:val="tx1"/>
            </w14:solidFill>
          </w14:textFill>
        </w:rPr>
        <w:t>提升和技术创新。</w:t>
      </w:r>
    </w:p>
    <w:p w14:paraId="0FA1D9FF">
      <w:pPr>
        <w:spacing w:line="360" w:lineRule="auto"/>
        <w:ind w:firstLine="448" w:firstLineChars="200"/>
        <w:rPr>
          <w:rFonts w:hint="default" w:ascii="Times New Roman" w:hAnsi="Times New Roman" w:eastAsia="宋体" w:cs="Times New Roman"/>
          <w:color w:val="000000" w:themeColor="text1"/>
          <w:spacing w:val="-12"/>
          <w:sz w:val="24"/>
          <w:szCs w:val="24"/>
          <w:u w:val="none"/>
          <w14:textFill>
            <w14:solidFill>
              <w14:schemeClr w14:val="tx1"/>
            </w14:solidFill>
          </w14:textFill>
        </w:rPr>
      </w:pP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生活便利</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指标中</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物业管理</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小节为建筑项目投入运行</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后的技术要求，因此，相比绿色建筑的评价，预评价时</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生活便</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利</w:t>
      </w:r>
      <w:r>
        <w:rPr>
          <w:rFonts w:hint="eastAsia" w:ascii="Times New Roman" w:hAnsi="Times New Roman" w:eastAsia="宋体" w:cs="Times New Roman"/>
          <w:color w:val="000000" w:themeColor="text1"/>
          <w:spacing w:val="-13"/>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指</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标的满分值有所降低。</w:t>
      </w:r>
    </w:p>
    <w:p w14:paraId="05F9AE8D">
      <w:pPr>
        <w:spacing w:line="360" w:lineRule="auto"/>
        <w:ind w:firstLine="432" w:firstLineChars="200"/>
        <w:rPr>
          <w:rFonts w:hint="default" w:ascii="Times New Roman" w:hAnsi="Times New Roman" w:eastAsia="宋体" w:cs="Times New Roman"/>
          <w:color w:val="000000" w:themeColor="text1"/>
          <w:spacing w:val="-12"/>
          <w:sz w:val="24"/>
          <w:szCs w:val="24"/>
          <w:u w:val="none"/>
          <w14:textFill>
            <w14:solidFill>
              <w14:schemeClr w14:val="tx1"/>
            </w14:solidFill>
          </w14:textFill>
        </w:rPr>
      </w:pPr>
      <w:r>
        <w:rPr>
          <w:rFonts w:hint="default" w:ascii="Times New Roman" w:hAnsi="Times New Roman" w:eastAsia="宋体" w:cs="Times New Roman"/>
          <w:color w:val="000000" w:themeColor="text1"/>
          <w:spacing w:val="-12"/>
          <w:sz w:val="24"/>
          <w:szCs w:val="24"/>
          <w:u w:val="none"/>
          <w14:textFill>
            <w14:solidFill>
              <w14:schemeClr w14:val="tx1"/>
            </w14:solidFill>
          </w14:textFill>
        </w:rPr>
        <w:t>本条规定的评价指标评分项满分值、提高与创新加分项满分 值均为最高可能的分值。绿色建筑评价应在建筑工程竣工后进行，对于刚刚竣工后即评价的建筑，部分与运行有关的条文仍无 法得分。</w:t>
      </w:r>
    </w:p>
    <w:p w14:paraId="59F8680A">
      <w:pPr>
        <w:spacing w:before="60" w:line="360" w:lineRule="auto"/>
        <w:ind w:right="79"/>
        <w:rPr>
          <w:rFonts w:hint="default" w:ascii="Times New Roman" w:hAnsi="Times New Roman" w:eastAsia="宋体" w:cs="Times New Roman"/>
          <w:color w:val="000000" w:themeColor="text1"/>
          <w:spacing w:val="-1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3.2.5 </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 xml:space="preserve"> 本条对绿色建筑评价中的总得分的计算方法作出了规定。参评建筑的总得分由控制项基础分值、评分项得分和提高与创新 项得分三部分组成，总得分满分为110分。控制项基础分值的获 得条件是满足本标准所有控制项的要求，提高与创新项得分应按本标准第9章的相关要求确定。</w:t>
      </w:r>
    </w:p>
    <w:p w14:paraId="2DD037D1">
      <w:pPr>
        <w:spacing w:before="60" w:line="360" w:lineRule="auto"/>
        <w:ind w:right="79"/>
        <w:rPr>
          <w:rFonts w:hint="default" w:ascii="Times New Roman" w:hAnsi="Times New Roman" w:eastAsia="宋体" w:cs="Times New Roman"/>
          <w:color w:val="000000" w:themeColor="text1"/>
          <w:spacing w:val="-12"/>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3.2.6 </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 xml:space="preserve"> 本标准2015年版规定绿色建筑的等级为一星级、二星 级、三星级3个等级，本标准参考GB／T 50378-2019 （2024年版），增加了</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基本级</w:t>
      </w:r>
      <w:r>
        <w:rPr>
          <w:rFonts w:hint="eastAsia" w:ascii="Times New Roman" w:hAnsi="Times New Roman" w:eastAsia="宋体" w:cs="Times New Roman"/>
          <w:color w:val="000000" w:themeColor="text1"/>
          <w:spacing w:val="-12"/>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。基本级的设置，考虑了我省绿色建筑地域发展的不平衡性及与强制性工程建设规范相适应，也考虑了与国际接轨，便于国际交流。</w:t>
      </w:r>
    </w:p>
    <w:p w14:paraId="51B44587">
      <w:pPr>
        <w:spacing w:before="16" w:line="360" w:lineRule="auto"/>
        <w:ind w:left="3"/>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3.2.7</w:t>
      </w:r>
      <w:r>
        <w:rPr>
          <w:rFonts w:hint="default" w:ascii="Times New Roman" w:hAnsi="Times New Roman" w:eastAsia="宋体" w:cs="Times New Roman"/>
          <w:color w:val="000000" w:themeColor="text1"/>
          <w:spacing w:val="84"/>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控制项是绿色建筑的必要条件，当建筑项目满足本标准</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全部控制项的要求时，绿色建筑的等级即达到基本级。</w:t>
      </w:r>
    </w:p>
    <w:p w14:paraId="6F954111">
      <w:pPr>
        <w:spacing w:before="48" w:line="360" w:lineRule="auto"/>
        <w:ind w:right="141"/>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3.2.8 </w:t>
      </w:r>
      <w:r>
        <w:rPr>
          <w:rFonts w:hint="default" w:ascii="Times New Roman" w:hAnsi="Times New Roman" w:eastAsia="宋体" w:cs="Times New Roman"/>
          <w:bCs/>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第</w:t>
      </w:r>
      <w:r>
        <w:rPr>
          <w:rFonts w:hint="default" w:ascii="Times New Roman" w:hAnsi="Times New Roman" w:eastAsia="宋体" w:cs="Times New Roman"/>
          <w:color w:val="000000" w:themeColor="text1"/>
          <w:spacing w:val="-26"/>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w:t>
      </w:r>
      <w:r>
        <w:rPr>
          <w:rFonts w:hint="default" w:ascii="Times New Roman" w:hAnsi="Times New Roman" w:eastAsia="宋体" w:cs="Times New Roman"/>
          <w:color w:val="000000" w:themeColor="text1"/>
          <w:spacing w:val="-41"/>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款</w:t>
      </w:r>
      <w:r>
        <w:rPr>
          <w:rFonts w:hint="default" w:ascii="Times New Roman" w:hAnsi="Times New Roman" w:eastAsia="宋体" w:cs="Times New Roman"/>
          <w:color w:val="000000" w:themeColor="text1"/>
          <w:spacing w:val="-51"/>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，当对绿色建筑进行星级评价时，首先应该满足</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本标准规定的全部控制项要求，同时规定了每类评价指标的最低</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得分要求，以实现绿色建筑的性能均衡。</w:t>
      </w:r>
    </w:p>
    <w:p w14:paraId="20A04338">
      <w:pPr>
        <w:spacing w:line="360" w:lineRule="auto"/>
        <w:ind w:firstLine="428" w:firstLineChars="200"/>
        <w:rPr>
          <w:rFonts w:hint="default" w:ascii="Times New Roman" w:hAnsi="Times New Roman" w:eastAsia="宋体" w:cs="Times New Roman"/>
          <w:color w:val="000000" w:themeColor="text1"/>
          <w:spacing w:val="-2"/>
          <w:sz w:val="24"/>
          <w:szCs w:val="24"/>
          <w:u w:val="none"/>
          <w14:textFill>
            <w14:solidFill>
              <w14:schemeClr w14:val="tx1"/>
            </w14:solidFill>
          </w14:textFill>
        </w:rPr>
      </w:pPr>
      <w:r>
        <w:rPr>
          <w:rFonts w:hint="default" w:ascii="Times New Roman" w:hAnsi="Times New Roman" w:eastAsia="宋体" w:cs="Times New Roman"/>
          <w:color w:val="000000" w:themeColor="text1"/>
          <w:spacing w:val="-13"/>
          <w:sz w:val="24"/>
          <w:szCs w:val="24"/>
          <w:u w:val="none"/>
          <w14:textFill>
            <w14:solidFill>
              <w14:schemeClr w14:val="tx1"/>
            </w14:solidFill>
          </w14:textFill>
        </w:rPr>
        <w:t>第</w:t>
      </w:r>
      <w:r>
        <w:rPr>
          <w:rFonts w:hint="default" w:ascii="Times New Roman" w:hAnsi="Times New Roman" w:eastAsia="宋体" w:cs="Times New Roman"/>
          <w:color w:val="000000" w:themeColor="text1"/>
          <w:spacing w:val="-29"/>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2</w:t>
      </w:r>
      <w:r>
        <w:rPr>
          <w:rFonts w:hint="default" w:ascii="Times New Roman" w:hAnsi="Times New Roman" w:eastAsia="宋体" w:cs="Times New Roman"/>
          <w:color w:val="000000" w:themeColor="text1"/>
          <w:spacing w:val="-46"/>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13"/>
          <w:sz w:val="24"/>
          <w:szCs w:val="24"/>
          <w:u w:val="none"/>
          <w14:textFill>
            <w14:solidFill>
              <w14:schemeClr w14:val="tx1"/>
            </w14:solidFill>
          </w14:textFill>
        </w:rPr>
        <w:t>款，对一星级、二星级、三星级绿色建筑提出了全装修</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的交付要求。建筑全装修交付能够有效杜绝擅自改变房屋结构等</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 xml:space="preserve"> </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乱装修</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现象，保证建筑安全，避免能源和材料浪费，降低装修成本，节约项目时间，减少室内装修污染及装修带来的环境污</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染，并避免装修扰民，更加符合现阶段人民对于健康、环保和经</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济性的要求，对于积极推进绿色建筑实施具有重要的作用。全装修应依据现行国家标准《建筑装饰装修工程</w:t>
      </w:r>
      <w:r>
        <w:rPr>
          <w:rFonts w:hint="default" w:ascii="Times New Roman" w:hAnsi="Times New Roman" w:eastAsia="宋体" w:cs="Times New Roman"/>
          <w:color w:val="000000" w:themeColor="text1"/>
          <w:sz w:val="24"/>
          <w:szCs w:val="24"/>
          <w:u w:val="none"/>
          <w14:textFill>
            <w14:solidFill>
              <w14:schemeClr w14:val="tx1"/>
            </w14:solidFill>
          </w14:textFill>
        </w:rPr>
        <w:t>质量验收标准》GB50210、现行行业标准《住宅室内装饰装修设计规范》JGJ 367、《住宅室内装饰装修工程质量验收规范》</w:t>
      </w:r>
      <w:r>
        <w:rPr>
          <w:rFonts w:hint="default" w:ascii="Times New Roman" w:hAnsi="Times New Roman" w:eastAsia="宋体" w:cs="Times New Roman"/>
          <w:color w:val="000000" w:themeColor="text1"/>
          <w:spacing w:val="-9"/>
          <w:sz w:val="24"/>
          <w:szCs w:val="24"/>
          <w:u w:val="none"/>
          <w14:textFill>
            <w14:solidFill>
              <w14:schemeClr w14:val="tx1"/>
            </w14:solidFill>
          </w14:textFill>
        </w:rPr>
        <w:t>JGJ/T 304、《装配式内装修技术标准》JGJ/T 491及地方相关标</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准规范实施。本标准术语2.0.3明确了住宅建筑和公共建筑</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的全</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装修要求。对于住宅建筑，在交付前，建筑内部墙面、顶面、地</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面应全部完成并可满足直接使用需求；门窗、设备管线、开关插</w:t>
      </w:r>
      <w:r>
        <w:rPr>
          <w:rFonts w:hint="default" w:ascii="Times New Roman" w:hAnsi="Times New Roman" w:eastAsia="宋体" w:cs="Times New Roman"/>
          <w:color w:val="000000" w:themeColor="text1"/>
          <w:spacing w:val="-14"/>
          <w:sz w:val="24"/>
          <w:szCs w:val="24"/>
          <w:u w:val="none"/>
          <w14:textFill>
            <w14:solidFill>
              <w14:schemeClr w14:val="tx1"/>
            </w14:solidFill>
          </w14:textFill>
        </w:rPr>
        <w:t>座及固定家具应安装到位；厨房、卫生间的固定设施应安装到位，</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预留油烟机、灶具等厨电设施的安装条件和空间。固定家具及设施的最低配置要求应满足各地相关管理规定要求。考虑到住宅建</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筑的不同装修要求，建设单位可根据购房者/使用者的意向，在</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设计时提供不同装修方案提前供购房者自主选择，在房屋交付前予以实施。或者根据</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购房者装修意愿民意调查表，对没有装修意愿的房屋可根据购房者要求交付。</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对于公共建筑，全装修范围主要为公共区域，包括大</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堂、公共走道、楼梯、电梯厅、宴会前厅、游泳池、会客区等。</w:t>
      </w:r>
      <w:r>
        <w:rPr>
          <w:rFonts w:hint="default" w:ascii="Times New Roman" w:hAnsi="Times New Roman" w:eastAsia="宋体" w:cs="Times New Roman"/>
          <w:color w:val="000000" w:themeColor="text1"/>
          <w:spacing w:val="-6"/>
          <w:sz w:val="24"/>
          <w:szCs w:val="24"/>
          <w:u w:val="none"/>
          <w14:textFill>
            <w14:solidFill>
              <w14:schemeClr w14:val="tx1"/>
            </w14:solidFill>
          </w14:textFill>
        </w:rPr>
        <w:t>公共区域的墙面、顶面、地面全部完成并可</w:t>
      </w:r>
      <w:r>
        <w:rPr>
          <w:rFonts w:hint="default" w:ascii="Times New Roman" w:hAnsi="Times New Roman" w:eastAsia="宋体" w:cs="Times New Roman"/>
          <w:color w:val="000000" w:themeColor="text1"/>
          <w:spacing w:val="-7"/>
          <w:sz w:val="24"/>
          <w:szCs w:val="24"/>
          <w:u w:val="none"/>
          <w14:textFill>
            <w14:solidFill>
              <w14:schemeClr w14:val="tx1"/>
            </w14:solidFill>
          </w14:textFill>
        </w:rPr>
        <w:t>满足直接使用需求，</w:t>
      </w:r>
      <w:r>
        <w:rPr>
          <w:rFonts w:hint="default" w:ascii="Times New Roman" w:hAnsi="Times New Roman" w:eastAsia="宋体" w:cs="Times New Roman"/>
          <w:color w:val="000000" w:themeColor="text1"/>
          <w:spacing w:val="-12"/>
          <w:sz w:val="24"/>
          <w:szCs w:val="24"/>
          <w:u w:val="none"/>
          <w14:textFill>
            <w14:solidFill>
              <w14:schemeClr w14:val="tx1"/>
            </w14:solidFill>
          </w14:textFill>
        </w:rPr>
        <w:t>水、暖、电、通风等基本设备全部安装到位。全装修所选用的材</w:t>
      </w:r>
      <w:r>
        <w:rPr>
          <w:rFonts w:hint="default" w:ascii="Times New Roman" w:hAnsi="Times New Roman" w:eastAsia="宋体" w:cs="Times New Roman"/>
          <w:color w:val="000000" w:themeColor="text1"/>
          <w:spacing w:val="-11"/>
          <w:sz w:val="24"/>
          <w:szCs w:val="24"/>
          <w:u w:val="none"/>
          <w14:textFill>
            <w14:solidFill>
              <w14:schemeClr w14:val="tx1"/>
            </w14:solidFill>
          </w14:textFill>
        </w:rPr>
        <w:t>料和产品，如瓷砖、卫生器具、板材等，应为质量合格产品，满足相应产品标准的质量要求，同时应结合当地的品牌认可和消费</w:t>
      </w:r>
      <w:r>
        <w:rPr>
          <w:rFonts w:hint="default" w:ascii="Times New Roman" w:hAnsi="Times New Roman" w:eastAsia="宋体" w:cs="Times New Roman"/>
          <w:color w:val="000000" w:themeColor="text1"/>
          <w:spacing w:val="-14"/>
          <w:sz w:val="24"/>
          <w:szCs w:val="24"/>
          <w:u w:val="none"/>
          <w14:textFill>
            <w14:solidFill>
              <w14:schemeClr w14:val="tx1"/>
            </w14:solidFill>
          </w14:textFill>
        </w:rPr>
        <w:t>习惯，最大程度避免二次装修。本条款</w:t>
      </w:r>
      <w:r>
        <w:rPr>
          <w:rFonts w:hint="default" w:ascii="Times New Roman" w:hAnsi="Times New Roman" w:eastAsia="宋体" w:cs="Times New Roman"/>
          <w:color w:val="000000" w:themeColor="text1"/>
          <w:spacing w:val="-2"/>
          <w:sz w:val="24"/>
          <w:szCs w:val="24"/>
          <w:u w:val="none"/>
          <w14:textFill>
            <w14:solidFill>
              <w14:schemeClr w14:val="tx1"/>
            </w14:solidFill>
          </w14:textFill>
        </w:rPr>
        <w:t>预评价阶段需提供标准户型的装修方案作为证明材料。</w:t>
      </w:r>
    </w:p>
    <w:p w14:paraId="76008BA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第3款，按本标准第3.2.5条的规定计算得到绿色建筑总得分，当总得分分别达到60分、70分、85分且满足本条第1款和 第2款及表3.2.8的要求时，绿色建筑等级分别为一星级、二星级、三星级。表3.2.8对星级绿色建筑提出了更高的技术要求具体为：</w:t>
      </w:r>
    </w:p>
    <w:p w14:paraId="7B75CC6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对一星级、二星级、三星级绿色建筑的建筑能耗提出了更高的要求，具体包括围护结构热工性能的提高或建筑供暖空调 负荷的降低、严寒和寒冷地区住宅建筑外窗传热系数的降低。具 体计算方法，详见本标准第7.2.4条的条文说明。温和地区未设置供暖空调的建筑，</w:t>
      </w:r>
      <w:bookmarkStart w:id="131" w:name="OLE_LINK11"/>
      <w:bookmarkStart w:id="132" w:name="OLE_LINK10"/>
      <w:r>
        <w:rPr>
          <w:rFonts w:hint="default" w:ascii="Times New Roman" w:hAnsi="Times New Roman" w:eastAsia="宋体" w:cs="Times New Roman"/>
          <w:color w:val="000000" w:themeColor="text1"/>
          <w:spacing w:val="-8"/>
          <w:sz w:val="24"/>
          <w:szCs w:val="24"/>
          <w:u w:val="none"/>
          <w14:textFill>
            <w14:solidFill>
              <w14:schemeClr w14:val="tx1"/>
            </w14:solidFill>
          </w14:textFill>
        </w:rPr>
        <w:t>居住建筑的能耗达到现行</w:t>
      </w:r>
      <w:bookmarkStart w:id="133" w:name="OLE_LINK9"/>
      <w:bookmarkStart w:id="134" w:name="OLE_LINK6"/>
      <w:r>
        <w:rPr>
          <w:rFonts w:hint="default" w:ascii="Times New Roman" w:hAnsi="Times New Roman" w:eastAsia="宋体" w:cs="Times New Roman"/>
          <w:color w:val="000000" w:themeColor="text1"/>
          <w:spacing w:val="-8"/>
          <w:sz w:val="24"/>
          <w:szCs w:val="24"/>
          <w:u w:val="none"/>
          <w14:textFill>
            <w14:solidFill>
              <w14:schemeClr w14:val="tx1"/>
            </w14:solidFill>
          </w14:textFill>
        </w:rPr>
        <w:t>《民用建筑能耗标准》</w:t>
      </w:r>
      <w:bookmarkEnd w:id="133"/>
      <w:bookmarkEnd w:id="134"/>
      <w:r>
        <w:rPr>
          <w:rFonts w:hint="default" w:ascii="Times New Roman" w:hAnsi="Times New Roman" w:eastAsia="宋体" w:cs="Times New Roman"/>
          <w:color w:val="000000" w:themeColor="text1"/>
          <w:spacing w:val="-8"/>
          <w:sz w:val="24"/>
          <w:szCs w:val="24"/>
          <w:u w:val="none"/>
          <w14:textFill>
            <w14:solidFill>
              <w14:schemeClr w14:val="tx1"/>
            </w14:solidFill>
          </w14:textFill>
        </w:rPr>
        <w:t>的能耗指标的约束值</w:t>
      </w:r>
      <w:bookmarkEnd w:id="131"/>
      <w:bookmarkEnd w:id="132"/>
      <w:r>
        <w:rPr>
          <w:rFonts w:hint="default" w:ascii="Times New Roman" w:hAnsi="Times New Roman" w:eastAsia="宋体" w:cs="Times New Roman"/>
          <w:color w:val="000000" w:themeColor="text1"/>
          <w:spacing w:val="-8"/>
          <w:sz w:val="24"/>
          <w:szCs w:val="24"/>
          <w:u w:val="none"/>
          <w14:textFill>
            <w14:solidFill>
              <w14:schemeClr w14:val="tx1"/>
            </w14:solidFill>
          </w14:textFill>
        </w:rPr>
        <w:t>，公共建筑的能耗达到现行《民用建筑能耗标准》的能耗指标的引导值即视为满足本条款要求。</w:t>
      </w:r>
    </w:p>
    <w:p w14:paraId="5CE447E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2</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对二星级、三星级绿色建筑用水器具的水效提出了要求，相关用水器具的水效标准及评价方法，详见本标准第 7.2.10条的条文说明。</w:t>
      </w:r>
    </w:p>
    <w:p w14:paraId="47852F8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3</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对二星级、三星级绿色建筑（住宅建筑）的隔声性能提出了要求。具体评价方法参见本标准第5.2.7条的条文说明。</w:t>
      </w:r>
    </w:p>
    <w:p w14:paraId="16F927F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4</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对一星级、二星级、三星级绿色建筑室内主要的空气污染物浓度限值进行了规定。国家标准《室内空气质量标准》GB/T 18883-2022中对室内空气污染物浓度限值进行了调整，其中甲醛、苯、氡、可吸入颗粒物的浓度限值相比该标准2002年版降低幅度达到了20%及以上</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见新增表1</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而氨、总挥发性有机物的浓度限值未变。因此，本次局部修订仅对氨、总挥发性有机物进行要求，并增加了PM25的要求。具体评价方法，详见本标准第5.1.1条、第5.2.1条的条文说明。</w:t>
      </w:r>
    </w:p>
    <w:p w14:paraId="5317FE2C">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新增表1</w:t>
      </w:r>
      <w:r>
        <w:rPr>
          <w:rFonts w:hint="default" w:ascii="Times New Roman" w:hAnsi="Times New Roman" w:cs="Times New Roman"/>
          <w:b/>
          <w:color w:val="000000" w:themeColor="text1"/>
          <w:spacing w:val="-7"/>
          <w:szCs w:val="21"/>
          <w:u w:val="none"/>
          <w:lang w:val="en-US" w:eastAsia="zh-CN"/>
          <w14:textFill>
            <w14:solidFill>
              <w14:schemeClr w14:val="tx1"/>
            </w14:solidFill>
          </w14:textFill>
        </w:rPr>
        <w:t xml:space="preserve">    </w:t>
      </w:r>
      <w:r>
        <w:rPr>
          <w:rFonts w:hint="default" w:ascii="Times New Roman" w:hAnsi="Times New Roman" w:cs="Times New Roman"/>
          <w:b/>
          <w:color w:val="000000" w:themeColor="text1"/>
          <w:spacing w:val="-7"/>
          <w:szCs w:val="21"/>
          <w:u w:val="none"/>
          <w14:textFill>
            <w14:solidFill>
              <w14:schemeClr w14:val="tx1"/>
            </w14:solidFill>
          </w14:textFill>
        </w:rPr>
        <w:t>2002年版和2022年版国家标准《室内空气质量标准》  GB/T 18883室内污染物浓度限值对比</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5"/>
        <w:gridCol w:w="1912"/>
        <w:gridCol w:w="2050"/>
        <w:gridCol w:w="2515"/>
      </w:tblGrid>
      <w:tr w14:paraId="4F173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00" w:type="pct"/>
            <w:vAlign w:val="center"/>
          </w:tcPr>
          <w:p w14:paraId="2984A81F">
            <w:pPr>
              <w:pStyle w:val="24"/>
              <w:spacing w:before="56"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污染物</w:t>
            </w:r>
          </w:p>
        </w:tc>
        <w:tc>
          <w:tcPr>
            <w:tcW w:w="1122" w:type="pct"/>
            <w:vAlign w:val="center"/>
          </w:tcPr>
          <w:p w14:paraId="44545CC4">
            <w:pPr>
              <w:pStyle w:val="24"/>
              <w:spacing w:before="55" w:line="360" w:lineRule="auto"/>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GB/T</w:t>
            </w:r>
            <w:r>
              <w:rPr>
                <w:rFonts w:hint="default" w:ascii="Times New Roman" w:hAnsi="Times New Roman" w:cs="Times New Roman"/>
                <w:spacing w:val="42"/>
                <w:sz w:val="21"/>
                <w:szCs w:val="21"/>
                <w:u w:val="none"/>
              </w:rPr>
              <w:t xml:space="preserve"> </w:t>
            </w:r>
            <w:r>
              <w:rPr>
                <w:rFonts w:hint="default" w:ascii="Times New Roman" w:hAnsi="Times New Roman" w:cs="Times New Roman"/>
                <w:spacing w:val="-2"/>
                <w:sz w:val="21"/>
                <w:szCs w:val="21"/>
                <w:u w:val="none"/>
              </w:rPr>
              <w:t>18883-2002</w:t>
            </w:r>
          </w:p>
        </w:tc>
        <w:tc>
          <w:tcPr>
            <w:tcW w:w="1203" w:type="pct"/>
            <w:vAlign w:val="center"/>
          </w:tcPr>
          <w:p w14:paraId="76892358">
            <w:pPr>
              <w:pStyle w:val="24"/>
              <w:spacing w:before="55" w:line="360" w:lineRule="auto"/>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GB/T</w:t>
            </w:r>
            <w:r>
              <w:rPr>
                <w:rFonts w:hint="default" w:ascii="Times New Roman" w:hAnsi="Times New Roman" w:cs="Times New Roman"/>
                <w:spacing w:val="22"/>
                <w:sz w:val="21"/>
                <w:szCs w:val="21"/>
                <w:u w:val="none"/>
              </w:rPr>
              <w:t xml:space="preserve"> </w:t>
            </w:r>
            <w:r>
              <w:rPr>
                <w:rFonts w:hint="default" w:ascii="Times New Roman" w:hAnsi="Times New Roman" w:cs="Times New Roman"/>
                <w:spacing w:val="-2"/>
                <w:sz w:val="21"/>
                <w:szCs w:val="21"/>
                <w:u w:val="none"/>
              </w:rPr>
              <w:t>18883-2022</w:t>
            </w:r>
          </w:p>
        </w:tc>
        <w:tc>
          <w:tcPr>
            <w:tcW w:w="1475" w:type="pct"/>
            <w:vAlign w:val="center"/>
          </w:tcPr>
          <w:p w14:paraId="125C7002">
            <w:pPr>
              <w:pStyle w:val="24"/>
              <w:spacing w:before="62" w:line="360" w:lineRule="auto"/>
              <w:ind w:left="188" w:right="202"/>
              <w:jc w:val="center"/>
              <w:rPr>
                <w:rFonts w:hint="default" w:ascii="Times New Roman" w:hAnsi="Times New Roman" w:cs="Times New Roman"/>
                <w:sz w:val="21"/>
                <w:szCs w:val="21"/>
                <w:u w:val="none"/>
                <w:lang w:eastAsia="zh-CN"/>
              </w:rPr>
            </w:pPr>
            <w:r>
              <w:rPr>
                <w:rFonts w:hint="default" w:ascii="Times New Roman" w:hAnsi="Times New Roman" w:cs="Times New Roman"/>
                <w:spacing w:val="-2"/>
                <w:sz w:val="21"/>
                <w:szCs w:val="21"/>
                <w:u w:val="none"/>
                <w:lang w:eastAsia="zh-CN"/>
              </w:rPr>
              <w:t>2022年版相比</w:t>
            </w:r>
            <w:r>
              <w:rPr>
                <w:rFonts w:hint="default" w:ascii="Times New Roman" w:hAnsi="Times New Roman" w:cs="Times New Roman"/>
                <w:spacing w:val="6"/>
                <w:sz w:val="21"/>
                <w:szCs w:val="21"/>
                <w:u w:val="none"/>
                <w:lang w:eastAsia="zh-CN"/>
              </w:rPr>
              <w:t xml:space="preserve"> </w:t>
            </w:r>
            <w:r>
              <w:rPr>
                <w:rFonts w:hint="default" w:ascii="Times New Roman" w:hAnsi="Times New Roman" w:cs="Times New Roman"/>
                <w:spacing w:val="-2"/>
                <w:sz w:val="21"/>
                <w:szCs w:val="21"/>
                <w:u w:val="none"/>
                <w:lang w:eastAsia="zh-CN"/>
              </w:rPr>
              <w:t>2002年版</w:t>
            </w:r>
            <w:r>
              <w:rPr>
                <w:rFonts w:hint="default" w:ascii="Times New Roman" w:hAnsi="Times New Roman" w:cs="Times New Roman"/>
                <w:spacing w:val="2"/>
                <w:sz w:val="21"/>
                <w:szCs w:val="21"/>
                <w:u w:val="none"/>
                <w:lang w:eastAsia="zh-CN"/>
              </w:rPr>
              <w:t>浓度降低比例</w:t>
            </w:r>
          </w:p>
        </w:tc>
      </w:tr>
      <w:tr w14:paraId="0D24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200" w:type="pct"/>
          </w:tcPr>
          <w:p w14:paraId="7B7C8D52">
            <w:pPr>
              <w:pStyle w:val="24"/>
              <w:spacing w:before="70" w:line="360" w:lineRule="auto"/>
              <w:ind w:left="704"/>
              <w:rPr>
                <w:rFonts w:hint="default" w:ascii="Times New Roman" w:hAnsi="Times New Roman" w:cs="Times New Roman"/>
                <w:sz w:val="21"/>
                <w:szCs w:val="21"/>
                <w:u w:val="none"/>
              </w:rPr>
            </w:pPr>
            <w:r>
              <w:rPr>
                <w:rFonts w:hint="default" w:ascii="Times New Roman" w:hAnsi="Times New Roman" w:cs="Times New Roman"/>
                <w:sz w:val="21"/>
                <w:szCs w:val="21"/>
                <w:u w:val="none"/>
              </w:rPr>
              <w:t>氨</w:t>
            </w:r>
          </w:p>
        </w:tc>
        <w:tc>
          <w:tcPr>
            <w:tcW w:w="1122" w:type="pct"/>
          </w:tcPr>
          <w:p w14:paraId="0D234367">
            <w:pPr>
              <w:pStyle w:val="24"/>
              <w:spacing w:before="64" w:line="360" w:lineRule="auto"/>
              <w:ind w:left="283"/>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0.20mg/m³</w:t>
            </w:r>
          </w:p>
        </w:tc>
        <w:tc>
          <w:tcPr>
            <w:tcW w:w="1203" w:type="pct"/>
          </w:tcPr>
          <w:p w14:paraId="7DB1D81A">
            <w:pPr>
              <w:pStyle w:val="24"/>
              <w:spacing w:before="64" w:line="360" w:lineRule="auto"/>
              <w:ind w:left="276"/>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0.20mg/m³</w:t>
            </w:r>
          </w:p>
        </w:tc>
        <w:tc>
          <w:tcPr>
            <w:tcW w:w="1475" w:type="pct"/>
            <w:vAlign w:val="center"/>
          </w:tcPr>
          <w:p w14:paraId="75637859">
            <w:pPr>
              <w:pStyle w:val="24"/>
              <w:spacing w:before="113"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0%</w:t>
            </w:r>
          </w:p>
        </w:tc>
      </w:tr>
      <w:tr w14:paraId="3E602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200" w:type="pct"/>
          </w:tcPr>
          <w:p w14:paraId="7D497ED3">
            <w:pPr>
              <w:pStyle w:val="24"/>
              <w:spacing w:before="73" w:line="360" w:lineRule="auto"/>
              <w:ind w:left="615"/>
              <w:rPr>
                <w:rFonts w:hint="default" w:ascii="Times New Roman" w:hAnsi="Times New Roman" w:cs="Times New Roman"/>
                <w:sz w:val="21"/>
                <w:szCs w:val="21"/>
                <w:u w:val="none"/>
              </w:rPr>
            </w:pPr>
            <w:r>
              <w:rPr>
                <w:rFonts w:hint="default" w:ascii="Times New Roman" w:hAnsi="Times New Roman" w:cs="Times New Roman"/>
                <w:spacing w:val="3"/>
                <w:sz w:val="21"/>
                <w:szCs w:val="21"/>
                <w:u w:val="none"/>
              </w:rPr>
              <w:t>甲醛</w:t>
            </w:r>
          </w:p>
        </w:tc>
        <w:tc>
          <w:tcPr>
            <w:tcW w:w="1122" w:type="pct"/>
          </w:tcPr>
          <w:p w14:paraId="47F0C370">
            <w:pPr>
              <w:pStyle w:val="24"/>
              <w:spacing w:before="65" w:line="360" w:lineRule="auto"/>
              <w:ind w:left="283"/>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0.10mg/m³</w:t>
            </w:r>
          </w:p>
        </w:tc>
        <w:tc>
          <w:tcPr>
            <w:tcW w:w="1203" w:type="pct"/>
          </w:tcPr>
          <w:p w14:paraId="26941027">
            <w:pPr>
              <w:pStyle w:val="24"/>
              <w:spacing w:before="65" w:line="360" w:lineRule="auto"/>
              <w:ind w:left="276"/>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0.08mg/m³</w:t>
            </w:r>
          </w:p>
        </w:tc>
        <w:tc>
          <w:tcPr>
            <w:tcW w:w="1475" w:type="pct"/>
            <w:vAlign w:val="center"/>
          </w:tcPr>
          <w:p w14:paraId="108DFFB3">
            <w:pPr>
              <w:pStyle w:val="24"/>
              <w:spacing w:before="114"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20%</w:t>
            </w:r>
          </w:p>
        </w:tc>
      </w:tr>
      <w:tr w14:paraId="1A40C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200" w:type="pct"/>
          </w:tcPr>
          <w:p w14:paraId="71502F87">
            <w:pPr>
              <w:pStyle w:val="24"/>
              <w:spacing w:before="70" w:line="360" w:lineRule="auto"/>
              <w:ind w:left="704"/>
              <w:rPr>
                <w:rFonts w:hint="default" w:ascii="Times New Roman" w:hAnsi="Times New Roman" w:cs="Times New Roman"/>
                <w:sz w:val="21"/>
                <w:szCs w:val="21"/>
                <w:u w:val="none"/>
              </w:rPr>
            </w:pPr>
            <w:r>
              <w:rPr>
                <w:rFonts w:hint="default" w:ascii="Times New Roman" w:hAnsi="Times New Roman" w:cs="Times New Roman"/>
                <w:sz w:val="21"/>
                <w:szCs w:val="21"/>
                <w:u w:val="none"/>
              </w:rPr>
              <w:t>苯</w:t>
            </w:r>
          </w:p>
        </w:tc>
        <w:tc>
          <w:tcPr>
            <w:tcW w:w="1122" w:type="pct"/>
          </w:tcPr>
          <w:p w14:paraId="6B062D21">
            <w:pPr>
              <w:pStyle w:val="24"/>
              <w:spacing w:before="66" w:line="360" w:lineRule="auto"/>
              <w:ind w:left="283"/>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0.11mg/m³</w:t>
            </w:r>
          </w:p>
        </w:tc>
        <w:tc>
          <w:tcPr>
            <w:tcW w:w="1203" w:type="pct"/>
          </w:tcPr>
          <w:p w14:paraId="40A785C0">
            <w:pPr>
              <w:pStyle w:val="24"/>
              <w:spacing w:before="66" w:line="360" w:lineRule="auto"/>
              <w:ind w:left="276"/>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0.03mg/m³</w:t>
            </w:r>
          </w:p>
        </w:tc>
        <w:tc>
          <w:tcPr>
            <w:tcW w:w="1475" w:type="pct"/>
            <w:vAlign w:val="center"/>
          </w:tcPr>
          <w:p w14:paraId="31A42CA4">
            <w:pPr>
              <w:pStyle w:val="24"/>
              <w:spacing w:before="115" w:line="360" w:lineRule="auto"/>
              <w:jc w:val="center"/>
              <w:rPr>
                <w:rFonts w:hint="default" w:ascii="Times New Roman" w:hAnsi="Times New Roman" w:cs="Times New Roman"/>
                <w:sz w:val="21"/>
                <w:szCs w:val="21"/>
                <w:u w:val="none"/>
              </w:rPr>
            </w:pPr>
            <w:r>
              <w:rPr>
                <w:rFonts w:hint="default" w:ascii="Times New Roman" w:hAnsi="Times New Roman" w:cs="Times New Roman"/>
                <w:spacing w:val="-3"/>
                <w:sz w:val="21"/>
                <w:szCs w:val="21"/>
                <w:u w:val="none"/>
              </w:rPr>
              <w:t>73%</w:t>
            </w:r>
          </w:p>
        </w:tc>
      </w:tr>
      <w:tr w14:paraId="530A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200" w:type="pct"/>
          </w:tcPr>
          <w:p w14:paraId="483666A2">
            <w:pPr>
              <w:pStyle w:val="24"/>
              <w:spacing w:before="71" w:line="360" w:lineRule="auto"/>
              <w:ind w:left="194"/>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总挥发性有机物</w:t>
            </w:r>
          </w:p>
        </w:tc>
        <w:tc>
          <w:tcPr>
            <w:tcW w:w="1122" w:type="pct"/>
          </w:tcPr>
          <w:p w14:paraId="5B80966E">
            <w:pPr>
              <w:pStyle w:val="24"/>
              <w:spacing w:before="67" w:line="360" w:lineRule="auto"/>
              <w:ind w:left="283"/>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0.60mg/m³</w:t>
            </w:r>
          </w:p>
        </w:tc>
        <w:tc>
          <w:tcPr>
            <w:tcW w:w="1203" w:type="pct"/>
          </w:tcPr>
          <w:p w14:paraId="3BD54958">
            <w:pPr>
              <w:pStyle w:val="24"/>
              <w:spacing w:before="67" w:line="360" w:lineRule="auto"/>
              <w:ind w:left="276"/>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0.60mg/m³</w:t>
            </w:r>
          </w:p>
        </w:tc>
        <w:tc>
          <w:tcPr>
            <w:tcW w:w="1475" w:type="pct"/>
            <w:vAlign w:val="center"/>
          </w:tcPr>
          <w:p w14:paraId="5D35E75F">
            <w:pPr>
              <w:pStyle w:val="24"/>
              <w:spacing w:before="116"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0%</w:t>
            </w:r>
          </w:p>
        </w:tc>
      </w:tr>
      <w:tr w14:paraId="0A028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200" w:type="pct"/>
          </w:tcPr>
          <w:p w14:paraId="2E37F322">
            <w:pPr>
              <w:pStyle w:val="24"/>
              <w:spacing w:before="74" w:line="360" w:lineRule="auto"/>
              <w:ind w:left="704"/>
              <w:rPr>
                <w:rFonts w:hint="default" w:ascii="Times New Roman" w:hAnsi="Times New Roman" w:cs="Times New Roman"/>
                <w:sz w:val="21"/>
                <w:szCs w:val="21"/>
                <w:u w:val="none"/>
              </w:rPr>
            </w:pPr>
            <w:r>
              <w:rPr>
                <w:rFonts w:hint="default" w:ascii="Times New Roman" w:hAnsi="Times New Roman" w:cs="Times New Roman"/>
                <w:sz w:val="21"/>
                <w:szCs w:val="21"/>
                <w:u w:val="none"/>
              </w:rPr>
              <w:t>氡</w:t>
            </w:r>
          </w:p>
        </w:tc>
        <w:tc>
          <w:tcPr>
            <w:tcW w:w="1122" w:type="pct"/>
          </w:tcPr>
          <w:p w14:paraId="2620B0D7">
            <w:pPr>
              <w:pStyle w:val="24"/>
              <w:spacing w:before="69" w:line="360" w:lineRule="auto"/>
              <w:ind w:left="322"/>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400Bq/m³</w:t>
            </w:r>
          </w:p>
        </w:tc>
        <w:tc>
          <w:tcPr>
            <w:tcW w:w="1203" w:type="pct"/>
          </w:tcPr>
          <w:p w14:paraId="6DBB881D">
            <w:pPr>
              <w:pStyle w:val="24"/>
              <w:spacing w:before="69" w:line="360" w:lineRule="auto"/>
              <w:ind w:left="315"/>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300Bq/m³</w:t>
            </w:r>
          </w:p>
        </w:tc>
        <w:tc>
          <w:tcPr>
            <w:tcW w:w="1475" w:type="pct"/>
            <w:vAlign w:val="center"/>
          </w:tcPr>
          <w:p w14:paraId="554E3436">
            <w:pPr>
              <w:pStyle w:val="24"/>
              <w:spacing w:before="117"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25%</w:t>
            </w:r>
          </w:p>
        </w:tc>
      </w:tr>
      <w:tr w14:paraId="3FF98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200" w:type="pct"/>
          </w:tcPr>
          <w:p w14:paraId="49EF4855">
            <w:pPr>
              <w:pStyle w:val="24"/>
              <w:spacing w:before="75" w:line="360" w:lineRule="auto"/>
              <w:ind w:left="104"/>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可吸入颗粒物PM10</w:t>
            </w:r>
          </w:p>
        </w:tc>
        <w:tc>
          <w:tcPr>
            <w:tcW w:w="1122" w:type="pct"/>
          </w:tcPr>
          <w:p w14:paraId="67F44EB8">
            <w:pPr>
              <w:pStyle w:val="24"/>
              <w:spacing w:before="69" w:line="360" w:lineRule="auto"/>
              <w:ind w:left="283"/>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0.15mg/m³</w:t>
            </w:r>
          </w:p>
        </w:tc>
        <w:tc>
          <w:tcPr>
            <w:tcW w:w="1203" w:type="pct"/>
          </w:tcPr>
          <w:p w14:paraId="4298E32F">
            <w:pPr>
              <w:pStyle w:val="24"/>
              <w:spacing w:before="69" w:line="360" w:lineRule="auto"/>
              <w:ind w:left="276"/>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0.10mg/m³</w:t>
            </w:r>
          </w:p>
        </w:tc>
        <w:tc>
          <w:tcPr>
            <w:tcW w:w="1475" w:type="pct"/>
            <w:vAlign w:val="center"/>
          </w:tcPr>
          <w:p w14:paraId="3ED1B433">
            <w:pPr>
              <w:pStyle w:val="24"/>
              <w:spacing w:before="118" w:line="360" w:lineRule="auto"/>
              <w:jc w:val="center"/>
              <w:rPr>
                <w:rFonts w:hint="default" w:ascii="Times New Roman" w:hAnsi="Times New Roman" w:cs="Times New Roman"/>
                <w:sz w:val="21"/>
                <w:szCs w:val="21"/>
                <w:u w:val="none"/>
              </w:rPr>
            </w:pPr>
            <w:r>
              <w:rPr>
                <w:rFonts w:hint="default" w:ascii="Times New Roman" w:hAnsi="Times New Roman" w:cs="Times New Roman"/>
                <w:spacing w:val="-3"/>
                <w:sz w:val="21"/>
                <w:szCs w:val="21"/>
                <w:u w:val="none"/>
              </w:rPr>
              <w:t>33%</w:t>
            </w:r>
          </w:p>
        </w:tc>
      </w:tr>
      <w:tr w14:paraId="02078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1200" w:type="pct"/>
          </w:tcPr>
          <w:p w14:paraId="0F002A49">
            <w:pPr>
              <w:pStyle w:val="24"/>
              <w:spacing w:before="119" w:line="360" w:lineRule="auto"/>
              <w:ind w:left="574"/>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PM2.5</w:t>
            </w:r>
          </w:p>
        </w:tc>
        <w:tc>
          <w:tcPr>
            <w:tcW w:w="1122" w:type="pct"/>
          </w:tcPr>
          <w:p w14:paraId="304550AC">
            <w:pPr>
              <w:pStyle w:val="24"/>
              <w:spacing w:before="174" w:line="360" w:lineRule="auto"/>
              <w:ind w:left="622"/>
              <w:rPr>
                <w:rFonts w:hint="default" w:ascii="Times New Roman" w:hAnsi="Times New Roman" w:cs="Times New Roman"/>
                <w:sz w:val="21"/>
                <w:szCs w:val="21"/>
                <w:u w:val="none"/>
                <w:lang w:eastAsia="zh-CN"/>
              </w:rPr>
            </w:pPr>
            <w:r>
              <w:rPr>
                <w:rFonts w:hint="default" w:ascii="Times New Roman" w:hAnsi="Times New Roman" w:cs="Times New Roman"/>
                <w:position w:val="-2"/>
                <w:sz w:val="21"/>
                <w:szCs w:val="21"/>
                <w:u w:val="none"/>
                <w:lang w:eastAsia="zh-CN"/>
              </w:rPr>
              <w:t>-</w:t>
            </w:r>
          </w:p>
        </w:tc>
        <w:tc>
          <w:tcPr>
            <w:tcW w:w="1203" w:type="pct"/>
          </w:tcPr>
          <w:p w14:paraId="2A3F2DF3">
            <w:pPr>
              <w:pStyle w:val="24"/>
              <w:spacing w:before="70" w:line="360" w:lineRule="auto"/>
              <w:ind w:left="276"/>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0.05mg/m³</w:t>
            </w:r>
          </w:p>
        </w:tc>
        <w:tc>
          <w:tcPr>
            <w:tcW w:w="1475" w:type="pct"/>
            <w:vAlign w:val="center"/>
          </w:tcPr>
          <w:p w14:paraId="2A06A531">
            <w:pPr>
              <w:pStyle w:val="24"/>
              <w:spacing w:before="184" w:line="360" w:lineRule="auto"/>
              <w:jc w:val="center"/>
              <w:rPr>
                <w:rFonts w:hint="default" w:ascii="Times New Roman" w:hAnsi="Times New Roman" w:cs="Times New Roman"/>
                <w:sz w:val="21"/>
                <w:szCs w:val="21"/>
                <w:u w:val="none"/>
                <w:lang w:eastAsia="zh-CN"/>
              </w:rPr>
            </w:pPr>
            <w:r>
              <w:rPr>
                <w:rFonts w:hint="default" w:ascii="Times New Roman" w:hAnsi="Times New Roman" w:cs="Times New Roman"/>
                <w:position w:val="-2"/>
                <w:sz w:val="21"/>
                <w:szCs w:val="21"/>
                <w:u w:val="none"/>
                <w:lang w:eastAsia="zh-CN"/>
              </w:rPr>
              <w:t>-</w:t>
            </w:r>
          </w:p>
        </w:tc>
      </w:tr>
    </w:tbl>
    <w:p w14:paraId="2D520F9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5</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对星级绿色建筑的绿色建材应用比例进行了规定。全面推广绿色建材是《中共中央国务院关于完整准确全面贯彻新发 展理念做好碳达峰碳中和工作的意见》和《关于推动城乡建设绿 色发展的意见》中提出的重要任务。</w:t>
      </w:r>
      <w:bookmarkStart w:id="135" w:name="OLE_LINK51"/>
      <w:bookmarkStart w:id="136" w:name="OLE_LINK50"/>
      <w:r>
        <w:rPr>
          <w:rFonts w:hint="default" w:ascii="Times New Roman" w:hAnsi="Times New Roman" w:eastAsia="宋体" w:cs="Times New Roman"/>
          <w:color w:val="000000" w:themeColor="text1"/>
          <w:spacing w:val="-8"/>
          <w:sz w:val="24"/>
          <w:szCs w:val="24"/>
          <w:u w:val="none"/>
          <w14:textFill>
            <w14:solidFill>
              <w14:schemeClr w14:val="tx1"/>
            </w14:solidFill>
          </w14:textFill>
        </w:rPr>
        <w:t>考虑目前云南省通过绿色建材认证产品较少，工程施工建材产品的性能参数若满足《绿色建筑和绿色建材政府采购需求标准》（2025年版）中材料的绿色要求和品质属性要求，也可计入绿色建材应用比例计算，具体评价方法详见本标准第7.2.18条的条文说明。</w:t>
      </w:r>
      <w:bookmarkEnd w:id="135"/>
      <w:bookmarkEnd w:id="136"/>
    </w:p>
    <w:p w14:paraId="7253BEE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6</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对星级绿色建筑的全寿命期碳排放分析提出要求。绿色 建筑将对资源节约、环境保护的要求贯穿到了建筑全寿命期，与仅关注建筑运行阶段碳排放降低相比，更能体现从产品角度出发 的碳足迹、碳排放管理理念，对建筑设计、建材选用、施工建 造、运行维护以及报废拆除的低碳技术和产品应用均有支撑和引导，更符合城乡建设领域全面低碳发展要求。建筑全寿命期碳排 放分析应满足现行国家标准《建筑碳排放计算标准》GB/T 51366的要求，在具体计算时，应注意不同阶段碳排放强度的表 述差异，结论应以建筑全寿命期碳排放强度</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kgCO2e/m²</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表示，并应体现各项碳减排措施的贡献率。在分析方法、计算范围以及数据来源上，应严格执行现行国家标准《建筑碳排放计算标 准》GB/T 51366的规定，现行国家标准《建筑碳排放计算标 准》GB/T 51366未作规定的内容，可采用国家或地方发布的有关标准、规定。对于已竣工投入使用的建筑，应根据建筑工程施 工情况、运行情况进行修正。</w:t>
      </w:r>
    </w:p>
    <w:p w14:paraId="0CEEF7A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7</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对一星级、二星级、三星级绿色建筑的外窗气密性能及 外窗安装施工质量提出了要求。外窗的气密性能应符合国家现行标准《公共建筑节能设计标准》GB 50189、《严寒和寒冷地区居住建筑节能设计标准》JGJ 26、《夏热冬冷地区居住建筑节能设 计标准》JGJ 134、《夏热冬暖地区居住建筑节能设计标准》JGJ</w:t>
      </w:r>
      <w:bookmarkStart w:id="137" w:name="bookmark107"/>
      <w:bookmarkEnd w:id="137"/>
      <w:bookmarkStart w:id="138" w:name="bookmark106"/>
      <w:bookmarkEnd w:id="138"/>
      <w:r>
        <w:rPr>
          <w:rFonts w:hint="default" w:ascii="Times New Roman" w:hAnsi="Times New Roman" w:eastAsia="宋体" w:cs="Times New Roman"/>
          <w:color w:val="000000" w:themeColor="text1"/>
          <w:spacing w:val="-8"/>
          <w:sz w:val="24"/>
          <w:szCs w:val="24"/>
          <w:u w:val="none"/>
          <w14:textFill>
            <w14:solidFill>
              <w14:schemeClr w14:val="tx1"/>
            </w14:solidFill>
          </w14:textFill>
        </w:rPr>
        <w:t>75、《温和地区居住建筑节能设计标准》JGJ475 等的规定。在外窗安装施工过程中，应严格按照相关工法和相关验收标准要求进行，外窗四周的密封应完整、连续，并应形成封闭的密封结构，保证外窗洞口与外窗本体的结合部位严密；外窗的现场气密性能检测与合格判定应符合现行行业标准《公共建筑节能检测标准》JGJ/T177  或《居住建筑节能检测标准》JGJ/T 132  的规定。评价方法为：预评价查阅外窗气密性能设计文件、外窗气密性能检测报告；评价查阅外窗气密性能设计文件、外窗气密性能检测报告、外窗气密性能现场检测报告。</w:t>
      </w:r>
    </w:p>
    <w:p w14:paraId="07B037ED">
      <w:pPr>
        <w:spacing w:line="360" w:lineRule="auto"/>
        <w:ind w:firstLine="476" w:firstLineChars="200"/>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br w:type="page"/>
      </w:r>
    </w:p>
    <w:p w14:paraId="2371AC3D">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39" w:name="_Toc204247746"/>
      <w:bookmarkStart w:id="140" w:name="_Toc17176"/>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4 安全耐久</w:t>
      </w:r>
      <w:bookmarkEnd w:id="139"/>
      <w:bookmarkEnd w:id="140"/>
    </w:p>
    <w:p w14:paraId="042D1F28">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41" w:name="_Toc19862"/>
      <w:bookmarkStart w:id="142" w:name="_Toc204247747"/>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4.1 控制项</w:t>
      </w:r>
      <w:bookmarkEnd w:id="141"/>
      <w:bookmarkEnd w:id="142"/>
    </w:p>
    <w:p w14:paraId="3FA07E0B">
      <w:pPr>
        <w:spacing w:before="90" w:line="360" w:lineRule="auto"/>
        <w:ind w:right="142"/>
        <w:rPr>
          <w:rFonts w:hint="default" w:ascii="Times New Roman" w:hAnsi="Times New Roman" w:eastAsia="宋体" w:cs="Times New Roman"/>
          <w:spacing w:val="-11"/>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4.1.1 </w:t>
      </w:r>
      <w:r>
        <w:rPr>
          <w:rFonts w:hint="default" w:ascii="Times New Roman" w:hAnsi="Times New Roman" w:eastAsia="宋体" w:cs="Times New Roman"/>
          <w:spacing w:val="-11"/>
          <w:sz w:val="24"/>
          <w:szCs w:val="24"/>
          <w:u w:val="none"/>
        </w:rPr>
        <w:t xml:space="preserve">  本条适用于各类民用建筑的预评价、评价。</w:t>
      </w:r>
    </w:p>
    <w:p w14:paraId="605652B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对绿色建筑的场地安全提出要求。建筑场地与各类危险源的距离应满足相应危险源的安全防护距离等控制要求，对场地中不利地段或潜在危险源应采取必要的避让、防护或控制、治理等措施，对场地中存在的有毒有害物质应采取有效的治理措施进行无害化处理，确保符合各项目安全标准。</w:t>
      </w:r>
    </w:p>
    <w:p w14:paraId="1B65331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场地的防洪设计应符合现行国家标准《防洪标准》GB 50201和《城市防洪工程设计规范》GB/T 50805的有关规定且不低于该区域的防洪、防涝的最低设防要求；选址尚应符合现行国家标准《城市抗震防灾规划标准》GB 50143和《建筑抗震设计规范》GB 50011的规定；当场地内或场地周边存在100kV以上电压等级的交流输变电设施，或存在向没有屏蔽空间发射0.1Mhz-300GHz电磁场的设备且等效辐射功率≥300W时，应对场地内最不利点进行电磁辐射检测，判断电磁辐射是否满足《电磁环境控制限值》 GB 8702 的有关规定；土壤中浓度的控制应符合现行国家标准《民用建筑工程室内环境污染控制规范》GB 50325的有关规定；场地及周边的加油站、加气站等危险源应满足国家现行相关标准中关于安全防护距离等的控制要求。</w:t>
      </w:r>
    </w:p>
    <w:p w14:paraId="2EDAD81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项目区位图、场地地形图勘察报告、环境治理验收报告、环境影响报告书、土壤氡浓度检测报告、相关检测报告或论证报告；评价查阅项目区位图、场地地形图、勘察报告、环境治理验收报告、环境影响报告书、土壤氡浓度检测报告、相关检测报告或论证报告。其中：</w:t>
      </w:r>
    </w:p>
    <w:p w14:paraId="7B41EB5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机场、铁路等交通运输类项目，疾病预防控制中心、传染病医院、精神卫生中心、戒毒中心、殡葬火化设施、广播电视发射设施等社会事业类项目必要时应根据《关于建立健全重大决策社会稳定风险评估机制的指导意见（试行）》（中办发〔2012〕2号）查阅项目安全评价报告、社会稳定风险评估等相关资料。</w:t>
      </w:r>
    </w:p>
    <w:p w14:paraId="2C8696D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输变电、广播电台、通信基站、医疗相关设备设施项目，应根据《中华人民共和国环境保护法》、《电磁环境控制限值》GB 8702、《移动通信基站电磁辐射环境监测方法》HJ 972查阅电磁辐射防治措施报告及相关检测报告。</w:t>
      </w:r>
    </w:p>
    <w:p w14:paraId="4D98AE34">
      <w:pPr>
        <w:spacing w:before="90" w:line="360" w:lineRule="auto"/>
        <w:ind w:right="142"/>
        <w:rPr>
          <w:rFonts w:hint="default" w:ascii="Times New Roman" w:hAnsi="Times New Roman" w:eastAsia="宋体" w:cs="Times New Roman"/>
          <w:spacing w:val="-11"/>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4.1.2 </w:t>
      </w:r>
      <w:r>
        <w:rPr>
          <w:rFonts w:hint="default" w:ascii="Times New Roman" w:hAnsi="Times New Roman" w:eastAsia="宋体" w:cs="Times New Roman"/>
          <w:spacing w:val="-11"/>
          <w:sz w:val="24"/>
          <w:szCs w:val="24"/>
          <w:u w:val="none"/>
        </w:rPr>
        <w:t xml:space="preserve">  本条适用于各类民用建筑的预评价、评价。</w:t>
      </w:r>
    </w:p>
    <w:p w14:paraId="532B83F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结构在设计工作年限内应能够承受正常使用期间预期可能出现的各种作用，满足预定的使用要求及具有足够的耐久性，预期出现的各种作用包括恒载、活荷载、风荷载及地震作用等，结构的耐久性指在规定的设计工作年限内结构构件保持承载力和外观的能力，并满足建筑使用功能要求。结构设计应根据各种荷载组合进行承载能力极限状态和正常使用极限状态验算，设计施工及运维等并应符合国家现行相关标准的规定，包括但不限于现行强制性工程建设规范《工程结构通用规范》GB 55001、《建筑与市政工程抗震通用规范》GB 55002、《建筑与市政地基基础通用规范》GB 55003、《组合结构通用规范》GB55004、《木结构通用规范》GB 55005、《钢结构通用规范》GB55006、《砌体结构通用规范》GB55007、《混凝土结构通用规范》GB55008等；关注环境类别对结构包括基础构件等影响，并应采取相应抗腐蚀提高结构耐久性的措施；同时，针对建筑运行期内可能出现地基不均匀沉降、使用环境影响导致的钢筋</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材</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锈蚀等影响结构安全的问题，应定期对结构进行检查、维护与管理。</w:t>
      </w:r>
    </w:p>
    <w:p w14:paraId="4FB7E1B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外墙、屋面、门窗、幕墙及外保温等围护结构应满足安全、耐久和防护要求，与建筑主体结构连接可靠，且能适应主体结构在多遇地震及各种荷载作用下的变形。建筑围护结构防水对于建筑美观、耐久性能、正常使用功能和寿命都有重要影响，因此建筑外墙、建筑外保温系统、屋面、幕墙门窗等还应符合国家现行标准《建筑外墙防水工程技术规程》JGI/T235、《外墙外保温工程技术规程》JGJ144、《屋面工程技术规范》GB 50345、《建筑幕墙》GB/T 21086、《玻璃幕墙工程技术规范》JG I102《点支式玻璃幕墙支承装置》JG138、《吊挂式玻璃幕墙支承装置》JG139、《金属与石材幕墙工程技术规范》JGJ133、《玻璃幕墙工程技术规范》JGI102、《塑料门窗工程技术规程》JGJ103、《铝合金门窗工程技术规范》JG214等关于防水材料和防水设计施工的规定。</w:t>
      </w:r>
    </w:p>
    <w:p w14:paraId="59046C9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含设计说明、计算书等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含设计说明、计算书等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748F7385">
      <w:pPr>
        <w:spacing w:before="90" w:line="360" w:lineRule="auto"/>
        <w:ind w:right="142"/>
        <w:rPr>
          <w:rFonts w:hint="default" w:ascii="Times New Roman" w:hAnsi="Times New Roman" w:eastAsia="宋体" w:cs="Times New Roman"/>
          <w:spacing w:val="-11"/>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4.1.3  </w:t>
      </w:r>
      <w:r>
        <w:rPr>
          <w:rFonts w:hint="default" w:ascii="Times New Roman" w:hAnsi="Times New Roman" w:eastAsia="宋体" w:cs="Times New Roman"/>
          <w:spacing w:val="-11"/>
          <w:sz w:val="24"/>
          <w:szCs w:val="24"/>
          <w:u w:val="none"/>
        </w:rPr>
        <w:t xml:space="preserve"> 本条适用于各类民用建筑的预评价、评价。</w:t>
      </w:r>
    </w:p>
    <w:p w14:paraId="65050BB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外遮阳、太阳能设施、空调室外机位、外墙花池等外部设施应与建筑主体结构统一设计、施工，确保连接可靠，并应符合现行强制性工程建设规范以及国家现行标准《建筑遮阳工程技术规范》JGJ 237、《民用建筑太阳能热水系统应用技术标准》GB 50364、《民用建筑太阳能光伏系统应用技术规范》JGI203、《装配式混凝土建筑技术标准》GB/T 51231等的规定。</w:t>
      </w:r>
    </w:p>
    <w:p w14:paraId="3B8D85C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外部设施需要定期检修和维护，因此在建筑设计时应考虑后期检修和维护条件，如设计检修通道、马道和吊篮固定端等。当与主体结构不同时施工时，应设预埋件，并在设计文件中明确预埋件的检测验证参数及要求，确保其安全性与耐久性。比如，每年频发的空调外机坠落伤人或安装人员作业时跌落伤亡事故，已成为建筑的重大危险源，故新建或改建建筑设计时预留与主体结构连接牢固的空调外机安装位置，并与拟定的机型大小匹配，同时预留操作空间，保障安装、检修、维护人员安全。</w:t>
      </w:r>
    </w:p>
    <w:p w14:paraId="481E169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含设计说明、计算书等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含设计说明、计算书等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、检修和维护条件。</w:t>
      </w:r>
    </w:p>
    <w:p w14:paraId="38B8A9A9">
      <w:pPr>
        <w:spacing w:before="90" w:line="360" w:lineRule="auto"/>
        <w:ind w:right="142"/>
        <w:rPr>
          <w:rFonts w:hint="default" w:ascii="Times New Roman" w:hAnsi="Times New Roman" w:eastAsia="宋体" w:cs="Times New Roman"/>
          <w:spacing w:val="-11"/>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4.1.4  </w:t>
      </w:r>
      <w:r>
        <w:rPr>
          <w:rFonts w:hint="default" w:ascii="Times New Roman" w:hAnsi="Times New Roman" w:eastAsia="宋体" w:cs="Times New Roman"/>
          <w:spacing w:val="-11"/>
          <w:sz w:val="24"/>
          <w:szCs w:val="24"/>
          <w:u w:val="none"/>
        </w:rPr>
        <w:t xml:space="preserve"> 本条适用于各类民用建筑的预评价、评价。</w:t>
      </w:r>
    </w:p>
    <w:p w14:paraId="27EDC439">
      <w:pPr>
        <w:spacing w:line="360" w:lineRule="auto"/>
        <w:ind w:firstLine="436"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spacing w:val="-11"/>
          <w:sz w:val="24"/>
          <w:szCs w:val="24"/>
          <w:u w:val="none"/>
        </w:rPr>
        <w:t>本</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条规定强调建筑内部的非结构构件、设备及附属设施与主体结构的连接要牢固且不损害主体结构构件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满足承载力与耐久性要求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，并适应主体结构的变形</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变形协调要求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内部的非结构构件包括非承重墙体、附着于楼、屋面结构的构件、装饰构件和部件、固定于楼面的大型储物架、移动式档案密集柜等设备指建筑中为建筑使用功能服务的附属机械、电气、空调供暖等构件、部件和系统，主要包括电梯、照明和应急电源、通信设备，管道系统、供暖和空气调节系统，烟火监测和消防系统，公用天线等。附属设施包括整体卫生间、橱柜、储物柜等。</w:t>
      </w:r>
    </w:p>
    <w:p w14:paraId="1D4B8A8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非结构构件类似砌筑填充墙、装配式内隔墙板、门窗、防护栏杆等应满足国家现行相关设计标准要求，具有一定的整体稳定性，连接构造合理且安装牢固。如砌筑填充墙与主体结构承载墙柱之间需设拉结筋，并根据填充墙情况确定是否设计钢筋混凝土构造柱与圈梁，以满足填充墙整体稳定性及抗震性能要求；装配式内隔墙板同样需要注重与主体结构的连接，且需要考虑其与主体结构梁板的变形协调问题，包括高墙的接板连接、长墙的防开裂措施、门窗洞口边及顶部过梁的节点构造等。设备及附属设施与主体结构的连接应按相关规范进行一体化设计与建造，满足结构承载力与变形要求；施工过程中，应对其与主体结构连接件力学性能进行检测，验证是否满足设计要求。近年因装饰装修构部件脱落导致人员伤亡事故屡见不鲜，吊链或连接件连接失效导致吊灯掉落、吊顶脱落也时有发生，因此设备安装及室内装饰装修除应符合国家现行相关标准的规定外，还需关注其与建筑主体之间的连接性能，包括横穿结构变形缝时，应做相应的变形协调处理。</w:t>
      </w:r>
    </w:p>
    <w:p w14:paraId="545C87D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内部的非结构构件、设备及附属设施等应优先采用机械固定、焊接、预埋等连接方式或一体化建造方式，实现与建筑主体结构可靠连接且不影响主体结构的安全，也防止由于个别构件破坏引起连续性破坏或倒塌。经过设计，满足承载力、耐久性和变形要求，并满足现行国家标准要求的连接方式均可以采用，但不应在梁柱节点等钢筋密集区域设膨胀螺栓。</w:t>
      </w:r>
    </w:p>
    <w:p w14:paraId="105B9CE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含各连接件、配件、预埋件的力学性能参数设计要求，计算书，相关施工图设计说明，连接节点大样等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、产品设计要求等；评价查阅相关竣工图、材料决算清单、产品说明书、力学性能检测检验报告。</w:t>
      </w:r>
    </w:p>
    <w:p w14:paraId="5D4F2F03">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4.1.5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本条适用于各类民用建筑的预评价、评价。</w:t>
      </w:r>
    </w:p>
    <w:p w14:paraId="190C033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门窗是实现建筑物理性能的极其重要的功能性构件。设计时外门窗应以满足不同气候及环境条件下的建筑物使用功能要求为目标，明确抗风压性能、水密性能指标和等级，并应符合《塑料门窗工程技术规程》JGJ103、《铝合金门工程技术规范》JGJI214等现行相关标准的规定。</w:t>
      </w:r>
    </w:p>
    <w:p w14:paraId="6B8D497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外门窗的检测与验收应按《建筑外门窗气密、水密、抗风压性能检测方法》GB/T 7106、《建筑外窗气密、水密、抗风压性能现场检测方法》JG/T211、《建筑门窗工程检测技术规程》JGJ/T 205、《建筑装饰装修工程质量验收标准》GB50210等现行相关标准的规定执行。</w:t>
      </w:r>
    </w:p>
    <w:p w14:paraId="7E10AC1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本条的评价方法为：预评价查阅相关设计文件；评价查阅相关竣工图、门窗产品三性检测报告和外窗现场三性检测报告、施工工法说明文件。</w:t>
      </w:r>
    </w:p>
    <w:p w14:paraId="41B475C1">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4.1.6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13C5598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本条对卫生间、浴室等有水房间的防水进行了规定。为避免水蒸气透过墙体或顶棚，使隔壁房间或住户受潮气影响，导致诸如墙体发霉、破坏装修效果</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壁纸脱落、发霉，涂料层起鼓、粉化，地板变形等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等情况发生，且卫生间顶棚楼板钢筋受潮气影响容易导致板底钢筋锈蚀，影响结构耐久性；故要求所有卫生间、浴室楼、地面证送检报告、卫生间闭水试验报告防水层向墙面卷边 300mm 以上，防水层施工完成后应按相关规定做24小时闭水试验；考虑卫生间墙面一般粘贴瓷砖，为不影响瓷砖的粘贴性能，墙面的防水防潮做法一般与楼地面略有不同，墙面与顶棚防潮层中防水层材料及涂层厚度比楼地面防水层要放松一点；本条要求墙面、顶棚均应做防潮处理，需要明确的是设置吊顶，并不代表顶棚不再需要做防潮处理。防水层和防潮层设计应符合现行行业标准《住宅室内防水工程技术规范》JGI298的规定。整体卫生间与整体浴室产品也应满足地面防水，墙面、顶棚防潮要求。</w:t>
      </w:r>
    </w:p>
    <w:p w14:paraId="1848BE3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本条的评价方法为:预评价查阅相关设计文件、防水和防潮措施说明:评价查阅相关竣工图、防水和防潮措施说明、防水材料使用情况及材料见证送检报告、卫生间闭水试验报告。</w:t>
      </w:r>
    </w:p>
    <w:p w14:paraId="55E4D309">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4.1.7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568542A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在发生突发事件时，疏散和救护顺畅非常重要，必须在场地和建筑设计中考虑到对策和措施。建筑应根据其高度、规模、使用功能和耐火等级等因素合理设置安全疏散和避难设施。安全出口和疏散门的位置、数量、宽度及疏散楼梯间的形式，应满足人员安全疏散的要求。走廊、疏散通道等应满足现行国家标准《建筑设计防火规范》GB 50016、《防灾避难场所设计规范》GB 51143等对安全疏散和避难、应急交通的相关要求。本条重在强调保持通行空间路线畅通、视线清晰，不应有阳台花池、机电箱等凸向走廊、疏散通道的设计，防止对人员活动、步行交通、消防疏散埋下安全隐患。</w:t>
      </w:r>
    </w:p>
    <w:p w14:paraId="4D9BEDB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本条的评价方法为：预评价查阅相关设计文件；评价查阅相关竣工图、相关管理规定。</w:t>
      </w:r>
    </w:p>
    <w:p w14:paraId="2E51B5EB">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4.1.8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7CAD163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根据国家标准《安全标志及其使用导则》GB 2894安全标志分为禁止标志、警告标志、指令标志和提示标志四类本条所述是指具有警示和引导功能的安全标志，应在场地及建筑公共场所和其他有必要提醒人们注意安全的场所显著位置上设置。设置显著、醒目的安全警示标志，能够起到提醒建筑使用者注意安全的作用。警示标志一般设置于人员流动大的场所，青少年和儿童经常活动的场所，容易碰撞、夹伤、湿滑及危险的部位和场所等。比如禁止攀爬、禁止倚靠、禁止伸出窗外、禁止抛物、注意安全、当心碰头、当心夹手、当心车辆、当心坠落、当心滑倒、当心落水等。</w:t>
      </w:r>
    </w:p>
    <w:p w14:paraId="6933257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设置安全引导指示标志，包括紧急出口标志、避险处标志应急避难场所标志、急救点标志、报警点标志等，以及其他促进建筑安全使用的引导标志等。比如紧急出口标志，一般设置于便于安全疏散的紧急出口处，结合方向箭头设置于通向紧急出口的通道、楼梯口等处。</w:t>
      </w:r>
    </w:p>
    <w:p w14:paraId="1D5D9C7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本条的评价方法为：预评价查阅标识系统设计与设置说明文件；评价查阅标识系统设计与设置说明文件、相关影像材料等。</w:t>
      </w:r>
    </w:p>
    <w:p w14:paraId="57A69805">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4.1.9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65918FE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本章从安全、耐久等方面提出了评价要求，安全耐久相关技术要求还应符合现行强制性工程建设规范《工程结构通用规范》GB 55001、《建筑与市政工程抗震通用规范》GB 55002、《建筑与市政地基基础通用规范》GB 55003、《组合结构通用规范》GB 55004、《木结构通用规范》GB 55005、《钢结构通用规范》GB 55006、《砌体结构通用规范》GB 55007、《混凝土结构通用规范》GB 55008、《燃气工程项目规范》GB 55009、《供热工程项目规范》GB 55010、《建筑抗震设计规范》GB 50011、《建筑环境通用规范》GB 55016、《建筑给水排水与节水通用规范》GB 55020、《民用建筑通用规范》GB 55031、《建筑防火通用规范》GB 55037等的规定。</w:t>
      </w:r>
    </w:p>
    <w:p w14:paraId="2258D61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w:t>
      </w:r>
    </w:p>
    <w:p w14:paraId="76CE7E15">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43" w:name="_Toc30956"/>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4.2 评分项</w:t>
      </w:r>
      <w:bookmarkEnd w:id="143"/>
    </w:p>
    <w:p w14:paraId="4D39C19D">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44" w:name="_Toc25510"/>
      <w:r>
        <w:rPr>
          <w:rFonts w:hint="default" w:ascii="Times New Roman" w:hAnsi="Times New Roman" w:cs="Times New Roman"/>
          <w:color w:val="000000" w:themeColor="text1"/>
          <w:sz w:val="24"/>
          <w:szCs w:val="24"/>
          <w:u w:val="none"/>
          <w:lang w:eastAsia="zh-CN"/>
          <w14:textFill>
            <w14:solidFill>
              <w14:schemeClr w14:val="tx1"/>
            </w14:solidFill>
          </w14:textFill>
        </w:rPr>
        <w:t>Ⅰ</w:t>
      </w:r>
      <w:r>
        <w:rPr>
          <w:rFonts w:hint="default" w:ascii="Times New Roman" w:hAnsi="Times New Roman" w:cs="Times New Roman"/>
          <w:color w:val="000000" w:themeColor="text1"/>
          <w:sz w:val="24"/>
          <w:szCs w:val="24"/>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none"/>
          <w:lang w:eastAsia="zh-CN"/>
          <w14:textFill>
            <w14:solidFill>
              <w14:schemeClr w14:val="tx1"/>
            </w14:solidFill>
          </w14:textFill>
        </w:rPr>
        <w:t>安全</w:t>
      </w:r>
      <w:bookmarkEnd w:id="144"/>
    </w:p>
    <w:p w14:paraId="6138942E">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4.2.1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61822B9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采用基于性能的抗震设计并适当提高建筑的抗震性能目标使整体结构具有足够的牢固性及抗震冗余度。实际操作时，在确保建筑结构满足</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小震不坏、中震可修、大震不倒</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基本性能要求的前提下，对项目结构进行抗震性能化分析，对应现行国家标准建筑抗震设计规范》GB 50011，可以考虑对整体结构、局部结构或者关键结构构件及节点按更高的抗震性能目标进行设计，或者采取措施减少地震作用，如采用隔震、消能减震设计等。</w:t>
      </w:r>
    </w:p>
    <w:p w14:paraId="3C95EE5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本条的评价方法为：预评价查阅相关设计文件、结构计算文件、项目抗震安全分析报告、隔震减震设计及设备参数要求；评价除查阅预评价相关内容外，再增加隔震减震设备检测验证报告。</w:t>
      </w:r>
    </w:p>
    <w:p w14:paraId="5CFF0A4C">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4.2.2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65EE066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阳台、外窗、窗台、防护栏杆等强化防坠设计有利于降低坠物伤人风险，阳台外窗采用高窗设计、限制窗扇开启角度、窗台与绿化种植整合设计、适度减少防护栏杆垂直杆件水平净距、安装隐形防盗网等措施，防止物品坠落伤人。此外，外窗的安全防护可与纱窗等相结合，既可以防坠物伤人，还可以防蚊防盗，其中可量化的提高幅度达到10%及以上即可得分。</w:t>
      </w:r>
    </w:p>
    <w:p w14:paraId="6721AEB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3款，外墙饰面、外墙粉刷及保温层等掉落伤人的现象在诸多城市都有发生，甚至尚未住人的新建小区也出现瓷砖大面积掉落现象。在建筑间距和通路设计时，除了考虑消防，采光、通风、日照间距等，还需考虑采取避免坠物伤人的措施由于建筑物外墙钢筋混凝土、填充墙体、水泥砂浆、外贴保温外墙饰面层及门窗等的热胀冷缩系数不同，建筑设计时虽然采取设墙面变形缝的措施，但受环境温度、湿度及施工质量的影响各种材料会发生不同程度的变形，材料连接界面破坏，出现外墙空鼓，最后导致坠落，影响人民生命与财产安全。因此，要求建筑物出人口均设外墙饰面、门窗玻璃意外脱落的防护措施，并与人员通行区域的遮阳、遮风或挡雨措施结合，同时采取建立护栏、缓冲区、隔离带等安全措施，消除安全隐患。</w:t>
      </w:r>
    </w:p>
    <w:p w14:paraId="51DF0BC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本条的评价方法为：预评价查阅相关设计文件等；评价查阅相关竣工图。</w:t>
      </w:r>
    </w:p>
    <w:p w14:paraId="0665E514">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4.2.3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01EFC0D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第1款，参考国家现行标准《建筑用安全玻璃》GB 15763《建筑玻璃应用技术规程》JGI 113的有关规定以及《建筑安全玻璃管理规定》对建筑用安全玻璃使用的建议，人体撞击建筑中的玻璃制品并受到伤害的主要原因是缺少足够的安全防护。为了尽量减少建筑用玻璃制品在受到冲击时对人体造成划伤、割伤等，在建筑中使用玻璃制品时需尽可能地采取下列措施:</w:t>
      </w:r>
    </w:p>
    <w:p w14:paraId="6B919DC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1</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选择安全玻璃制品时，充分考虑玻璃的种类、结构厚度、尺寸，尤其是合理选择安全玻璃制品霰弹袋冲击试验的冲击历程和冲击高度级别等；</w:t>
      </w:r>
    </w:p>
    <w:p w14:paraId="1BD3B69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2</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对关键场所的安全玻璃制品采取必要的其他防护措施；</w:t>
      </w:r>
    </w:p>
    <w:p w14:paraId="3CD583F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3</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关键场所的安全玻璃制品设置容易识别的标识。</w:t>
      </w:r>
    </w:p>
    <w:p w14:paraId="3AF41A0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本款所述包括分隔建筑室内外的玻璃门窗、幕墙、防护栏杆等采用安全玻璃，室内玻璃隔断、玻璃护栏等采用夹胶钢化玻璃以防止自爆伤人。</w:t>
      </w:r>
    </w:p>
    <w:p w14:paraId="5A66685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主要是对玻璃门窗，对于人流量大、门窗开合频繁的公共区域，采用可调力度的闭门器或具有缓冲功能的延时闭门器等，防止夹人伤人事故的发生。主要部位包括但不限于电梯门、大堂入口门、旋转门、推拉门窗等。</w:t>
      </w:r>
    </w:p>
    <w:p w14:paraId="0094753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预评价查阅相关设计文件等；评价查阅相关竣工图、安全玻璃及门窗检测检验报告。</w:t>
      </w:r>
    </w:p>
    <w:p w14:paraId="2CBAA51E">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4.2.4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730567D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建筑防滑地面工程对于保证人身安全至关重要。光亮、光滑的室内地面，因雨雪天气造成的室外湿滑地面和浴室、厕所等湿滑地面极易导致伤害事故。按现行行业标准《建筑地面工程防滑技术规程》JGJ/T 331的规定，A、B、C、D分别表示潮湿地面防滑安全程度为高级、中高级、中级、低级，A、B、C、D分别表示干态地面防滑安全程度为高级、中高级、中级、低级。防滑等级与干湿分区及工程部位有关，行业标准《建筑地面工程防滑技术规程》JGJ/T 331中</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表3.0.3-1室外及室内潮湿地面湿态防滑值</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与</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表3.0.3-2室内干态地面静摩擦系数</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，明确了 A、B、C、D与防滑值BPN，A、B、C、D与COF静摩擦系数等量化对应关系及检测方法；在验收章节中，规定了地面防滑工程检验批等划分方法。特别明确陶瓷砖按国家标准《陶瓷砖》GB/T 4100检测标准检测的防滑系数不小于0.5，并不代表满足本条的相关规定。</w:t>
      </w:r>
    </w:p>
    <w:p w14:paraId="50A225C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第3款中</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按水平地面等级提高一级，并采用防滑条等防滑构造技术措施</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是指建筑坡道、楼梯踏步采用满足本条第1款水平地面防滑等级要求的饰面层，并在楼梯踏步饰面层上设防渭条、坡道饰面层上刻防滑痕等构造技术处理措施，视同提高一级。</w:t>
      </w:r>
    </w:p>
    <w:p w14:paraId="47B0369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本条的评价方法为：预评价查阅相关设计文件；评价查阅相关竣工图、地面防滑有关测试报告。</w:t>
      </w:r>
    </w:p>
    <w:p w14:paraId="46AD2751">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4.2.5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2DE9BC8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随着城镇汽车保有量大幅提升，交通压力与日俱增。建筑场地内的交通状况直接关系着使用者的人身安全。人车分流将行人和机动车完全分离开，互不干扰，可避免人车争路的情况，充分保障行人尤其是老人和儿童的安全。提供完善的人行道路网络可鼓励公众步行，也是建立以行人为本的城市的先决条件。</w:t>
      </w:r>
    </w:p>
    <w:p w14:paraId="38A17AC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步行和自行车交通系统如果照明不足，往往会导致人们产生不安全感，特别是在空旷或比较空旷的公共区域。充足的照明可以消除不安全感，对降低犯罪率，防止发生交通事故，提高夜间行人的安全性有重要作用。</w:t>
      </w:r>
    </w:p>
    <w:p w14:paraId="6B8B6EE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夜间行人的不安全感和实际存在的危险与道路等行人设施的照度水平和照明质量密切相关。步行和自行车交通系统照明应以路面平均水平照度最低值、最小水平和垂直照度、最小半柱面照度为评价指标，其照度值应不低于现行强制性工程建设规范《建筑环境通用规范》GB 55016 对健身步道的照度要求。</w:t>
      </w:r>
    </w:p>
    <w:p w14:paraId="62EEC32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本条的评价方法为：预评价查阅照明设计文件、人车分流专项设计文件；评价查阅相关竣工图、照度检测报告。</w:t>
      </w:r>
    </w:p>
    <w:p w14:paraId="64859CFE">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45" w:name="_Toc13751"/>
      <w:r>
        <w:rPr>
          <w:rFonts w:hint="default" w:ascii="Times New Roman" w:hAnsi="Times New Roman" w:cs="Times New Roman"/>
          <w:color w:val="000000" w:themeColor="text1"/>
          <w:sz w:val="24"/>
          <w:szCs w:val="24"/>
          <w:u w:val="none"/>
          <w:lang w:eastAsia="zh-CN"/>
          <w14:textFill>
            <w14:solidFill>
              <w14:schemeClr w14:val="tx1"/>
            </w14:solidFill>
          </w14:textFill>
        </w:rPr>
        <w:t>Ⅱ 耐久</w:t>
      </w:r>
      <w:bookmarkEnd w:id="145"/>
    </w:p>
    <w:p w14:paraId="4619ED03">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4.2.6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57DDC37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第1款，随着社会和技术的进步，以及人们对建筑的需求不断提升，若建筑不能满足使用需求的变化，很大可能将以被改造或拆除告终，成为</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短命</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建筑。本款旨在鼓励采取措施提升建筑适变性，有利于使用空间功能转换和改造再利用，避免建筑</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短命</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适变性包括建筑的适应性和可变性。适应性是指使用功能和空间的变化潜力，可变性是指结构和空间上的形态变化。通过利用建筑空间和结构潜力，使建筑空间和功能适应使用者需求的变化，在适应当前需求的同时，使建筑具有更大的弹性以应对变化，以此获得更长的使用寿命。如采用大开间和进深结构方案、灵活布置内隔墙等措施提升建筑适变性，减少室内空间重新布置时对建筑构件的破坏，延长建筑使用寿命。</w:t>
      </w:r>
    </w:p>
    <w:p w14:paraId="79AEED7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第2款，根据现行行业标准《装配式住宅建筑设计标准》JGJ/T 398的规定，管线分离是指建筑结构体中不埋设设备及管线，将设备及管线与建筑结构体相分离的方式。管线与结构、墙体的寿命不同，给建筑全寿命期的使用和维护带来了很大的困难。建筑结构与设备管线分离设计，可有利于建筑的长寿化。建筑结构不仅仅指建筑主体结构，还包括外围护结构和公共管井等可保持长久不变的部分。建筑结构与设备管线分离设计便于设备管线维护更新，可保证建筑能够较为便捷地进行管线改造与更换，从而达到延长建筑使用寿命目的。装配式建筑采用 SI体系即支撑体S</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Skeleton</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和填充体I</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Infill</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相分离的建筑体系可认为实现了建筑主体结构与建筑设备管线分离。</w:t>
      </w:r>
    </w:p>
    <w:p w14:paraId="581B976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指能够与第1款中建筑功能或空间变化相适应的设备设施布置方式或控制方式，既能够提升室内空间的弹性利用，也能够提高建筑使用时的灵活度。比如家具、电器与隔墙相结合，满足不同分隔空间的使用需求；或采用智能控制手段，实现设备设施的升降、移动、隐藏等功能，满足某一空间的多样化使用需求；还可以采用可拆分构件或模块化布置方式，实现同一构件在不同需求下的功能互换，或同一构件在不同空间的功能复制。</w:t>
      </w:r>
    </w:p>
    <w:p w14:paraId="0BE54D9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预评价查阅相关设计文件、建筑适变性提升措施的设计说明；评价阶段查阅相关竣工图、建筑适变性提升措施的设计说明。</w:t>
      </w:r>
    </w:p>
    <w:p w14:paraId="791CA94A">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4.2.7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2311600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第1款，管材、管线、管件指建筑常用的各类水管、线缆等。室内给水系统应采用性能优异的铜管、不锈钢管或塑料管等，其耐久性能应优于强制性工程建设规范《建筑给水排水与节水通用规范》GB 55020的第3.4.2条和第4.1.1条的要求；电气系统应采用低烟低毒阻燃型线缆、矿物绝缘类不燃性电缆、耐火电缆等且导体材料采用铜芯；室外设备、管道及支架走道等设施应采取防腐耐老化措施。选用的管材、管线、管件均应优于国家现行相关标准规范规定的参数要求。</w:t>
      </w:r>
    </w:p>
    <w:p w14:paraId="5942502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活动配件指建筑的各种五金配件、管道阀门、开关龙头等，选用长寿命的优质产品，当不同使用寿命的部品组合时，采用便于分别拆换、更新和升级的构造，为维护、更换操作提供方便条件。门窗、钢质户门、遮阳、水嘴、阀门等典型活动配件应符合相应绿色建材标准中相关耐久性指标的要求。没有相应标准的，可选用同类寿命较好产品。部分常见的耐腐蚀、抗老化、耐久性能好的部件部品及要求见表 1。</w:t>
      </w:r>
    </w:p>
    <w:p w14:paraId="4FF71328">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表1</w:t>
      </w:r>
      <w:r>
        <w:rPr>
          <w:rFonts w:hint="default" w:ascii="Times New Roman" w:hAnsi="Times New Roman" w:cs="Times New Roman"/>
          <w:b/>
          <w:color w:val="000000" w:themeColor="text1"/>
          <w:spacing w:val="-7"/>
          <w:szCs w:val="21"/>
          <w:u w:val="none"/>
          <w:lang w:val="en-US" w:eastAsia="zh-CN"/>
          <w14:textFill>
            <w14:solidFill>
              <w14:schemeClr w14:val="tx1"/>
            </w14:solidFill>
          </w14:textFill>
        </w:rPr>
        <w:t xml:space="preserve">  </w:t>
      </w:r>
      <w:r>
        <w:rPr>
          <w:rFonts w:hint="default" w:ascii="Times New Roman" w:hAnsi="Times New Roman" w:cs="Times New Roman"/>
          <w:b/>
          <w:color w:val="000000" w:themeColor="text1"/>
          <w:spacing w:val="-7"/>
          <w:szCs w:val="21"/>
          <w:u w:val="none"/>
          <w14:textFill>
            <w14:solidFill>
              <w14:schemeClr w14:val="tx1"/>
            </w14:solidFill>
          </w14:textFill>
        </w:rPr>
        <w:t>部分常见的耐腐蚀、抗老化、耐久性能好的部品部件及要求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1"/>
        <w:gridCol w:w="5651"/>
      </w:tblGrid>
      <w:tr w14:paraId="0D13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1F2565F">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常见类型</w:t>
            </w:r>
          </w:p>
        </w:tc>
        <w:tc>
          <w:tcPr>
            <w:tcW w:w="5868" w:type="dxa"/>
          </w:tcPr>
          <w:p w14:paraId="7C448E23">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耐久性要求</w:t>
            </w:r>
          </w:p>
        </w:tc>
      </w:tr>
      <w:tr w14:paraId="3C41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BDA0413">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门窗</w:t>
            </w:r>
          </w:p>
        </w:tc>
        <w:tc>
          <w:tcPr>
            <w:tcW w:w="5868" w:type="dxa"/>
          </w:tcPr>
          <w:p w14:paraId="752F9652">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产品反复启闭性能达到相应绿色建材标准要求</w:t>
            </w:r>
          </w:p>
        </w:tc>
      </w:tr>
      <w:tr w14:paraId="58BB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3CA16FA5">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钢质户门</w:t>
            </w:r>
          </w:p>
        </w:tc>
        <w:tc>
          <w:tcPr>
            <w:tcW w:w="5868" w:type="dxa"/>
          </w:tcPr>
          <w:p w14:paraId="0B3F3CB9">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产品反复启闭性能达到相应绿色建材标准要求</w:t>
            </w:r>
          </w:p>
        </w:tc>
      </w:tr>
      <w:tr w14:paraId="321F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5F37972">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遮阳</w:t>
            </w:r>
          </w:p>
        </w:tc>
        <w:tc>
          <w:tcPr>
            <w:tcW w:w="5868" w:type="dxa"/>
          </w:tcPr>
          <w:p w14:paraId="64A979AD">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产品机械耐久性达到相应绿色建材标准要求</w:t>
            </w:r>
          </w:p>
        </w:tc>
      </w:tr>
      <w:tr w14:paraId="2864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76AC682">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水嘴</w:t>
            </w:r>
          </w:p>
        </w:tc>
        <w:tc>
          <w:tcPr>
            <w:tcW w:w="5868" w:type="dxa"/>
          </w:tcPr>
          <w:p w14:paraId="5408EF4E">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产品寿命达到相应绿色建材标准要求</w:t>
            </w:r>
          </w:p>
        </w:tc>
      </w:tr>
      <w:tr w14:paraId="6149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D0DDE17">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阀门</w:t>
            </w:r>
          </w:p>
        </w:tc>
        <w:tc>
          <w:tcPr>
            <w:tcW w:w="5868" w:type="dxa"/>
          </w:tcPr>
          <w:p w14:paraId="034CDD43">
            <w:pPr>
              <w:spacing w:line="360" w:lineRule="auto"/>
              <w:jc w:val="center"/>
              <w:rPr>
                <w:rFonts w:hint="default" w:ascii="Times New Roman" w:hAnsi="Times New Roman" w:eastAsia="宋体" w:cs="Times New Roman"/>
                <w:color w:val="000000" w:themeColor="text1"/>
                <w:spacing w:val="-1"/>
                <w:szCs w:val="21"/>
                <w:u w:val="none"/>
                <w14:textFill>
                  <w14:solidFill>
                    <w14:schemeClr w14:val="tx1"/>
                  </w14:solidFill>
                </w14:textFill>
              </w:rPr>
            </w:pPr>
            <w:r>
              <w:rPr>
                <w:rFonts w:hint="default" w:ascii="Times New Roman" w:hAnsi="Times New Roman" w:eastAsia="宋体" w:cs="Times New Roman"/>
                <w:color w:val="000000" w:themeColor="text1"/>
                <w:spacing w:val="-1"/>
                <w:szCs w:val="21"/>
                <w:u w:val="none"/>
                <w14:textFill>
                  <w14:solidFill>
                    <w14:schemeClr w14:val="tx1"/>
                  </w14:solidFill>
                </w14:textFill>
              </w:rPr>
              <w:t>产品寿命达到相应绿色建材标准要求</w:t>
            </w:r>
          </w:p>
        </w:tc>
      </w:tr>
    </w:tbl>
    <w:p w14:paraId="1A3B490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预评价查阅相关设计文件、产品设计要求；评价查阅相关竣工图、产品说明书或检测报告。</w:t>
      </w:r>
    </w:p>
    <w:p w14:paraId="3CAD4F6D">
      <w:pPr>
        <w:spacing w:line="360" w:lineRule="auto"/>
        <w:rPr>
          <w:rFonts w:hint="default" w:ascii="Times New Roman" w:hAnsi="Times New Roman" w:eastAsia="宋体" w:cs="Times New Roman"/>
          <w:spacing w:val="-7"/>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4.2.8  </w:t>
      </w:r>
      <w:r>
        <w:rPr>
          <w:rFonts w:hint="default" w:ascii="Times New Roman" w:hAnsi="Times New Roman" w:eastAsia="宋体" w:cs="Times New Roman"/>
          <w:spacing w:val="-7"/>
          <w:sz w:val="24"/>
          <w:szCs w:val="24"/>
          <w:u w:val="none"/>
        </w:rPr>
        <w:t xml:space="preserve"> 本条适用于各类民用建筑的预评价、评价。</w:t>
      </w:r>
    </w:p>
    <w:p w14:paraId="7F508B7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绿色建筑项目在设计时尽可能多地使用耐久性好的结构材料，以提升建筑使用年限。</w:t>
      </w:r>
    </w:p>
    <w:p w14:paraId="644A652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第1款，按100年进行耐久性设计，可在造价提高有限的情况下提高结构综合性能，减少后期检测维修工程量。对于混凝土构件，按照现行国家标准《混凝土结构耐久性设计标准》GB/T 50476要求，结合所处的环境类别、环境作用等级，按对应设计工作年限100年的相应要求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钢筋保护层、混凝土强度等级、最大水胶比等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进行混凝土结构设计和材料选用，可得分。对于钢构件、木构件，可相应采取比现行规范标准更严格的防护措施，如适当提高防护厚度、提高防护时间等，满足设计工作年限100年的要求，可得分。</w:t>
      </w:r>
    </w:p>
    <w:p w14:paraId="23BB429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第1项，高耐久混凝土是具有高强度、高耐久性、高稳定性、低渗透性的混凝土，其抗压强度在80MPa以上，抗渗性能指标达到0.1mm/min以下，耐久性能指标达到50年以上设计需要结合项目情况，提出各项性能指标的合理要求及对应的检测与试验参数要求。针对混凝土结构，混凝土保护层对钢筋具有保护作用。但混凝土碳化会降低混凝土的碱度，破坏钢筋表面的钝化膜，使混凝土失去对钢筋的保护作用，给混凝土中钢筋锈蚀到来不利影响；且混凝土表面碳化随着时间的延长，其碳化深度也会逐渐加深。因此混凝土保护层厚度对混凝土结构的耐久性有很大影响。提高混凝土结构构件的保护层厚度，可有效提高混凝土结构的耐久性；本款要求，按现行国家标准《混凝土结构设计规范》GB 50010对应混凝土构件的混凝土保护层厚度均提高5mm即可得分。</w:t>
      </w:r>
    </w:p>
    <w:p w14:paraId="565ACBA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第2款第2项，耐候结构钢是指符合现行国家标准《耐候结构钢》GB/T 4171要求的钢材；耐候型防腐涂料是指符合现行行业标准《建筑用钢结构防腐涂料》JG/T224的Ⅱ型面漆和长效型底漆，当采用耐候型防护涂料体系时，应符合现行国家标准《色漆和清漆 防护涂料体系对钢结构的防腐蚀保护第5部分防护涂料体系》GB/T 30790.5的相关要求。对于结构建筑采用耐候钢或耐候型防腐涂料即可得分。</w:t>
      </w:r>
    </w:p>
    <w:p w14:paraId="43E3F0E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第2款第3项，根据国家标准《多高层木结构建筑技术标准》GB/T 51226，多高层木结构建筑采用的结构木材可分为方木、原木、规格材、层板胶合木、正交胶合木、结构复合木材、木基结构板材以及其他结构用锯材，其材质等级应符合现行国家标准《木结构设计标准》GB 50005的有关规定。所有在室外使用，或与土壤直接接触的木构件，应采用防腐木材。在不直接接触土壤的情况下，可采用其他耐久木材或耐久木制品。</w:t>
      </w:r>
    </w:p>
    <w:p w14:paraId="26AC92B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对于混合结构建筑，如单体建筑结构中既有混凝土结构，也有钢结构，甚至还有木结构，其对应第2款中各项均满足才能等分否则不得分；但型钢混凝土结构</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混凝土包钢</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满足第1项即可等分；钢管混凝土结构</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钢包混凝土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满足第2项即可得分。</w:t>
      </w:r>
    </w:p>
    <w:p w14:paraId="5B9D12C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预评价查阅相关设计文件；评价查阅相关竣工图、材料用量计算书、材料见证送检报告、材料用量清单。</w:t>
      </w:r>
    </w:p>
    <w:p w14:paraId="6BE431F8">
      <w:pPr>
        <w:spacing w:line="360" w:lineRule="auto"/>
        <w:rPr>
          <w:rFonts w:hint="default" w:ascii="Times New Roman" w:hAnsi="Times New Roman" w:eastAsia="宋体" w:cs="Times New Roman"/>
          <w:spacing w:val="-7"/>
          <w:sz w:val="24"/>
          <w:szCs w:val="24"/>
          <w:u w:val="none"/>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4.2.9  </w:t>
      </w:r>
      <w:r>
        <w:rPr>
          <w:rFonts w:hint="default" w:ascii="Times New Roman" w:hAnsi="Times New Roman" w:eastAsia="宋体" w:cs="Times New Roman"/>
          <w:spacing w:val="-7"/>
          <w:sz w:val="24"/>
          <w:szCs w:val="24"/>
          <w:u w:val="none"/>
        </w:rPr>
        <w:t>本条适用于各类民用建筑的预评价、评价。</w:t>
      </w:r>
    </w:p>
    <w:p w14:paraId="063DDE1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了保持建筑物的风格、视觉效果和人居环境，装饰装修材料在一定使用年限后会进行更新替换。如果使用易沾污、难维护及耐久性差的装饰装修材料或做法，则会在一定程度上增加建筑物的维护成本，且施工也会带来有毒有害物质的排放、粉尘及噪音等问题。</w:t>
      </w:r>
    </w:p>
    <w:p w14:paraId="44CDF7C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采用的外饰面材料</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如金属复合装饰材料、外墙涂料等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防水和密封材料（如防水卷材、防水涂料、密封胶等）、室内装饰装修材料（如陶瓷砖、内墙涂料、地坪涂料、集成墙面、吊顶系统等）应符合相应绿色建材标准耐久性指标的要求。</w:t>
      </w:r>
    </w:p>
    <w:p w14:paraId="44F13B5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采用清水混凝土可减少装饰装修材料用量，减轻建筑自重是一种提升装饰装修耐久性的措施，因此在本条中鼓励项目结合实际情况合理使用清水混凝土，既可用于建筑外立面，也可用于室内装饰装修。</w:t>
      </w:r>
    </w:p>
    <w:p w14:paraId="0706684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本条的评价方法为：预评价查阅相关设计文件；评价查阅装饰装修竣工图、材料用量清单、材料检测报告及有关耐久性证明材料。</w:t>
      </w:r>
    </w:p>
    <w:p w14:paraId="304B3AC5">
      <w:pPr>
        <w:spacing w:line="360" w:lineRule="auto"/>
        <w:ind w:firstLine="452" w:firstLineChars="200"/>
        <w:rPr>
          <w:rFonts w:hint="default" w:ascii="Times New Roman" w:hAnsi="Times New Roman" w:eastAsia="宋体" w:cs="Times New Roman"/>
          <w:spacing w:val="-7"/>
          <w:sz w:val="24"/>
          <w:szCs w:val="24"/>
          <w:u w:val="none"/>
        </w:rPr>
      </w:pPr>
      <w:r>
        <w:rPr>
          <w:rFonts w:hint="default" w:ascii="Times New Roman" w:hAnsi="Times New Roman" w:eastAsia="宋体" w:cs="Times New Roman"/>
          <w:spacing w:val="-7"/>
          <w:sz w:val="24"/>
          <w:szCs w:val="24"/>
          <w:u w:val="none"/>
        </w:rPr>
        <w:br w:type="page"/>
      </w:r>
    </w:p>
    <w:p w14:paraId="4486C3AF">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46" w:name="_Toc204247749"/>
      <w:bookmarkStart w:id="147" w:name="_Toc16251"/>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5 健康舒适</w:t>
      </w:r>
      <w:bookmarkEnd w:id="146"/>
      <w:bookmarkEnd w:id="147"/>
    </w:p>
    <w:p w14:paraId="38C67199">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48" w:name="_Toc204247750"/>
      <w:bookmarkStart w:id="149" w:name="_Toc15932"/>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5.1 控制项</w:t>
      </w:r>
      <w:bookmarkEnd w:id="148"/>
      <w:bookmarkEnd w:id="149"/>
    </w:p>
    <w:p w14:paraId="6F7F4433">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5.1.1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2B5912E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预评价时，对于全装修建筑项目，可仅对室内空气中的甲醛、苯、总挥发性有机物进行浓度预评估；对于非全装修建筑项目，本条不参评。评价时，对于全装修建筑项目，应按本条要求执行；对于非全装修建筑项，符合现行强制性工程建设规范《建筑环境通用规范》GB 55016 及《民用建筑工程室内环境污染控制标准》GB 50325-2020的有关规定，视为本条达标。</w:t>
      </w:r>
    </w:p>
    <w:p w14:paraId="33473F3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建筑室内空气中的氨、甲醛、苯、总挥发性有机物、氡等污染物以及吸烟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包括二手烟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对人体的危害已得到普遍认识，建 筑内污染物浓度控制及禁烟控制，是实现绿色建筑的基本要求。</w:t>
      </w:r>
    </w:p>
    <w:p w14:paraId="18A9BC2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在项目实施过程中，即使所使用的装修材料、家具制品均满足各自污染物限量控制标准要求，但装修后多种类或大量材料制 品的叠加使用，仍可能造成室内空气污染物浓度超标，控制空气中各类污染物的浓度指标是保障建筑使用者健康的基本前提。项目在设计时即应采取措施，对室内空气污染物浓度进行预评估，预测工程建成后室内空气污染物的浓度情况，指导建筑材料的选用和优化。</w:t>
      </w:r>
    </w:p>
    <w:p w14:paraId="0F4B578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吸烟及二手烟对人健康同样会造成较大的危害，因此本条规定建筑室内和建筑主出入口处禁止吸烟，并设置禁烟标志。本条所述的建筑室内，主要指的是公共建筑室内和住宅建筑内的公共区域。</w:t>
      </w:r>
    </w:p>
    <w:p w14:paraId="22CA5BD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预评价时，应综合考虑建筑情况、室内装修设计方案、装修材料的种类和使用量、室内新风量、环境温度等诸多影响因素，以各种装修材料、家具制品主要污染物的释放特征</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如释放速率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为基础，以</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总量控制</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为原则。依据装修设计方案，选择典型功能房间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卧室、客厅、办公室等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使用的主要建材</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3种～5种</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及固定家具制品，对室内空气中甲醛、苯、总挥发性有机物的浓度水平进行预评估。其中建材污染物释放特性参数及评估计算方法可参考现行行业标准《住宅建筑室内装修污染控制技术标准》JGJ/T 436 和《公共建筑室内空气质量控制设计标准》JGJ/T 461的相关规定。</w:t>
      </w:r>
    </w:p>
    <w:p w14:paraId="3481C4C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评价时，应选取每栋单体建筑中具有代表性的典型房间进行采样检测，采样和检验方法应符合现行国家标准《室内空气质量标准》GB/T 18883的相关规定，采样的房间数量不少于房间总数的5%</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且每个单体建筑不少于3间。对于有特殊要求的房间如幼儿园、学校教室、老人照料房屋，如国家现行标准有更高要求，参照高要求执行。</w:t>
      </w:r>
    </w:p>
    <w:p w14:paraId="5056A30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本条的评价方法为：预评价查阅相关设计文件、相关说明文件（装修材料种类、用量，禁止吸烟措施）、预评估分析报告；评价查阅相关竣工图、相关说明文件（装修材料种类、用量，禁止吸烟措施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、预评估分析报告，投入使用的项目尚应查阅室内  空气质量检测报告、禁烟标志。</w:t>
      </w:r>
    </w:p>
    <w:p w14:paraId="50D4B850">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5.1.2</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1FCC25F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为避免厨房、餐厅、打印复印室、卫生间、地下车库等区域的空气和污染物串通到室内其他空间，为此要保证合理的气流组织，采取合理的排风措施避免污染物扩散，将厨房和卫生间设置于建筑单元（或户型）自然通风的负压侧，防止厨房或卫生间的气味进入室内而影响室内空气质量。同时，可以对不同功能房间 保证一定压差，避免气味或污染物串通到室内其他空间。如设置 机械排风，应保证负压，还应注意其取风口和排风口的位置，避免短路或污染。地下车库的排风口应做消声处理，并布置在主导风的下风向，与所有建筑的出入口、新风进气口和可开启扇的距离不少于10m。当排风口与人员活动场所的距离小于10m时，朝向人员活动场所的排风口底部距人员活动地坪的高度不应小于2.5m。 </w:t>
      </w:r>
    </w:p>
    <w:p w14:paraId="0A33765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厨房和卫生间的排气倒灌，对室内空气品质影响巨大，因此本条对避免厨房和卫生间排气倒灌进行了规定。厨房和卫生间的排气道设计应符合现行国家标准《住宅设计规范》 GB 50096、《住宅建筑规范》GB 50368、《建筑设计防火规范》GB 50016、《民用建筑设计通则》GB 50352 等的有关规定。排气道的断面、形状、尺寸和内壁应有利于排烟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气</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通畅，防止产生阻滞、涡流、串烟、漏气和倒灌等现象。其他措施还包括安装止回排气阀、防倒灌风帽等。止回排气阀的各零件部品表面应平整，不应有裂缝、压坑及明显的凹凸、锤痕、毛刺、孔洞等缺陷。</w:t>
      </w:r>
    </w:p>
    <w:p w14:paraId="26B7E8B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除地下车库以外的室内污染源空间，在具备条件时应采取隔断措施，形成污染源封闭空间。对于未进行土建和装修一体化施工的项目，应预留排风设备安装条件。</w:t>
      </w:r>
    </w:p>
    <w:p w14:paraId="5DA6880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本条的评价方法为：预评价查阅相关设计文件、气流组织模拟分析报告；评价查阅相关竣工图、气流组织模拟分析报告、相关产品性能检测报告或质量合格证书。</w:t>
      </w:r>
    </w:p>
    <w:p w14:paraId="27DFB51A">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5.1.3 </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2935A4C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在生活饮用水水质符合现行国家标准《生活饮用水卫生标准》GB 5749规定的前提下，若建筑未设置生活饮用水储水设施，本条第1款直接通过。</w:t>
      </w:r>
    </w:p>
    <w:p w14:paraId="38CFC02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符合健康要求的建筑给排水系统，是建筑健康安全的重要保障。</w:t>
      </w:r>
    </w:p>
    <w:p w14:paraId="0B94E72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现行国家标准《生活饮用水卫生标准》GB5749规定了生活饮用水水质要求、生活饮用水水源水质要求、集中式供水单位卫生要求、二次供水卫生要求、涉及生活饮用水卫生安全的产品卫生要求、水质检验方法。生活饮用水水质指标包括微生物指标毒理指标、感官性状和一般化学指标、放射性指标、消毒剂指标，而这些指标又分为常规指标和扩展规指标。常规指标指能反映生活饮用水水质基本状况的指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扩展指反映地区生活饮用水水质特征及在一定时间内或特殊情况下水质状况的指标。能够提供符合卫生要求的生活饮用水是绿色建筑的基本前提之一。建筑生活饮用水用水点出水水质的常规指标应符合现行国家标准《生活饮用水卫生标准》GB 5749的规定。</w:t>
      </w:r>
      <w:bookmarkStart w:id="150" w:name="OLE_LINK43"/>
      <w:bookmarkStart w:id="151" w:name="OLE_LINK42"/>
    </w:p>
    <w:bookmarkEnd w:id="150"/>
    <w:bookmarkEnd w:id="151"/>
    <w:p w14:paraId="48FA5CA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现行国家标准《二次供水设施卫生规范》GB17051规定了建筑生活饮用水二次供水设施的卫生要求和水质卫生要求。主要涉及二次供水设施的设计、生产、安装使用、维护和管理的卫生要求。生活饮用水储水设施包括生活饮用水供水系统储水设施、集中生活热水储水设施、储有生活用水的消防储水设施、 冷却用水储水设施、游泳池及水景平衡水箱</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池</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等。储水设施清洗后应进行水质检测，水质合格后方可恢复供水。</w:t>
      </w:r>
    </w:p>
    <w:p w14:paraId="4D7663B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bookmarkStart w:id="152" w:name="bookmark109"/>
      <w:bookmarkEnd w:id="152"/>
      <w:bookmarkStart w:id="153" w:name="bookmark110"/>
      <w:bookmarkEnd w:id="153"/>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第3款，水封装置是建筑排水管道系统中用以实现水封功能的装置。便器构造内自带水封，能够在保证污废水顺利排出的前 提下，最大限度地防止排水系统中的有害气体逸入室内，避免室内环境受到污染，有效保护人体健康。便器构造内自带水封时， 有效水封深度不得小于50mm</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且不能采用活动机械密封替代水封。现行国家标准《二次供水设施卫生规范》GB17051规定了建筑生活饮用水二次供水设施的卫生要求和水质卫生要求。主要涉及二次供水设施的设计、生产、安装使用、维护和管理的卫生要求。</w:t>
      </w:r>
    </w:p>
    <w:p w14:paraId="6B06FA9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4款，要求对非传统水源的管道和设备设置明确、清晰的永久标识，可最大限度避免在施工、日常维护或维修时发生误接、误饮、误用的情况，为用户提供健康用水保障。目前建筑行业有关部门仅对管道标记的颜色进行了规定，尚未制定统一的民用建筑管道标识标准图集，标识设置可参考现行国家标准《工业管道的基本识别色、识别符号和安全标识》GB 7231、《建筑给水排水及采暖工程施工质量验收规范》GB 50242中的相关规定。</w:t>
      </w:r>
    </w:p>
    <w:p w14:paraId="53A516E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本条的评价方法为：预评价查阅市政供水的水质检测报告（可用同一水源邻近项目一年以内的水质检测报告）、相关设计文件（含卫生器具和地漏水封要求的说明、标识设置说明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；评价查阅相关竣工图、产品说明、各用水部门水质检测报告、管理制度、工作记录。</w:t>
      </w:r>
    </w:p>
    <w:p w14:paraId="6BA14018">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5.1.4</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w:t>
      </w:r>
    </w:p>
    <w:p w14:paraId="02D4DC9A">
      <w:pPr>
        <w:spacing w:line="360" w:lineRule="auto"/>
        <w:ind w:firstLine="476"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为改善建筑声环境对使用者的健康是非常必要的，建筑的室内声环境控制是项系统工程，既可能受到场地外部噪声源的影响，也可能受到建筑内部设备噪声源和工作生活产生噪声的影响。因此建筑声环境设计应从规划布局和建筑平面降噪设计、室内噪声级控制、提高围护结构隔声能力等各方面进行综合控制，减少噪声对人体健康的影响。</w:t>
      </w:r>
    </w:p>
    <w:p w14:paraId="4BF03FB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规定的是在项目规划布局、建筑分区设计时，应有利于达到良好的声学效果。规划布局时，在噪声源与噪声敏感建筑物之间布置噪声不敏感建筑和景观绿化带、设置隔声屏障等；建筑布局设计时，噪声敏感区域和产生噪声区域分区集中布置，用交通区域和混合区域分割噪声敏感区域和产生噪声区域，均是较好的防噪设计方法，如产生噪声区域直接毗邻噪声敏感区域，则需调整建筑布局设计或提供完整的隔声降噪解决方案。为了实现项目降噪规划设计，在项目规划布局和建筑总平面设计时，应识别噪声源</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如交通干线、换热站等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、噪声敏感建筑物</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如住宅楼、病房楼、客房楼等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、噪声不敏感建筑物</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如食堂、商业建筑</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、降噪措施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如绿化带、隔声屏障</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；应在建筑总平面图中用不同颜色色块进行声学分区标注，噪声源用红色色块标注、噪声不敏感建筑物用黄色色块标注、降噪措施用蓝色色块标注、噪  声敏感建筑物用绿色色块标注。在建筑分区设计时，识别噪声源区域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如设备机房、健身房、厨房等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、噪声敏感区域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如：卧室、病房、客房等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、混合区域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如开放办公区、会议区等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、交通区域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如大堂、中庭、走廊、楼梯等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；在建筑标准层平面图或其他类似图纸中用不同颜色色块进行声学分区标注，产生噪声区域用红色色块标注、混合区域用黄色色块标注、交通区域用蓝  色色块标注、噪声敏感区域用绿色色块标注。</w:t>
      </w:r>
    </w:p>
    <w:p w14:paraId="0637E36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规定的是绿色建筑项目应明确外墙、隔墙、楼板和门窗等主要建筑构件的隔声性能指标，外墙、隔墙和门窗的隔声性能指空气声隔声性能；楼板的隔声性能除了空气声隔声性能之外，还包括撞击声隔声性能。主要建筑构件的隔声性能指标需要通过具体的构造做法来实现，因此本款要求明确主要建筑构件的构造做法。本款作为控制项要求，规定外墙、隔墙、楼板和门窗等主要建筑构件隔声性能指标为在实验室测得的隔声性能指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空气声隔声性能和撞击声隔声性能两种类型。若能提供相应建筑设计图集证明文件或建筑构件实验室隔声性能检测报告等证明文件，无须进行现场隔声性能检测。但是建筑实际隔声效果不仅与设计选型有关系，还与施工工艺等有关，因此在评分项第5.2.7条中，规定的均为现场实测的隔声性能。</w:t>
      </w:r>
    </w:p>
    <w:p w14:paraId="4ED6F5F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本条的评价方法为：预评价查阅建筑总平面声学分区标注图、建筑标准层平面或其他类似图纸声学分区标注图、主要建筑构件隔声性能分析报告、隔声性能实验室检测报告；评价查阅建筑总平面声学分区标注竣工图、建筑标准层平面或其他类似图纸声学分区标注竣工图、主要建筑构件隔声性能分析报告、隔声性能实验室检测报告或现场检测报告。 </w:t>
      </w:r>
    </w:p>
    <w:p w14:paraId="14AB40B5">
      <w:pPr>
        <w:spacing w:line="360" w:lineRule="auto"/>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5.1.5</w:t>
      </w:r>
      <w:r>
        <w:rPr>
          <w:rFonts w:hint="default" w:ascii="Times New Roman" w:hAnsi="Times New Roman" w:eastAsia="宋体" w:cs="Times New Roman"/>
          <w:color w:val="000000" w:themeColor="text1"/>
          <w:spacing w:val="-1"/>
          <w:sz w:val="24"/>
          <w:szCs w:val="24"/>
          <w:u w:val="none"/>
          <w14:textFill>
            <w14:solidFill>
              <w14:schemeClr w14:val="tx1"/>
            </w14:solidFill>
          </w14:textFill>
        </w:rPr>
        <w:t xml:space="preserve">  本条适用于各类民用建筑的预评价、评价。对于未装修的区域，本条不参评。</w:t>
      </w:r>
    </w:p>
    <w:p w14:paraId="1C49D94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室内照明质量是影响室内环境质量的重要因素之一，良好的照明不但有利于提升人们的工作和学习效率，更有利于人们的身心健康，减少各种职业疾病。良好、舒适的照明要求在参考平面上具有适当的照度水平和分布，避免眩光，显色效果良好。</w:t>
      </w:r>
    </w:p>
    <w:p w14:paraId="5ECAEBF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 2 款，频闪效应是除短时可见闪烁外的另一类非可见频闪，频率范围在80Hz以上，可能引起身体不适及头痛，对人体健康有潜在的不良影响。对于儿童及青少年，其视力尚未发育成熟，需要更严格地控制频闪。</w:t>
      </w:r>
    </w:p>
    <w:p w14:paraId="2AE336F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本条的评价方法为：预评价查阅相关设计文件、计算书；评价查阅相关竣工图、计算书、现场检测报告、产品说明书及产品检验报告。</w:t>
      </w:r>
    </w:p>
    <w:p w14:paraId="6EDA6D3B">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5.1.6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1EF2149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建筑应满足室内热环境舒适度的要求。采用集中供暖空调系统的建筑，其房间的温度、湿度、新风量等是室内热环境的重要指标，应满足现行国家标准《民用建筑供暖通风与空气调节设计规范》GB 50736 中的有关规定。对于非集中供暖空调系统的建筑，应有保障室内热环境的措施或预留条件，如分体空调安装条件、预留空调插座等。对于采用多联机的建筑，按照集中供暖空调建筑的要求进行考虑。</w:t>
      </w:r>
    </w:p>
    <w:p w14:paraId="3F3F5FE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bookmarkStart w:id="154" w:name="OLE_LINK60"/>
      <w:bookmarkStart w:id="155" w:name="OLE_LINK26"/>
      <w:bookmarkStart w:id="156" w:name="OLE_LINK25"/>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未设置供暖空调系统的温和地区建筑，应保证室内有良好的自然通风本条视作达标。（居住建筑外窗的通风开口面积应符合节能通用规范要求且每套住宅至少应有一个居住空间通风开口和通风路径的设计满足自然通风要求；公共建筑中主要功能房间的外窗应设置可开启扇并保证可开启面积不应小于外窗面积的40%或通风换气装置）</w:t>
      </w:r>
    </w:p>
    <w:p w14:paraId="216C4D3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温和地区应充分利用当地良好的气候条件，通过优化建筑空间和平面布局，保证外门窗有足够的通风开口面积及合理的通风路径，利用自然通风来消除室内的余热余湿，保障室内热环境要求。</w:t>
      </w:r>
    </w:p>
    <w:p w14:paraId="0B8F602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温和地区集中了全省大部分人口和几乎所有大、中型城市，其气候冬温夏凉，常年温和，传统上属于非采暖空调区，夏季如通风良好则一般无需空调即可达到GB/T18049《中等热环境PMV和PPD指数的测定及热舒适条件的规定》中的热舒适度等级Ⅱ级标准，基本满足室内空气环境的热舒适性要求。现行GB 55015《建筑节能与可再生能源利用通用规范》对于温和地区在建筑热工设计方面，已经极大地提高建筑围护结构保温、隔热性能参数，为改善冬季室内热舒适环境提供了必要的条件。</w:t>
      </w:r>
      <w:bookmarkEnd w:id="154"/>
      <w:bookmarkEnd w:id="155"/>
      <w:bookmarkEnd w:id="156"/>
    </w:p>
    <w:p w14:paraId="28A938B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本条的评价方法为：预评价查阅相关设计文件、套内房间通风路径示意图、室内自然通风模拟分析报告；评价查阅相关竣工图、室内温湿度检测报告。</w:t>
      </w:r>
    </w:p>
    <w:p w14:paraId="6C21DED6">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5.1.7</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本条适用各类民用建筑的预评价、评价。</w:t>
      </w:r>
    </w:p>
    <w:p w14:paraId="6004820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温和地区和夏热冬暖地区项目，或项目没有供暖需求，本条不考察第1、2款。温和地区、严寒地区和寒冷A区项目，本条不考察第3款；目前，寒冷B区多采用外墙外保温系统，夏热冬冷地区多采用外墙外保温或外墙内外复合保温系统，如完全按照地方明确的节能构造图集进行设计，本条不再考察第3款。</w:t>
      </w:r>
    </w:p>
    <w:p w14:paraId="59C93B1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民用建筑的热工设计与地区气候相适应，保证室内基本的热环境要求。建筑热工设计主要包括建筑物及其围护结构的保温、 防热和防潮设计。</w:t>
      </w:r>
    </w:p>
    <w:p w14:paraId="2654EF52">
      <w:pPr>
        <w:spacing w:line="360" w:lineRule="auto"/>
        <w:ind w:firstLine="448" w:firstLineChars="200"/>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房间内表面长期或经常结露会引起霉变，污染室内的空气，应加以控制。在南方的梅雨季节，空气的湿度接近饱和，要彻底避免发生结露现象非常困难，不属于本条控制范畴。另外，短时间的结露并不至于引起霉变，所以本条控制</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在室内设计温、湿度</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这一前提条件下不结露。</w:t>
      </w:r>
    </w:p>
    <w:p w14:paraId="21A23D9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室内设计温度</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对于供暖房间应取18℃</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非供暖房间应取12℃；</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室内设计湿度</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应根据建筑所在地的实际情况取30%～60%。在设计时应对建筑非透光围护结构及其结构性热桥部位进行结露验算，消除结露风险。</w:t>
      </w:r>
    </w:p>
    <w:p w14:paraId="39D9A69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建筑围护结构在使用过程中，当围护结构两侧出现温度与湿度差时，会造成围护结构内部温湿度的重新分布。若围护结构内部某处温度低于了空气露点温度，围护结构内部空气中的水分或渗入围护结构内部的空气中的水分将发生冷凝。因此，应防止水蒸气渗透进入围护结构内部，并控制围护结构内部不产生冷凝。</w:t>
      </w:r>
    </w:p>
    <w:p w14:paraId="1C1229C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第3款，夏热冬暖、夏热冬冷地区及寒冷B区的建筑进行防热设计，对建筑室内热舒适和降低空调能耗十分重要。在以上气候区，外墙和屋面应根据国家标准《民用建筑热工设计规范》 GB 50176-2016附录C第C.3节的规定进行隔热计算，并应满足现行强制性工程建设规范《建筑环境通用规范》GB 55016的  相关要求。同时，夏季室内外温差与冬季相比要小，透光围护结构夏季隔热主要是控制太阳辐射进入室内。因此本款还要求需要考虑夏季隔热的各气候区透光围护结构隔热性能要满足现行国家标准《民用建筑热工设计规范》GB 50176的要求。其中，透光围护结构太阳得热系数的计算应采用夏季计算条件，建筑遮阳系数应采用夏季时段的结果。</w:t>
      </w:r>
      <w:bookmarkStart w:id="157" w:name="OLE_LINK28"/>
      <w:bookmarkStart w:id="158" w:name="OLE_LINK29"/>
    </w:p>
    <w:bookmarkEnd w:id="157"/>
    <w:bookmarkEnd w:id="158"/>
    <w:p w14:paraId="38A9DF8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本条的评价方法为：预评价查阅相关设计文件、建筑围护结构防结露验算报告、隔热性能验算报告、内部冷凝验算报告；评价查阅相关竣工图，检查建筑构造与计算报告一致性。</w:t>
      </w:r>
    </w:p>
    <w:p w14:paraId="65961965">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5.1.8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31BC8B2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本条文强调用户个体对室内热舒适的调控性。采用个性化热环境调节装置可以满足不同人员对热舒适的差异化需求，从而最大限度地改善个体热舒适性，提高室内人员对室内热环境的满意率。</w:t>
      </w:r>
    </w:p>
    <w:p w14:paraId="5CD5BBE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对于采用集中供暖空调系统的建筑，应根据房间、区域的功能和所采用的系统形式，合理设置可现场独立调节的热环境调节装置。</w:t>
      </w:r>
    </w:p>
    <w:p w14:paraId="2DCF444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对于未采用集中供暖空调系统的建筑，应合理设计建筑热环境营造方案，具备满足个性化热舒适需求的可独立控制的热环境调节装置或功能。可独立控制的热环境调节装置包括多联机、分体空调、</w:t>
      </w:r>
      <w:bookmarkStart w:id="159" w:name="OLE_LINK14"/>
      <w:bookmarkStart w:id="160" w:name="OLE_LINK15"/>
      <w:r>
        <w:rPr>
          <w:rFonts w:hint="default" w:ascii="Times New Roman" w:hAnsi="Times New Roman" w:eastAsia="宋体" w:cs="Times New Roman"/>
          <w:color w:val="000000" w:themeColor="text1"/>
          <w:spacing w:val="-8"/>
          <w:sz w:val="24"/>
          <w:szCs w:val="24"/>
          <w:u w:val="none"/>
          <w14:textFill>
            <w14:solidFill>
              <w14:schemeClr w14:val="tx1"/>
            </w14:solidFill>
          </w14:textFill>
        </w:rPr>
        <w:t>风扇</w:t>
      </w:r>
      <w:bookmarkEnd w:id="159"/>
      <w:bookmarkEnd w:id="160"/>
      <w:r>
        <w:rPr>
          <w:rFonts w:hint="default" w:ascii="Times New Roman" w:hAnsi="Times New Roman" w:eastAsia="宋体" w:cs="Times New Roman"/>
          <w:color w:val="000000" w:themeColor="text1"/>
          <w:spacing w:val="-8"/>
          <w:sz w:val="24"/>
          <w:szCs w:val="24"/>
          <w:u w:val="none"/>
          <w14:textFill>
            <w14:solidFill>
              <w14:schemeClr w14:val="tx1"/>
            </w14:solidFill>
          </w14:textFill>
        </w:rPr>
        <w:t>等个性化舒适装置等。</w:t>
      </w:r>
    </w:p>
    <w:p w14:paraId="6CCAA1EA">
      <w:pPr>
        <w:spacing w:line="360" w:lineRule="auto"/>
        <w:ind w:firstLine="448" w:firstLineChars="200"/>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bookmarkStart w:id="161" w:name="OLE_LINK64"/>
      <w:bookmarkStart w:id="162" w:name="OLE_LINK63"/>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对于未设置供暖空调系统的温和地区建筑，夏季只要保证室内有良好的自然通风本条视作达标。</w:t>
      </w:r>
      <w:bookmarkEnd w:id="161"/>
      <w:bookmarkEnd w:id="162"/>
      <w:r>
        <w:rPr>
          <w:rFonts w:hint="default" w:ascii="Times New Roman" w:hAnsi="Times New Roman" w:eastAsia="宋体" w:cs="Times New Roman"/>
          <w:color w:val="000000" w:themeColor="text1"/>
          <w:spacing w:val="-8"/>
          <w:sz w:val="24"/>
          <w:szCs w:val="24"/>
          <w:u w:val="none"/>
          <w14:textFill>
            <w14:solidFill>
              <w14:schemeClr w14:val="tx1"/>
            </w14:solidFill>
          </w14:textFill>
        </w:rPr>
        <w:t>（居住建筑外窗的通风开口面积应符合节能通用规范要求且每套住宅至少应有一个居住空间通风开口和通风路径的设计满足自然通风要求；公共建筑中主要功能房间的外窗应设置可开启扇并保证可开启面积不应小于外窗面积的40%或通风换气装置）</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64CB8E9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本条的评价方法为：预评价查阅相关设计文件；评价查阅相关竣工图、产品说明书。</w:t>
      </w:r>
    </w:p>
    <w:p w14:paraId="043A7CEC">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5.1.9</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4640B6C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不设地下车库的项目，本条直接通过。地下车库空气流通不好，容易导致有害气体浓度过大，对人体造成伤害。有地下车库的建筑，车库设置与排风设备联动的一氧化碳监测装置，超过一定的量值时即报警并启动排风系统，排风系统宜选用多台并联或变频调速风机。监测装置安装高度宜控制在1.5m～2m范围内，数量应保证每个防火分区至少1个，当单个防火分区面积较大时，应保证每300m²～400m²一个。所设定的量值可参考现行国家标准《工作场所有害因素职业接触限值第1部分：化学有害因素》GBZ 2.1等相关标准的规定。</w:t>
      </w:r>
    </w:p>
    <w:p w14:paraId="74BE0DF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以防火分区作为一氧化碳监测点布置的基本指导原则，是因为本条的监控对象一氧化碳主要不是来自火灾，而是在满足防火防烟设计规范要求的基础上，考虑机动车的使用（燃油车尾气排放），导致的地下车库室内空气质量超标，进而影响人的健康。一个防火分区可能会包含多个防烟分区。防烟分区在设计上会采用挡烟垂壁、隔墙或从顶棚下突出不小于0.5m的梁划分。这些设计的原理是在火灾初期，烟雾由于热浮力效应迅速上升，设置防烟分区以控制烟雾扩散，保护逃生通道和避难空间不受烟雾侵袭。而机动车排放形成的一氧化碳几乎与空气密度相当，在没有外部干扰的情况，接近于均匀分布在空气中，简单地按照防烟分区设置并没有必要，且还会造成设备几余。同时，过多的监测点还会造成数据冗余、系统复杂性增加进而导致误报率上升或者故障排查难度加大，不利于整体空气安全保障体系的高效稳定运行。</w:t>
      </w:r>
    </w:p>
    <w:p w14:paraId="0B69D1A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本条的评价方法为：预评价查阅相关设计文件；评价查阅相关竣工图、运行记录。</w:t>
      </w:r>
    </w:p>
    <w:p w14:paraId="4D489133">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5.1.10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1FB4CEA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本章从室内空气品质、给水排水、声环境与光环境、室内热湿环境等方面提出了评价要求，健康舒适相关技术要求还应符合现行强制性工程建设规范《建筑环境通用规范》GB 55016、《建筑给水排水与节水通用规范》GB 55020</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《民用建筑通用规范》GB55031、《住宅项目规范》GB 55038等的规定。</w:t>
      </w:r>
    </w:p>
    <w:p w14:paraId="63F9E5A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本条适用于各类民用建筑的预评价、评价。不设地下车库的项目，本条直接通过。</w:t>
      </w:r>
    </w:p>
    <w:p w14:paraId="39E3427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w:t>
      </w:r>
    </w:p>
    <w:p w14:paraId="7733952C">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63" w:name="_Toc23041"/>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5.2 评分项</w:t>
      </w:r>
      <w:bookmarkEnd w:id="163"/>
    </w:p>
    <w:p w14:paraId="351AA362">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64" w:name="_Toc14856"/>
      <w:r>
        <w:rPr>
          <w:rFonts w:hint="default" w:ascii="Times New Roman" w:hAnsi="Times New Roman" w:cs="Times New Roman"/>
          <w:color w:val="000000" w:themeColor="text1"/>
          <w:sz w:val="24"/>
          <w:szCs w:val="24"/>
          <w:u w:val="none"/>
          <w:lang w:eastAsia="zh-CN"/>
          <w14:textFill>
            <w14:solidFill>
              <w14:schemeClr w14:val="tx1"/>
            </w14:solidFill>
          </w14:textFill>
        </w:rPr>
        <w:t>I  室内空气品质</w:t>
      </w:r>
      <w:bookmarkEnd w:id="164"/>
    </w:p>
    <w:p w14:paraId="3B2514A8">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5.2.1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22CCC22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预评价时，可仅对甲醛、苯、总挥发性有机物进行浓度预评估。</w:t>
      </w:r>
    </w:p>
    <w:p w14:paraId="007E840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第1款，在本标准第5.1.1条基础上对室内空气污染物的浓度提出了更高的要求。评价时，若项目在投入使用之前进行评价，则需在现行强制性工程建设规范《建筑环境通用规范》GB 55016规定的基础上降低10%或20%</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方可分别得到3分或6分。其他情况的预评估方法详见本标准第5.1.1条的条文说明。</w:t>
      </w:r>
    </w:p>
    <w:p w14:paraId="1C5C35F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对颗粒物浓度限值进行了规定。不同建筑类型室内颗粒物控制的共性措施为：①增强建筑围护结构气密性能，降低室外颗粒物向室内的穿透。②对于厨房等颗粒物散发源空间设置可关闭的门。③对具有集中通风空调系统的建筑，应对通风系统及空气净化装置进行合理设计和选型，并使室内具有一定的正压。对于无集中通风空调的建筑可采用空气净化器或户式新风系统控制室内颗粒物浓度。预评价时，全装修项目可通过建筑设计因素</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门窗渗透风量、新风量、净化设备效率、室内源等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及室外颗粒物水平</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建筑所在地近一年环境大气监测数据</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对建筑内部颗粒物浓度进行估算。预评价的计算方法可参考现行行业标准《公共建筑室内空气质量控制设计标准》JGJ/T 461中室内空气质量设计计算的相关规定。评价时，建筑内应具有颗粒物浓度监测传感设备，至少每小时对建筑内颗粒物浓度进行一次记录、存储，连续监测一年后取算术平均值，并出具报告。对于住宅建筑，应对每种户型主要功能房间进行全年监测；对于公共建筑，应每层选取一个主要功能房间进行全年监测。对于尚未投入使用或投入使用未满一年的项目，应对室内PM</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2.5</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和PM</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的年平均浓度进行预评估。</w:t>
      </w:r>
    </w:p>
    <w:p w14:paraId="4514894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本条的评价方法为：预评价查阅相关设计文件、建筑材料使 用说明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种类、用量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、污染物浓度预评估分析报告；评价查阅相关竣工图、建筑材料使用说明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种类、用量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、污染物浓度预评估分析报告，投入使用的项目尚应查阅室内空气质量现场检测报告、PM</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2.5</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和PM</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浓度计算报告</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附原始监测数据</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4B57C429">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5.2.2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0A8A157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从源头把控，选用绿色、环保、安全的室内装饰装修材料是保障室内空气质量的基本手段。为提升家装消费品质量，满足人民日益增长的对健康生活的追求，有关部门于2017年12月8日发布了包括内墙涂覆材料、木器漆、地坪涂料、壁纸、陶瓷砖、卫生陶瓷、人造板和木质地板、防水涂料、密封胶、家具等产品在内的绿色产品评价系列国家标准。如现行国家标准《绿色产品评价涂料》GB/T</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35602 、《 绿色产品评价纸和纸制品》GB/T 35613、《绿色产品评陶瓷砖</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板</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》GB/T</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35610、《绿色产品评价人造板和木质地板》GB/T 35601、《绿色产品评价防水与密封材料》GB/T 35609 等，对产品中有害物质种类及限量进行了严格、明确的规定。其他装饰装修材料，其有害物质限 量同样应符合现行有关标准的规定。每种室内装饰装修材料用量应达到相应品类总量的80%方可得分。</w:t>
      </w:r>
    </w:p>
    <w:p w14:paraId="02D3F2D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本条的评价方法为：预评价查阅相关设计文件；评价查阅相关竣工图、工程决算材料清单、产品检验报告。</w:t>
      </w:r>
    </w:p>
    <w:p w14:paraId="34969AF8">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65" w:name="_Toc19869"/>
      <w:r>
        <w:rPr>
          <w:rFonts w:hint="default" w:ascii="Times New Roman" w:hAnsi="Times New Roman" w:cs="Times New Roman"/>
          <w:color w:val="000000" w:themeColor="text1"/>
          <w:sz w:val="24"/>
          <w:szCs w:val="24"/>
          <w:u w:val="none"/>
          <w:lang w:eastAsia="zh-CN"/>
          <w14:textFill>
            <w14:solidFill>
              <w14:schemeClr w14:val="tx1"/>
            </w14:solidFill>
          </w14:textFill>
        </w:rPr>
        <w:t>Ⅱ  水质</w:t>
      </w:r>
      <w:bookmarkEnd w:id="165"/>
    </w:p>
    <w:p w14:paraId="4CC3069E">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5.2.3</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7F9FFBA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当项目中除生活饮用水供水系统外，未设置其他供水系统时，本条可直接得分。当项目内各类供水系统的水质均满足国家现行相关标准的要求时，本条方可得分。</w:t>
      </w:r>
    </w:p>
    <w:p w14:paraId="2AF5266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直饮水是以符合现行国家标准《生活饮用水卫生标准》GB5749水质标准的自来水或水源为原水，经再净化后供给用户直接饮用的高品质饮用水。直饮水系统分为集中供水的管道直饮水系统和分散供水的终端直饮水处理设备。管道直饮水系统供水水质应符合现行行业标准《饮用净水水质标准》CJ94 的要求；终端直饮水处理设备的出水水质标准可参考现行行业标准《饮用净水水质标准》CJ 94、《全自动连续微/超滤净水装置》HG/T 4111等现行饮用净水相关水质标准和设备标准。</w:t>
      </w:r>
    </w:p>
    <w:p w14:paraId="7366FE5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集中生活热水系统供水水质应满足现行行业标准《生活热水水质标准》CJ/T 521的要求。</w:t>
      </w:r>
    </w:p>
    <w:p w14:paraId="074AFA1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游泳池循环水处理系统水质应满足现行行业标准《游泳池水质标准》CJ 244的要求。</w:t>
      </w:r>
    </w:p>
    <w:p w14:paraId="75FBBB0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供暖空调循环水系统水质应满足现行国家标准《采暖空调系统水质》GB/T 29044的要求。</w:t>
      </w:r>
    </w:p>
    <w:p w14:paraId="4A09CCD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强制性工程建设规范《建筑给水排水与节水通用规范》GB 55020-2021中第3.4.3条规定</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非亲水性的室外景观水体用水 水源不得采用市政自来水和地下井水</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因此设有非亲水性景观水体的项目，水体的补水只能采用中水、雨水等非传统水源或地表水。当景观补水采用非传统水源时，水质应满足现行国家标准《城市污水再生利用景观环境用水》GB/T 18921的要求。当景观水体用于全身接触、娱乐性用途时，即可能全身浸入水中进行 嬉水、游泳等活动，如旱喷泉、嬉水喷泉等，水质应满足现行国家标准《生活饮用水卫生标准》GB 5749 的要求。</w:t>
      </w:r>
    </w:p>
    <w:p w14:paraId="34D309B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非传统水源供水系统水质，应根据不同用途的用水满足现行 国家标准城市污水再生利用系列标准的要求。设有模块化户内中水集成系统的项目，户内中水水质应满足现行行业标准《模块化户内中水集成系统技术规程》JGJ/T 409的要求。</w:t>
      </w:r>
    </w:p>
    <w:p w14:paraId="0EDB543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本条的评价方法为：预评价查阅相关设计文件、市政供水的水质检测报告</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采用市政再生水时，可使用同一水源邻近项目一年以内的水质检测报告</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；评价查阅相关竣工图、设计说明、各类用水的水质检测报告。</w:t>
      </w:r>
    </w:p>
    <w:p w14:paraId="46903AF7">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5.2.4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25EBFFB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如建筑未设置生活饮用水储水设施，本条可直接得分。</w:t>
      </w:r>
    </w:p>
    <w:p w14:paraId="7ABF8E6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二次供水是目前各类民用建筑主要采用的生活饮用水供水方式。储水设施是建筑生活饮用水二次供水设施水质安全保障的关 键环节。</w:t>
      </w:r>
    </w:p>
    <w:p w14:paraId="2D9C1F5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第1款，现行国家标准《二次供水设施卫生规范》 GB 17051和现行行业标准《二次供水工程技术规程》CJJ 140规定了建筑二次供水设施的卫生要求和水质检测方法。使用符合现行国家标准《二次供水设施卫生规范》GB 17051和现行行业标准 《二次供水工程技术规程》CJJ 140要求的成品水箱，能够有效避免现场加工过程中的污染问题，且在安全生产、品质控制、减少误差等方面均较现场加工更有优势。</w:t>
      </w:r>
    </w:p>
    <w:p w14:paraId="29724D6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第2款，避免储水变质的主要技术措施包括：容积大于 10m³的饮用水储水设施分两格设置、保证设施内水流通畅、检 查口</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人孔</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加锁、溢流管及通气管口采取防止生物进入的措施等 。饮用水水箱水池要求定期清洗，清洗后还要求进行水质检测，清洗及检测均都需要耗费时间，若储水设施不采用分格设置，将会造成长时间停水。</w:t>
      </w:r>
    </w:p>
    <w:p w14:paraId="6EF868C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含设计说明、储水设施详图、设备材料表</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含设计说明、储水设施详图、设备材料表</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、设备材料采购清单或进场记录、水质检测报告。</w:t>
      </w:r>
    </w:p>
    <w:p w14:paraId="17C6B84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5.2.5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262838F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当项目内各类给水排水系统的管道及设备均设置有明确、清晰的永久性标识时，本条方可得分。</w:t>
      </w:r>
    </w:p>
    <w:p w14:paraId="4CEF714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现代化的建筑给水排水管线繁多，如果没有清晰的标识，难免在施工或日常维护、维修时发生误接的情况，造成误饮误用，给用户带来健康隐患。</w:t>
      </w:r>
    </w:p>
    <w:p w14:paraId="489295E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强制性工程建设规范《建筑给水排水与节水通用规范》GB 55020-2021中第8.1.9条，对管道标识提出了要求，本条标识的对象还包括给水排水设备、设施，对标识还提出了明确、清晰、永久性的要求。建筑内给水排水管道及设备的标识设置可参考现行国家标准《工业管道的基本识别色、识别符号和安全标识》GB 7231、《建筑给水排水及采暖工程施工质量验收规范》 GB 50242中的相关规定。</w:t>
      </w:r>
    </w:p>
    <w:p w14:paraId="25F0B25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本条的评价方法为：预评价查阅相关设计文件、标识设置说明；评价查阅相关竣工图、标识设置说明。</w:t>
      </w:r>
    </w:p>
    <w:p w14:paraId="54A0E5FB">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66" w:name="_Toc20178"/>
      <w:r>
        <w:rPr>
          <w:rFonts w:hint="default" w:ascii="Times New Roman" w:hAnsi="Times New Roman" w:cs="Times New Roman"/>
          <w:color w:val="000000" w:themeColor="text1"/>
          <w:sz w:val="24"/>
          <w:szCs w:val="24"/>
          <w:u w:val="none"/>
          <w:lang w:eastAsia="zh-CN"/>
          <w14:textFill>
            <w14:solidFill>
              <w14:schemeClr w14:val="tx1"/>
            </w14:solidFill>
          </w14:textFill>
        </w:rPr>
        <w:t>Ⅲ  声环境与光环境</w:t>
      </w:r>
      <w:bookmarkEnd w:id="166"/>
    </w:p>
    <w:p w14:paraId="60F8E740">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5.2.6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5B7F236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国家标准《民用建筑隔声设计规范》GB 50118-2010 规定的建筑主要功能房间的室内允许噪声级已经被现行强制性工程建设规范《建筑环境通用规范》GB 55016替代。现行强制性工程建设规范《建筑环境通用规范》GB 55016替代规定的室外声源传入噪声、建筑设备噪声的限值是所有建筑必须达到的值，不再分为低限标准限值和高要求标准限值。为了更好地保护使用者具有宁静的声环境，绿色建筑评价时，将现行强制性工程建设规范《建筑环境通用规范》GB 55016规定的限值降低3dB作为评分项。</w:t>
      </w:r>
    </w:p>
    <w:p w14:paraId="698E478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本条的评价方法为：预评价查阅相关设计文件、噪声分析报告；评价查阅相关竣工图、室外声源传入噪声与建筑设备噪声现场检测报告。</w:t>
      </w:r>
    </w:p>
    <w:p w14:paraId="513444DD">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5.2.7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2996B57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本条将住宅建筑与公共建筑分别评价，各自总分均为10分。对于有些无明确隔声要求的空间，相应条款可直接得分，如单层建筑的撞击声隔声性能，可直接得4分。</w:t>
      </w:r>
    </w:p>
    <w:p w14:paraId="71A0587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住宅建筑，充分考虑技术可达性和经济性后进行适度的提升，本次修订，为了提升卧室与邻户房间之间的隔声性能，特别是低频段隔声性能，将卧室与邻户房间之间的空气声隔声性能评价的频谱修正量从原来的</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粉红噪声频谱修正量C</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调整为</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交通噪声频谱修正量Ctr</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。对于重质墙体来说，通常Ctr比C小2dB~5dB</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对轻质墙体，通常Ctr比C小5dB~10dB。因此，卧室与邻户房间之间的隔墙应优先选用重质墙体。</w:t>
      </w:r>
    </w:p>
    <w:p w14:paraId="5B96B2F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对于公共建筑，本条中的</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房间之间空气声隔声</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和</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楼板撞击声隔声</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性能提升参照指标限值，指现行国家标准《民用建筑隔声设计规范》GB 50118中的低限标准限值。需要注意的是，国家标准《民用建筑隔声设计规范》GB 50118-2010正在修订，修订后不再分为低限标准限值和高要求标准限值。</w:t>
      </w:r>
    </w:p>
    <w:p w14:paraId="5F31929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对于现行国家标准《民用建筑隔声设计规范》GB 50118没有涉及的类型建筑的围护结构构件隔声性能可对照相似类型建筑 的要求评价</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也可依据相应类型建筑的建筑设计规范相关条文进行评价如《托儿所、幼儿园建筑设计规范》JGJ39、《老年人照料设施建筑设计标准》JGJ450、《宿舍建筑设计规范》JG</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J</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36、</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电影院建筑设计规范》JGJ58、《剧场建筑设计规范》JG</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J</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57、《体育建筑设计规范》JG</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J</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31等。</w:t>
      </w:r>
    </w:p>
    <w:p w14:paraId="4006C75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本条的评价方法为：预评价查阅相关设计文件、构件隔声性能的实验室检验报告；评价查阅相关竣工图、构件或房间之间隔声性能的现场检测报告。</w:t>
      </w:r>
    </w:p>
    <w:p w14:paraId="5CFC60FA">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5.2.8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2699860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宿舍建筑按第1款的要求执行。本条对住宅建筑和公共建筑达到采光照度要求的采光区域和采光时间提出了要求，以更为全面地评价室内采光质量。天然采光不仅有利于照明节能，而且有利于增加室内外的自然信息交流，改善空间卫生环境，调节空间使用者的心情。对于大进深、地下空间宜优先通过合理的建筑设计（如半地下室、天窗等方式）改善天然采光条件，且尽可能地避免出现无窗空间。对于无法避免的情况，鼓励通过导光管、棱镜玻璃等合理措施充分利用天然光，促进人们的舒适健康，但此时应对无法避免因素进行解释说明。</w:t>
      </w:r>
    </w:p>
    <w:p w14:paraId="0AB8562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和第2款针对住宅建筑和公共建筑分别提出评价要求。为了更加真实地反映天然光利用的效果，采用基于天然光气候数据的建筑采光全年动态分析的方法对其进行评价。建筑及采光设计时，可通过软件对建筑的动态采光效果进行计算分析，根据计算结构合理进行采光系统设计。内区采光达标面积比例是指满足采光系数要求的区域面积比例占该楼层内区面积的比例，当无内区时，该项直接得分。地下空间面积按照常用视觉活动区域进行统计。采光模拟应符合现行行业标准《民用建筑绿色性能计算标准》JGJ/T  449的相关规定。采光相关指标的计算过程中，相关参数应设定为：地面反射比0.3</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墙面0.6</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外表面0.5</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顶棚0.75。外窗的透射比应根据设计图纸定。如果设计图纸中涉及的相关参数有所不同，需提供材料测试报告。</w:t>
      </w:r>
    </w:p>
    <w:p w14:paraId="0847734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本款所指采光照度值为平均值。进行动态采光评价时，先逐时刻统计采光照度值的达标面积比，再统计达标面积比不低于60%的时数，最后将统计的时数除以统计天数，获得每天的平均小时数来进行评价。</w:t>
      </w:r>
    </w:p>
    <w:p w14:paraId="01DC593A">
      <w:pPr>
        <w:spacing w:line="360" w:lineRule="auto"/>
        <w:ind w:firstLine="448" w:firstLineChars="200"/>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本条的评价方法为：预评价查阅相关设计文件、计算书；评价查阅相关竣工图、计算书、采光检测报告。</w:t>
      </w:r>
    </w:p>
    <w:p w14:paraId="5B66FFB8">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67" w:name="_Toc21125"/>
      <w:r>
        <w:rPr>
          <w:rFonts w:hint="default" w:ascii="Times New Roman" w:hAnsi="Times New Roman" w:cs="Times New Roman"/>
          <w:color w:val="000000" w:themeColor="text1"/>
          <w:sz w:val="24"/>
          <w:szCs w:val="24"/>
          <w:u w:val="none"/>
          <w:lang w:eastAsia="zh-CN"/>
          <w14:textFill>
            <w14:solidFill>
              <w14:schemeClr w14:val="tx1"/>
            </w14:solidFill>
          </w14:textFill>
        </w:rPr>
        <w:t>IV  室内热湿环境</w:t>
      </w:r>
      <w:bookmarkEnd w:id="167"/>
    </w:p>
    <w:p w14:paraId="5AB97DE5">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5.2.9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5D66A67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第1款，本款以建筑物内主要功能房间或区域为对象，以自 然通风、复合通风运行时段为评价时间范围，按主要功能房间或 区域满足适应性热舒适区间的时间百分比进行评分。建筑主要功 能房间室内热环境参数在适应性热舒适区域的时间比例指，建筑 在使用时段主要功能房间室内温度达到适应性舒适温度区间的小时数占建筑自然通风运行小时数的比例。适应性热舒适温度区间可根据室外月平均温度进行计算。当室内平均气流速度≤0.3m/s时，舒适温度为新增图1中的阴影区间。当室内温度高于25℃ 时，允许采用提高气流速度的方式来补偿室内温度的上升，即室内舒适温度上限可进一步提高，提高幅度如新增表2所示。若项目设有风扇等个性化送风装置，室内气流平均速度采用个性化送风装置设计风速进行计算；若没有个性化送风装置，室内气流平均速度采用0.3m/s以下进行分析计算。</w:t>
      </w:r>
    </w:p>
    <w:p w14:paraId="53AEE657">
      <w:pPr>
        <w:spacing w:line="360" w:lineRule="auto"/>
        <w:ind w:firstLine="376" w:firstLineChars="200"/>
        <w:rPr>
          <w:rFonts w:hint="default" w:ascii="Times New Roman" w:hAnsi="Times New Roman" w:eastAsia="宋体" w:cs="Times New Roman"/>
          <w:color w:val="000000" w:themeColor="text1"/>
          <w:spacing w:val="-1"/>
          <w:sz w:val="24"/>
          <w:szCs w:val="24"/>
          <w:u w:val="none"/>
          <w14:textFill>
            <w14:solidFill>
              <w14:schemeClr w14:val="tx1"/>
            </w14:solidFill>
          </w14:textFill>
        </w:rPr>
      </w:pPr>
      <w:r>
        <w:rPr>
          <w:rFonts w:hint="default" w:ascii="Times New Roman" w:hAnsi="Times New Roman" w:eastAsia="宋体" w:cs="Times New Roman"/>
          <w:spacing w:val="-11"/>
          <w:u w:val="none"/>
        </w:rPr>
        <w:drawing>
          <wp:inline distT="0" distB="0" distL="0" distR="0">
            <wp:extent cx="4800600" cy="2028825"/>
            <wp:effectExtent l="0" t="0" r="0" b="952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
                    <a:stretch>
                      <a:fillRect/>
                    </a:stretch>
                  </pic:blipFill>
                  <pic:spPr>
                    <a:xfrm>
                      <a:off x="0" y="0"/>
                      <a:ext cx="4801636" cy="2029263"/>
                    </a:xfrm>
                    <a:prstGeom prst="rect">
                      <a:avLst/>
                    </a:prstGeom>
                  </pic:spPr>
                </pic:pic>
              </a:graphicData>
            </a:graphic>
          </wp:inline>
        </w:drawing>
      </w:r>
    </w:p>
    <w:p w14:paraId="422627AA">
      <w:pPr>
        <w:spacing w:line="360" w:lineRule="auto"/>
        <w:jc w:val="center"/>
        <w:rPr>
          <w:rFonts w:hint="default" w:ascii="Times New Roman" w:hAnsi="Times New Roman" w:eastAsia="宋体" w:cs="Times New Roman"/>
          <w:b/>
          <w:spacing w:val="-11"/>
          <w:u w:val="none"/>
        </w:rPr>
      </w:pPr>
      <w:r>
        <w:rPr>
          <w:rFonts w:hint="default" w:ascii="Times New Roman" w:hAnsi="Times New Roman" w:cs="Times New Roman"/>
          <w:b/>
          <w:color w:val="000000" w:themeColor="text1"/>
          <w:spacing w:val="-7"/>
          <w:szCs w:val="21"/>
          <w:u w:val="none"/>
          <w14:textFill>
            <w14:solidFill>
              <w14:schemeClr w14:val="tx1"/>
            </w14:solidFill>
          </w14:textFill>
        </w:rPr>
        <w:t>新增图1</w:t>
      </w:r>
      <w:r>
        <w:rPr>
          <w:rFonts w:hint="default" w:ascii="Times New Roman" w:hAnsi="Times New Roman" w:cs="Times New Roman"/>
          <w:b/>
          <w:color w:val="000000" w:themeColor="text1"/>
          <w:spacing w:val="-7"/>
          <w:szCs w:val="21"/>
          <w:u w:val="none"/>
          <w:lang w:val="en-US" w:eastAsia="zh-CN"/>
          <w14:textFill>
            <w14:solidFill>
              <w14:schemeClr w14:val="tx1"/>
            </w14:solidFill>
          </w14:textFill>
        </w:rPr>
        <w:t xml:space="preserve"> </w:t>
      </w:r>
      <w:r>
        <w:rPr>
          <w:rFonts w:hint="default" w:ascii="Times New Roman" w:hAnsi="Times New Roman" w:cs="Times New Roman"/>
          <w:b/>
          <w:color w:val="000000" w:themeColor="text1"/>
          <w:spacing w:val="-7"/>
          <w:szCs w:val="21"/>
          <w:u w:val="none"/>
          <w14:textFill>
            <w14:solidFill>
              <w14:schemeClr w14:val="tx1"/>
            </w14:solidFill>
          </w14:textFill>
        </w:rPr>
        <w:t>自然通凤或复合通风建筑室内舒适温度范围</w:t>
      </w:r>
    </w:p>
    <w:p w14:paraId="78280158">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新增表2 室内平均气流速度对应的室内舒适温度上限值提高幅度</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69"/>
        <w:gridCol w:w="1613"/>
        <w:gridCol w:w="1629"/>
        <w:gridCol w:w="1811"/>
      </w:tblGrid>
      <w:tr w14:paraId="2A5DC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2034" w:type="pct"/>
            <w:vAlign w:val="center"/>
          </w:tcPr>
          <w:p w14:paraId="04FDA867">
            <w:pPr>
              <w:spacing w:before="90" w:line="360" w:lineRule="auto"/>
              <w:ind w:left="113" w:right="142"/>
              <w:jc w:val="center"/>
              <w:rPr>
                <w:rFonts w:hint="default" w:ascii="Times New Roman" w:hAnsi="Times New Roman" w:eastAsia="宋体" w:cs="Times New Roman"/>
                <w:spacing w:val="-11"/>
                <w:u w:val="none"/>
                <w:lang w:eastAsia="zh-CN"/>
              </w:rPr>
            </w:pPr>
            <w:r>
              <w:rPr>
                <w:rFonts w:hint="default" w:ascii="Times New Roman" w:hAnsi="Times New Roman" w:eastAsia="宋体" w:cs="Times New Roman"/>
                <w:spacing w:val="-11"/>
                <w:u w:val="none"/>
              </w:rPr>
              <w:t>室内气流平均速度</w:t>
            </w:r>
            <w:r>
              <w:rPr>
                <w:rFonts w:hint="default" w:ascii="Times New Roman" w:hAnsi="Times New Roman" w:eastAsia="宋体" w:cs="Times New Roman"/>
                <w:b w:val="0"/>
                <w:bCs/>
                <w:color w:val="000000" w:themeColor="text1"/>
                <w:spacing w:val="-7"/>
                <w:szCs w:val="21"/>
                <w:u w:val="none"/>
                <w14:textFill>
                  <w14:solidFill>
                    <w14:schemeClr w14:val="tx1"/>
                  </w14:solidFill>
                </w14:textFill>
              </w:rPr>
              <w:t>ν</w:t>
            </w:r>
            <w:r>
              <w:rPr>
                <w:rFonts w:hint="default" w:ascii="Times New Roman" w:hAnsi="Times New Roman" w:eastAsia="宋体" w:cs="Times New Roman"/>
                <w:b w:val="0"/>
                <w:bCs/>
                <w:color w:val="000000" w:themeColor="text1"/>
                <w:spacing w:val="-7"/>
                <w:szCs w:val="21"/>
                <w:u w:val="none"/>
                <w:vertAlign w:val="subscript"/>
                <w14:textFill>
                  <w14:solidFill>
                    <w14:schemeClr w14:val="tx1"/>
                  </w14:solidFill>
                </w14:textFill>
              </w:rPr>
              <w:t>a</w:t>
            </w:r>
            <w:r>
              <w:rPr>
                <w:rFonts w:hint="default" w:ascii="Times New Roman" w:hAnsi="Times New Roman" w:eastAsia="宋体" w:cs="Times New Roman"/>
                <w:spacing w:val="-11"/>
                <w:u w:val="none"/>
                <w:lang w:eastAsia="zh-CN"/>
              </w:rPr>
              <w:t>（</w:t>
            </w:r>
            <w:r>
              <w:rPr>
                <w:rFonts w:hint="default" w:ascii="Times New Roman" w:hAnsi="Times New Roman" w:eastAsia="宋体" w:cs="Times New Roman"/>
                <w:spacing w:val="-11"/>
                <w:u w:val="none"/>
              </w:rPr>
              <w:t>m/s</w:t>
            </w:r>
            <w:r>
              <w:rPr>
                <w:rFonts w:hint="default" w:ascii="Times New Roman" w:hAnsi="Times New Roman" w:eastAsia="宋体" w:cs="Times New Roman"/>
                <w:spacing w:val="-11"/>
                <w:u w:val="none"/>
                <w:lang w:eastAsia="zh-CN"/>
              </w:rPr>
              <w:t>）</w:t>
            </w:r>
          </w:p>
        </w:tc>
        <w:tc>
          <w:tcPr>
            <w:tcW w:w="946" w:type="pct"/>
            <w:vAlign w:val="center"/>
          </w:tcPr>
          <w:p w14:paraId="7303A08D">
            <w:pPr>
              <w:spacing w:before="90" w:line="360" w:lineRule="auto"/>
              <w:ind w:left="113" w:right="142"/>
              <w:jc w:val="center"/>
              <w:rPr>
                <w:rFonts w:hint="default" w:ascii="Times New Roman" w:hAnsi="Times New Roman" w:eastAsia="宋体" w:cs="Times New Roman"/>
                <w:spacing w:val="-11"/>
                <w:u w:val="none"/>
              </w:rPr>
            </w:pPr>
            <w:r>
              <w:rPr>
                <w:rFonts w:hint="default" w:ascii="Times New Roman" w:hAnsi="Times New Roman" w:eastAsia="宋体" w:cs="Times New Roman"/>
                <w:spacing w:val="-11"/>
                <w:u w:val="none"/>
              </w:rPr>
              <w:t>0.3&lt;</w:t>
            </w:r>
            <w:r>
              <w:rPr>
                <w:rFonts w:hint="default" w:ascii="Times New Roman" w:hAnsi="Times New Roman" w:eastAsia="宋体" w:cs="Times New Roman"/>
                <w:b w:val="0"/>
                <w:bCs/>
                <w:color w:val="000000" w:themeColor="text1"/>
                <w:spacing w:val="-7"/>
                <w:szCs w:val="21"/>
                <w:u w:val="none"/>
                <w14:textFill>
                  <w14:solidFill>
                    <w14:schemeClr w14:val="tx1"/>
                  </w14:solidFill>
                </w14:textFill>
              </w:rPr>
              <w:t>ν</w:t>
            </w:r>
            <w:r>
              <w:rPr>
                <w:rFonts w:hint="default" w:ascii="Times New Roman" w:hAnsi="Times New Roman" w:eastAsia="宋体" w:cs="Times New Roman"/>
                <w:b w:val="0"/>
                <w:bCs/>
                <w:color w:val="000000" w:themeColor="text1"/>
                <w:spacing w:val="-7"/>
                <w:szCs w:val="21"/>
                <w:u w:val="none"/>
                <w:vertAlign w:val="subscript"/>
                <w14:textFill>
                  <w14:solidFill>
                    <w14:schemeClr w14:val="tx1"/>
                  </w14:solidFill>
                </w14:textFill>
              </w:rPr>
              <w:t>a</w:t>
            </w:r>
            <w:r>
              <w:rPr>
                <w:rFonts w:hint="default" w:ascii="Times New Roman" w:hAnsi="Times New Roman" w:eastAsia="宋体" w:cs="Times New Roman"/>
                <w:spacing w:val="-11"/>
                <w:u w:val="none"/>
              </w:rPr>
              <w:t>≤0.6</w:t>
            </w:r>
          </w:p>
        </w:tc>
        <w:tc>
          <w:tcPr>
            <w:tcW w:w="955" w:type="pct"/>
            <w:tcBorders>
              <w:bottom w:val="nil"/>
            </w:tcBorders>
            <w:vAlign w:val="center"/>
          </w:tcPr>
          <w:p w14:paraId="17AE1E3A">
            <w:pPr>
              <w:spacing w:before="90" w:line="360" w:lineRule="auto"/>
              <w:ind w:left="113" w:right="142"/>
              <w:jc w:val="center"/>
              <w:rPr>
                <w:rFonts w:hint="default" w:ascii="Times New Roman" w:hAnsi="Times New Roman" w:eastAsia="宋体" w:cs="Times New Roman"/>
                <w:spacing w:val="-11"/>
                <w:u w:val="none"/>
              </w:rPr>
            </w:pPr>
            <w:r>
              <w:rPr>
                <w:rFonts w:hint="default" w:ascii="Times New Roman" w:hAnsi="Times New Roman" w:eastAsia="宋体" w:cs="Times New Roman"/>
                <w:spacing w:val="-11"/>
                <w:u w:val="none"/>
              </w:rPr>
              <w:t>0.6&lt;</w:t>
            </w:r>
            <w:r>
              <w:rPr>
                <w:rFonts w:hint="default" w:ascii="Times New Roman" w:hAnsi="Times New Roman" w:eastAsia="宋体" w:cs="Times New Roman"/>
                <w:b w:val="0"/>
                <w:bCs/>
                <w:color w:val="000000" w:themeColor="text1"/>
                <w:spacing w:val="-7"/>
                <w:szCs w:val="21"/>
                <w:u w:val="none"/>
                <w14:textFill>
                  <w14:solidFill>
                    <w14:schemeClr w14:val="tx1"/>
                  </w14:solidFill>
                </w14:textFill>
              </w:rPr>
              <w:t>ν</w:t>
            </w:r>
            <w:r>
              <w:rPr>
                <w:rFonts w:hint="default" w:ascii="Times New Roman" w:hAnsi="Times New Roman" w:eastAsia="宋体" w:cs="Times New Roman"/>
                <w:b w:val="0"/>
                <w:bCs/>
                <w:color w:val="000000" w:themeColor="text1"/>
                <w:spacing w:val="-7"/>
                <w:szCs w:val="21"/>
                <w:u w:val="none"/>
                <w:vertAlign w:val="subscript"/>
                <w14:textFill>
                  <w14:solidFill>
                    <w14:schemeClr w14:val="tx1"/>
                  </w14:solidFill>
                </w14:textFill>
              </w:rPr>
              <w:t>a</w:t>
            </w:r>
            <w:r>
              <w:rPr>
                <w:rFonts w:hint="default" w:ascii="Times New Roman" w:hAnsi="Times New Roman" w:eastAsia="宋体" w:cs="Times New Roman"/>
                <w:spacing w:val="-11"/>
                <w:u w:val="none"/>
              </w:rPr>
              <w:t xml:space="preserve"> ≤0.9</w:t>
            </w:r>
          </w:p>
        </w:tc>
        <w:tc>
          <w:tcPr>
            <w:tcW w:w="1062" w:type="pct"/>
            <w:tcBorders>
              <w:bottom w:val="nil"/>
            </w:tcBorders>
            <w:vAlign w:val="center"/>
          </w:tcPr>
          <w:p w14:paraId="16F3B7EB">
            <w:pPr>
              <w:spacing w:before="90" w:line="360" w:lineRule="auto"/>
              <w:ind w:left="113" w:right="142"/>
              <w:jc w:val="center"/>
              <w:rPr>
                <w:rFonts w:hint="default" w:ascii="Times New Roman" w:hAnsi="Times New Roman" w:eastAsia="宋体" w:cs="Times New Roman"/>
                <w:spacing w:val="-11"/>
                <w:u w:val="none"/>
              </w:rPr>
            </w:pPr>
            <w:r>
              <w:rPr>
                <w:rFonts w:hint="default" w:ascii="Times New Roman" w:hAnsi="Times New Roman" w:eastAsia="宋体" w:cs="Times New Roman"/>
                <w:spacing w:val="-11"/>
                <w:u w:val="none"/>
              </w:rPr>
              <w:t>0.9&lt;</w:t>
            </w:r>
            <w:r>
              <w:rPr>
                <w:rFonts w:hint="default" w:ascii="Times New Roman" w:hAnsi="Times New Roman" w:eastAsia="宋体" w:cs="Times New Roman"/>
                <w:b w:val="0"/>
                <w:bCs/>
                <w:color w:val="000000" w:themeColor="text1"/>
                <w:spacing w:val="-7"/>
                <w:szCs w:val="21"/>
                <w:u w:val="none"/>
                <w14:textFill>
                  <w14:solidFill>
                    <w14:schemeClr w14:val="tx1"/>
                  </w14:solidFill>
                </w14:textFill>
              </w:rPr>
              <w:t>ν</w:t>
            </w:r>
            <w:r>
              <w:rPr>
                <w:rFonts w:hint="default" w:ascii="Times New Roman" w:hAnsi="Times New Roman" w:eastAsia="宋体" w:cs="Times New Roman"/>
                <w:b w:val="0"/>
                <w:bCs/>
                <w:color w:val="000000" w:themeColor="text1"/>
                <w:spacing w:val="-7"/>
                <w:szCs w:val="21"/>
                <w:u w:val="none"/>
                <w:vertAlign w:val="subscript"/>
                <w14:textFill>
                  <w14:solidFill>
                    <w14:schemeClr w14:val="tx1"/>
                  </w14:solidFill>
                </w14:textFill>
              </w:rPr>
              <w:t>a</w:t>
            </w:r>
            <w:r>
              <w:rPr>
                <w:rFonts w:hint="default" w:ascii="Times New Roman" w:hAnsi="Times New Roman" w:eastAsia="宋体" w:cs="Times New Roman"/>
                <w:spacing w:val="-11"/>
                <w:u w:val="none"/>
              </w:rPr>
              <w:t>≤1.2</w:t>
            </w:r>
          </w:p>
        </w:tc>
      </w:tr>
      <w:tr w14:paraId="1FEC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034" w:type="pct"/>
            <w:vAlign w:val="center"/>
          </w:tcPr>
          <w:p w14:paraId="3DBFE9C9">
            <w:pPr>
              <w:spacing w:before="90" w:line="360" w:lineRule="auto"/>
              <w:ind w:left="113" w:right="142"/>
              <w:jc w:val="center"/>
              <w:rPr>
                <w:rFonts w:hint="default" w:ascii="Times New Roman" w:hAnsi="Times New Roman" w:eastAsia="宋体" w:cs="Times New Roman"/>
                <w:spacing w:val="-11"/>
                <w:u w:val="none"/>
                <w:lang w:eastAsia="zh-CN"/>
              </w:rPr>
            </w:pPr>
            <w:r>
              <w:rPr>
                <w:rFonts w:hint="default" w:ascii="Times New Roman" w:hAnsi="Times New Roman" w:eastAsia="宋体" w:cs="Times New Roman"/>
                <w:spacing w:val="-11"/>
                <w:u w:val="none"/>
              </w:rPr>
              <w:t>舒适温度上限提高幅度△t</w:t>
            </w:r>
            <w:r>
              <w:rPr>
                <w:rFonts w:hint="default" w:ascii="Times New Roman" w:hAnsi="Times New Roman" w:eastAsia="宋体" w:cs="Times New Roman"/>
                <w:spacing w:val="-11"/>
                <w:u w:val="none"/>
                <w:lang w:eastAsia="zh-CN"/>
              </w:rPr>
              <w:t>（</w:t>
            </w:r>
            <w:r>
              <w:rPr>
                <w:rFonts w:hint="default" w:ascii="Times New Roman" w:hAnsi="Times New Roman" w:eastAsia="宋体" w:cs="Times New Roman"/>
                <w:spacing w:val="-11"/>
                <w:u w:val="none"/>
              </w:rPr>
              <w:t>℃</w:t>
            </w:r>
            <w:r>
              <w:rPr>
                <w:rFonts w:hint="default" w:ascii="Times New Roman" w:hAnsi="Times New Roman" w:eastAsia="宋体" w:cs="Times New Roman"/>
                <w:spacing w:val="-11"/>
                <w:u w:val="none"/>
                <w:lang w:eastAsia="zh-CN"/>
              </w:rPr>
              <w:t>）</w:t>
            </w:r>
          </w:p>
        </w:tc>
        <w:tc>
          <w:tcPr>
            <w:tcW w:w="946" w:type="pct"/>
            <w:vAlign w:val="center"/>
          </w:tcPr>
          <w:p w14:paraId="70D9E991">
            <w:pPr>
              <w:spacing w:before="90" w:line="360" w:lineRule="auto"/>
              <w:ind w:left="113" w:right="142"/>
              <w:jc w:val="center"/>
              <w:rPr>
                <w:rFonts w:hint="default" w:ascii="Times New Roman" w:hAnsi="Times New Roman" w:eastAsia="宋体" w:cs="Times New Roman"/>
                <w:spacing w:val="-11"/>
                <w:u w:val="none"/>
              </w:rPr>
            </w:pPr>
            <w:r>
              <w:rPr>
                <w:rFonts w:hint="default" w:ascii="Times New Roman" w:hAnsi="Times New Roman" w:eastAsia="宋体" w:cs="Times New Roman"/>
                <w:spacing w:val="-11"/>
                <w:u w:val="none"/>
              </w:rPr>
              <w:t>1.2</w:t>
            </w:r>
          </w:p>
        </w:tc>
        <w:tc>
          <w:tcPr>
            <w:tcW w:w="955" w:type="pct"/>
            <w:vAlign w:val="center"/>
          </w:tcPr>
          <w:p w14:paraId="2B328C16">
            <w:pPr>
              <w:spacing w:before="90" w:line="360" w:lineRule="auto"/>
              <w:ind w:left="113" w:right="142"/>
              <w:jc w:val="center"/>
              <w:rPr>
                <w:rFonts w:hint="default" w:ascii="Times New Roman" w:hAnsi="Times New Roman" w:eastAsia="宋体" w:cs="Times New Roman"/>
                <w:spacing w:val="-11"/>
                <w:u w:val="none"/>
              </w:rPr>
            </w:pPr>
            <w:r>
              <w:rPr>
                <w:rFonts w:hint="default" w:ascii="Times New Roman" w:hAnsi="Times New Roman" w:eastAsia="宋体" w:cs="Times New Roman"/>
                <w:spacing w:val="-11"/>
                <w:u w:val="none"/>
              </w:rPr>
              <w:t>1.8</w:t>
            </w:r>
          </w:p>
        </w:tc>
        <w:tc>
          <w:tcPr>
            <w:tcW w:w="1062" w:type="pct"/>
            <w:vAlign w:val="center"/>
          </w:tcPr>
          <w:p w14:paraId="1897BC8B">
            <w:pPr>
              <w:spacing w:before="90" w:line="360" w:lineRule="auto"/>
              <w:ind w:left="113" w:right="142"/>
              <w:jc w:val="center"/>
              <w:rPr>
                <w:rFonts w:hint="default" w:ascii="Times New Roman" w:hAnsi="Times New Roman" w:eastAsia="宋体" w:cs="Times New Roman"/>
                <w:spacing w:val="-11"/>
                <w:u w:val="none"/>
              </w:rPr>
            </w:pPr>
            <w:r>
              <w:rPr>
                <w:rFonts w:hint="default" w:ascii="Times New Roman" w:hAnsi="Times New Roman" w:eastAsia="宋体" w:cs="Times New Roman"/>
                <w:spacing w:val="-11"/>
                <w:u w:val="none"/>
              </w:rPr>
              <w:t>2.2</w:t>
            </w:r>
          </w:p>
        </w:tc>
      </w:tr>
    </w:tbl>
    <w:p w14:paraId="297BDE0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例如，当室外月平均温度为20℃</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且</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ν</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≤0.3m/s时，室内舒适温度区间为20.5℃~27.5℃</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若提高室内气流平均速度，且0.3m/s&lt;</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ν</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≤0.6m/s时，舒适温度上限可提高1.2℃</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即室内舒适温度区间为20.5℃~28.7℃</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若进一步提高室内气流平均速度，并且0.6m/s&lt;</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ν</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≤0.9m/s时，舒适温度上限可提高1.8℃</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即室内舒适温度区间为20.5℃~29.3℃</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若再提高室内气流平均速度</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ν</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并且0.9m/s&lt;</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ν</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≤1.2m/s时，舒适温度上限可提高2.2℃</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即室内舒适温度区间为20.5℃~29.7℃。</w:t>
      </w:r>
    </w:p>
    <w:p w14:paraId="30FC2E6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本款关注的是建筑适应性热舒适设计，强调建筑中人不是环境的被动接受者，而是能够进行自我调节的适应者，人们会通过改变着装、行为或逐步调整自己的反应以适应复杂的环境变化， 从而接受较大范围的室内温度。此外，营造动态而非恒定不变的室内环境，有利于维持人体对热环境的应激能力，改善使用者舒适感与身体健康。本条款要求从动态热环境和适应性热舒适角 度，对室内热湿环境进行设计优化，强化自然通风、复合通风，合理拓宽室内热湿环境设计参数，鼓励设计中允许室内人员对外 窗、风扇等装置进行自由调节。</w:t>
      </w:r>
    </w:p>
    <w:p w14:paraId="5F13B47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第2款，人工冷热源热湿环境整体评价指标应包括预计平均热感觉指标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PMV</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和预计不满意者的百分数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PPD</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PMV-PPD 的计算程序应按国家标准《民用建筑室内热湿环境评价标 准》GB/T 50785-2012附录E的规定执行。对于空调区域，还应确保气流组织合理，避免造成冷吹风感。本款以建筑物内主要功能房间或区域为对象，以达标面积比例为评价依据。</w:t>
      </w:r>
    </w:p>
    <w:p w14:paraId="0242EDB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第3款，考虑大部分建筑运行模式为过渡季采用自然通风或复合通风，冬、夏季采用供暖空调系统，因此本款给出了依据运行模式所占时间比例进行加权平均计算的得分判定方法。</w:t>
      </w:r>
    </w:p>
    <w:p w14:paraId="23795E2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本条的评价方法为：预评价查阅相关设计文件、计算分析报告；评价查阅相关竣工图、计算分析报告。</w:t>
      </w:r>
    </w:p>
    <w:p w14:paraId="51D8022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5.2.10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4E1540D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良好的自然通风设计，如采用中庭、天井、通风塔、导风墙、外廊、可开启外墙或屋顶、地道风等，可以有效改善室内热湿环境和空气品质，提高人体舒适性。已有研究表明，在自然通风条件下，人们感觉热舒适和可接受的环境温度要远比空调供暖室内环境设计标准限定的热舒适温度范围来得宽泛。当室外温湿度适宜时，良好的通风效果还能够减少空调的使用。</w:t>
      </w:r>
    </w:p>
    <w:p w14:paraId="4A8712A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第1款，对住宅建筑的每个户型主要功能房间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主要考核卧室、起居室、书房及厨房</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通风开口面积与该房间地板面积的比例进行简化判断，其中厨房的通风开口面积与该房间地板面积的比例除满足本条第1款得分规定外，尚应符合强制性工程建设规范《住宅项目规范》GB55038-2025中第6.3.3条的规定。对于通风开口面积的确定，当平开门窗、悬窗、翻转窗 的最大开启角度小于45°时，通风开口面积应按照外窗可开启面 积的1/2计算，或根据实际有效通风面积计算。宿舍建筑及住宅式公寓按照本款要求执行。</w:t>
      </w:r>
    </w:p>
    <w:p w14:paraId="6448BCF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第2款，公共建筑需对过渡季节典型工况下主要功能房间的平均自然通风换气次数进行模拟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对于高大空间，主要考虑3m 以下的活动区域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。当评估单个计算区域或房间内空气混合均匀 时的建筑各区域或房间自然通风效果时，宜采用区域网络模拟方法：当描述单个区域或房间内的自然通风效果时，宜采用CFD 分布参数计算方法。具体计算可参照行业标准《民用建筑绿色性能计算标准》JGJ/T 449-2018第6.2.2条、第6.2.3条的相关 规定。当公共建筑层数超过18层时，只计算18层及以下楼层自然通风换气次数不小于2次/h的面积比例。</w:t>
      </w:r>
    </w:p>
    <w:p w14:paraId="576A97A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本条的评价方法为：预评价查阅相关设计文件，计算分析报告；评价查阅相关竣工图、计算分析报告。</w:t>
      </w:r>
    </w:p>
    <w:p w14:paraId="49296B8C">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5.2.11</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1EAB22E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全年空调度日数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CDD26</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值小于10</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d的严寒地区、寒冷地区，以及最热月平均温度不高于22℃的温和地区的建筑，本条可首接得分。以上主要是考虑我国地域广阔，气候多样，对于严寒和寒冷地区，存在夏季炎度日数较大的地区，因此提出了全年空调度日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CDD26</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的限制条件；对于温和地区当最热月月均气温高于22℃时，在气温波动和太阳辐射作用下，房间容易出现过热，因此对于这类地区建筑也应采取遮阳措施。</w:t>
      </w:r>
    </w:p>
    <w:p w14:paraId="485400F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本条所述的可调节遮阳设施包括活动外遮阳设施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含电致变色玻璃</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、中置可调遮阳设施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中空玻璃夹层可调内遮阳</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、固定外遮阳</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含建筑自遮阳</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加内部高反射率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全波段太阳辐射反射率大于0.50</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可调节遮阳设施、可调高反射率内遮阳设施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包括 活动百叶和窗帘</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等 。其中，固定外遮阳指建筑设计包含300mm以上的挑檐、阳台或立面构造。对于可调高反射率内遮阳设施，应在建筑设计图纸中明确有安装才可算作可调节遮阳设施。本条涉及的各种遮阳，均为设计图纸上有的遮阳设施，竣工交付时可现场核查。本条所述的外窗包含立面外窗和屋顶天窗。</w:t>
      </w:r>
    </w:p>
    <w:p w14:paraId="4D425E3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遮阳设施的面积占外窗透明部分比例S₂ 按下式计算：</w:t>
      </w:r>
    </w:p>
    <w:p w14:paraId="5330B22E">
      <w:pPr>
        <w:spacing w:line="360" w:lineRule="auto"/>
        <w:jc w:val="cente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Sz=S</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z0</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×η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63638B8A">
      <w:pPr>
        <w:spacing w:line="360" w:lineRule="auto"/>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式中：η—遮阳方式修正系数，对于活动外遮阳设施，η为1.2；对于中置可调遮阳</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p>
    <w:p w14:paraId="7C8855FF">
      <w:pPr>
        <w:spacing w:line="360" w:lineRule="auto"/>
        <w:ind w:firstLine="896" w:firstLineChars="4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设施，η为1；对于固定外遮阳加内部高反射率可调节遮阳设施，η为0.8；</w:t>
      </w:r>
    </w:p>
    <w:p w14:paraId="1462EDAB">
      <w:pPr>
        <w:spacing w:line="360" w:lineRule="auto"/>
        <w:ind w:firstLine="896" w:firstLineChars="4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对于可调高反射率内遮阳设施，η为0.6；</w:t>
      </w:r>
    </w:p>
    <w:p w14:paraId="0439B142">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S</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z0</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—遮阳设施应用面积比例。活动外遮阳、中置可调遮阳和可调内遮阳设施，</w:t>
      </w:r>
    </w:p>
    <w:p w14:paraId="186E7744">
      <w:pPr>
        <w:spacing w:line="360" w:lineRule="auto"/>
        <w:ind w:firstLine="1120" w:firstLineChars="5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可直接取其应用外窗的比例，即装置遮阳设施外窗面积占所有外窗面积</w:t>
      </w:r>
    </w:p>
    <w:p w14:paraId="7CEE1763">
      <w:pPr>
        <w:spacing w:line="360" w:lineRule="auto"/>
        <w:ind w:left="1197" w:leftChars="570" w:firstLine="0" w:firstLineChars="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的比例；对于固定外遮阳加内部高反射率可调节遮阳设施，按大暑日9:00</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17:00之间所有整点时刻其有效遮阳面积比例平均值进行计算，即期间所有整点时刻其在所有外窗的投影面积占所有外窗面积比例的平均值。</w:t>
      </w:r>
    </w:p>
    <w:p w14:paraId="6BC45E0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对于按照大暑日9:00</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17:00之间整点时刻没有阳光直射的透明围护结构，不计入计算。</w:t>
      </w:r>
    </w:p>
    <w:p w14:paraId="62FBBD9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本条的评价方法为：预评价查阅相关设计文件、产品说明书、计算书；评价查阅相关竣工图、产品说明书、计算书。</w:t>
      </w:r>
    </w:p>
    <w:p w14:paraId="724624D4">
      <w:pPr>
        <w:spacing w:before="40" w:line="360" w:lineRule="auto"/>
        <w:ind w:firstLine="439"/>
        <w:rPr>
          <w:rFonts w:hint="default" w:ascii="Times New Roman" w:hAnsi="Times New Roman" w:cs="Times New Roman"/>
          <w:spacing w:val="-11"/>
          <w:sz w:val="24"/>
          <w:szCs w:val="24"/>
          <w:u w:val="none"/>
        </w:rPr>
      </w:pPr>
      <w:r>
        <w:rPr>
          <w:rFonts w:hint="default" w:ascii="Times New Roman" w:hAnsi="Times New Roman" w:cs="Times New Roman"/>
          <w:spacing w:val="-11"/>
          <w:sz w:val="24"/>
          <w:szCs w:val="24"/>
          <w:u w:val="none"/>
        </w:rPr>
        <w:br w:type="page"/>
      </w:r>
    </w:p>
    <w:p w14:paraId="1DDDBF66">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68" w:name="_Toc204247756"/>
      <w:bookmarkStart w:id="169" w:name="_Toc16361"/>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6 生活便利</w:t>
      </w:r>
      <w:bookmarkEnd w:id="168"/>
      <w:bookmarkEnd w:id="169"/>
    </w:p>
    <w:p w14:paraId="3236C3B9">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70" w:name="_Toc204247757"/>
      <w:bookmarkStart w:id="171" w:name="_Toc8950"/>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6.1 控制项</w:t>
      </w:r>
      <w:bookmarkEnd w:id="170"/>
      <w:bookmarkEnd w:id="171"/>
    </w:p>
    <w:p w14:paraId="2BFD28DE">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6.1.1 </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6656979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无障碍设计是充分体现和保障不同需求使用者人身安全和心理健康的重要的设计内容，是提高人民生活质量，确保不同需求的人能够出行便利、安全地使用各种设施的基本保障。本条在满足现行强制性工程建设规范《建筑与市政工程无障碍通用规范》GB 55019及现行国家标准《无障碍设计规范》GB 50763的基础上，要求在建筑及其室外场地设计中，应保证无障碍步行系统的连贯性。项目基地范围内的人行通道应联通建筑的主要出入口、道路、公共绿地和公共空间以及外部的城市道路，形成连续、完整的无障碍步行系统。其中公共绿地是指设置了游憩或活动设施、人员可进入的绿地、居住区公园</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社区公园</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及小游园、街头小广场等。</w:t>
      </w:r>
    </w:p>
    <w:p w14:paraId="320BF10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w:t>
      </w:r>
    </w:p>
    <w:p w14:paraId="703946F7">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6.1.2</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eastAsia"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794BC4F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绿色建筑应首先满足使用者绿色出行的基本要求。本条以人步行到达公共交通站点</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含轨道交通站点</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的适宜时间不应超过10min 作为公共交通站点设置的合理距离，强调了建筑500m 范围内应设置公共交通站点，这也是促进公共交通出行的先决条件。对于没有公共交通服务的小城市或乡镇地区，若1000m范围内设有长途汽车站、城市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或城际</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轨道交通站，即为符合本条规定。如果不具备上述条件，应配备专用接驳车联系公共交通站点或长途汽车站、城市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或城际</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轨道交通站，以保障出行的便捷性。专用接驳车是指具有与公共交通站点接驳、能够提供定时定点服务、并已向使用者公示、提供合法合规服务的车辆。</w:t>
      </w:r>
    </w:p>
    <w:p w14:paraId="4BC88C6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本条的评价方法为：预评价查阅相关设计文件、公共交通站点位置示意图，专用接驳车路线设计与运行管理方案；评价查阅相关竣工图。</w:t>
      </w:r>
    </w:p>
    <w:p w14:paraId="71E951D8">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6.1.3</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5DB2017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对电动汽车停车位及充电设施和无障碍机动车停车位提出了要求。</w:t>
      </w:r>
    </w:p>
    <w:p w14:paraId="120CAC3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为贯彻落实国家发展改革委、国家能源局、工业和信息化部住房城乡建设部《电动汽车充电基础设施和发展指南</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2015～2020年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》的要求，满足电动汽车发展的需求，本条明确了机动车停车场</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库</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电动汽车停车位充电基础设施和无障碍机动车停车位要求，电动汽车停车位及充电设施的设置应在贯彻国家法律、法规，符合地区国民经济和社会发展规划的整体要求前提下，直接建设数量至少应达到当地相关规定要求，并与配电网建设规划相协调。其余车位应预留安装条件，根据现行国家标准《电动汽车分散充电设施工程技术标准》GB/T 51313要求，新建住宅配建停车位应100%建设充电设施或预留建设安装条件，大型公共建筑配建停车场、社会公共停车场建设充电设施或预留建设安装条件的车位比例不应低于10%；充电设施供电系统的消防安全应符合现行行业标准《电力设备典型消防规程》DL 5027的有关规定，建设中应符合消防安全、供用电安全、环境保护的要求。电动汽车充电基础设施建设，应纳入工程建设预算范围、随工程统一设计与施工完成直接建设或做好预留。</w:t>
      </w:r>
    </w:p>
    <w:p w14:paraId="1E2D194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预留条件的充电车位，至少应预留外电源管线、变压器容量、一级配电应预留低压柜安装空间、干线电缆敷设条件，第二级配电应预留区域总箱的安装空间与接入系统位置和配电支路电缆敷设条件，以便按需建设充电设施。</w:t>
      </w:r>
    </w:p>
    <w:p w14:paraId="2F723FB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无障碍机动车停车位应根据现行强制性工程建设规范《建筑与市政工程无障碍通用规范》GB 55019的要求，将通行方便、路线短的停车位设为无障碍机动车停车位；总停车数在100辆以</w:t>
      </w:r>
      <w:bookmarkStart w:id="172" w:name="bookmark112"/>
      <w:bookmarkEnd w:id="172"/>
      <w:bookmarkStart w:id="173" w:name="bookmark113"/>
      <w:bookmarkEnd w:id="173"/>
      <w:r>
        <w:rPr>
          <w:rFonts w:hint="default" w:ascii="Times New Roman" w:hAnsi="Times New Roman" w:eastAsia="宋体" w:cs="Times New Roman"/>
          <w:color w:val="000000" w:themeColor="text1"/>
          <w:spacing w:val="-8"/>
          <w:sz w:val="24"/>
          <w:szCs w:val="24"/>
          <w:u w:val="none"/>
          <w14:textFill>
            <w14:solidFill>
              <w14:schemeClr w14:val="tx1"/>
            </w14:solidFill>
          </w14:textFill>
        </w:rPr>
        <w:t>下时应至少设置1个无障碍机动车停车位，100辆以上时应设置 不少于总停车数1%的无障碍机动车停车位；城市广场、公共绿地、城市道路等场所的停车位应设置不少于总停车数2%的无障碍机动车停车位。</w:t>
      </w:r>
    </w:p>
    <w:p w14:paraId="61367AB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本条的评价方法为：预评价查阅建筑施工图和建筑总平面图中电动汽车和无障碍机动车停车位设计内容，电气施工图中充电 设施条件、配电系统要求、布线系统要求、计量要求等设计内容；评价查阅相关竣工图。</w:t>
      </w:r>
    </w:p>
    <w:p w14:paraId="21687D9C">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6.1.4</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7C4E591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本条规定应为使用自行车出行的人提供方便的停车场所，以此鼓励绿色出行。现行国家标准《城市步行和自行车交通系统规划标准》GB/T 51439规定，自行车停放空间应满足各类自行车的停放需求。自行车停放设施，应靠近目的地设置，并与其他交通方式便捷衔接。现行国家标准《城市综合交通体系规划标准》GB/T 51328规定，非机动车停车场应满足非机动车的各类停放需求，宜在地面设置，并与非机动车交通网络相衔接。自行车停车场所应规模适度、布局合理，符合使用者出行习惯。对于不适宜使用自行车作为交通工具的情况</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如山地城市/镇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，应提供专项说明材料，经论证确实不适宜使用自行车作为交通工具的视为本条达标。不适宜使用自行车但电动自行车较多的城市，电动自行车停车场所也应满足本条要求，并符合电动自行车停车有关管理规定。</w:t>
      </w:r>
    </w:p>
    <w:p w14:paraId="4DB8600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此外，电动自行车以其经济、便捷的特点，成为群众出行的重要交通工具。与此同时，特别是住宅小区内因电动自行车乱停 乱放、充电不规范等原因频繁引发安全事故，造成经济损失。因此，本条要求在场地规划设计时，应根据当地情况，合理设置电 动自行车停车场地。国家标准《电动自行车安全技术规范》GB 17761-2018明确电动自行车属非机动车属性，电动自行车是以 车载蓄电池作为辅助能源，具有脚踏骑行能力，能实现电助动 或/和电驱动功能的两轮自行车。近年，部分省市发布了居住项目的电动自行车停车位指标，要求加强新建居住项目电动自行车停放场所和充电设施建设，如北京市出台了地方标准《电动自行车停放场所防火设计标准》DB11/1624-2019</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对电动自行车停 放场所提出了相关要求。本条要求停放电动自行车的自行车停车场所，电动自行车停车位宜优先设置在地面，避免设置在人防工程内。在地下或半地下设置电动自行车停车位时，应设置相应坡道供电动自行车推行，方便出入。电动自行车可每车按2.0m² 计算。电动自行车停放车位应相对集中设置，并集中设置充换电区，且考虑充电设施的安全性，可采用专用充电设施，充电设施宜采用充电柜，且充电设施附近应有电气安全防护措施。充电场所及设施建设应符合现行国家标准《建筑设计防火规范》GB 50016及其他当地的相关标准和规定，合理确定设置位置、防火间距和消防设施等，并结合电动自行车的特点，采取有效的防火措施，做到安全可靠、因地制宜、经济适用。</w:t>
      </w:r>
    </w:p>
    <w:p w14:paraId="1BD2130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居住建筑，一定规模以上的非机动车停车场所的出入口应尽量开向住宅小区外部的公共道路，保证小区内部人车分流；实在无条件的，应通过非机动车专用道路、引导标识等措施，降低非机动车对居民日常活动的影响。</w:t>
      </w:r>
    </w:p>
    <w:p w14:paraId="0F26D47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w:t>
      </w:r>
    </w:p>
    <w:p w14:paraId="1297AAAB">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6.1.5</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本条适用于各类民用建筑的预评价、评价。未设置建筑设备管理系统的建筑，在提交合理充分的论述和证明材料后，本条直接通过。</w:t>
      </w:r>
    </w:p>
    <w:p w14:paraId="355067FE">
      <w:pPr>
        <w:spacing w:line="360" w:lineRule="auto"/>
        <w:ind w:firstLine="448" w:firstLineChars="200"/>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本条旨在通过完善和落实建筑设备管理系统的自动监控管理功能，确保建筑物的高效运营管理。但不同规模、不同功能的建筑项目是否需要设置以及需设置的系统大小应根据实际情况合理确定，规范设置。比如当公共建筑的面积不大于20000m² 或住宅建筑面积不大于10 0000m² 且未采用集中空调、建筑设备形式较为简单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例如全部采用分散式的房间空调器或自带监控系统的多联机、未设置公共区域和夜景照明、未单设水泵</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时，对于其公共设施的监控可以不设建筑设备自动监控系统，但应设置简易的节能控制措施，如对风机水泵的变频控制、不联网的就地控制器、简单的单回路反馈控制等，也都能取得良好的效果，本条也可通过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3535A68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为确保建筑高效运营管理，建筑设备管理系统的自动监控管理功能应能实现对主要设备的有效监控。现行强制性工程建设规范《建筑电气与智能化通用规范》GB55024对建筑设备管理系统提出如下设计规定：</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应支持开放式系统技术；</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2</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应具备系统自诊断和故障部件自动隔离、自动唤醒、故障报警及自动监控功能；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3</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应具备参数超限报警和执行保护动作的功能，并反馈其动作信号；</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4</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建筑设备管理系统与其他建筑智能化系统关联时，应配置与其他建筑智能化系统的通信接口。现行强制性工程建设规范《建筑节能与可再生能源利用通用规范》GB 55015要求建筑面积不低于20000m²且采用集中空调的公共建筑，应设置建筑设备监控系统。现行行业标准《建筑设备监控系统工程 技术规范》JGJ/T 334中指出不同建筑设备的监控功能要求不尽相同，需要根据被监控设备种类和实际项目需求进行确定，并给出不同建筑设备常见的监控功能要求，可用于指导相关系统设计落实。</w:t>
      </w:r>
    </w:p>
    <w:p w14:paraId="394B6A2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本条的评价方法为：预评价查阅相关设计文件（智能化设计图纸、装修图纸）；评价查阅相关竣工图。</w:t>
      </w:r>
    </w:p>
    <w:p w14:paraId="71E8CFA5">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6.1.6 </w:t>
      </w:r>
      <w:r>
        <w:rPr>
          <w:rFonts w:hint="default"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71DB372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旨在通过信息网络系统为建筑使用者提供高效便捷的服务功能。现行强制性工程建设规范《建筑电气与智能化通用规范》GB55024要求建筑物应设置信息网络系统，信息网络系统应满足建筑使用功能、业务需求及信息传输的要求，并应配置信息安全保障设备及网络安全管理系统。为保证建筑的安全、高效运营，应根据国家现行标准《智能建筑设计标准》GB/T 50314 和《居住区智能化系统配置与技术要求》CJ/T 174</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设置合理、完善的信息网络系统。建筑内的信息网络系统一般分为业务信息网和智能化设施信息网，由物理线缆层、网络交换层、安全及安全管理系统、运行维护管理系统等组成，支持建筑内语音、数据、图像等多种类信息的传输。现代建筑的业务运行、运营及管理等与信息系统的安全密切相关，如果信息系统受到破坏，将会带来巨大的损失。系统和信息的安全，是系统正常运行的前提，一定要保证。建筑内信息网络系统与建筑物外其他信息网互联时，必须采取信息安全防范措施，确保信息网络系统安全、稳定和可靠。</w:t>
      </w:r>
    </w:p>
    <w:p w14:paraId="2E3C4C2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智</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能化、装修专业）；评价查阅相关竣工图。</w:t>
      </w:r>
    </w:p>
    <w:p w14:paraId="0A03DADA">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6.1.7</w:t>
      </w:r>
      <w:r>
        <w:rPr>
          <w:rFonts w:hint="default"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254351B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本章从出行与无障碍、服务设施、智慧运行和运营管理等方面提出了评价要求，生活便利相关技术要求还应符合现行强制性工程建设规范《建筑节能与可再生能源利用通用规范》GB 55015、《建筑与市政工程无障碍通用规范》 GB 55019、《建筑电气与智能化通用规范》GB 55024等的规定。 </w:t>
      </w:r>
    </w:p>
    <w:p w14:paraId="47AB5DF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w:t>
      </w:r>
    </w:p>
    <w:p w14:paraId="123C549A">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74" w:name="_Toc31255"/>
      <w:bookmarkStart w:id="175" w:name="_Toc204247758"/>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6.2 评分项</w:t>
      </w:r>
      <w:bookmarkEnd w:id="174"/>
      <w:bookmarkEnd w:id="175"/>
    </w:p>
    <w:p w14:paraId="36D99FCB">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76" w:name="_Toc11784"/>
      <w:bookmarkStart w:id="177" w:name="_Toc204247759"/>
      <w:r>
        <w:rPr>
          <w:rFonts w:hint="default" w:ascii="Times New Roman" w:hAnsi="Times New Roman" w:cs="Times New Roman"/>
          <w:color w:val="000000" w:themeColor="text1"/>
          <w:sz w:val="24"/>
          <w:szCs w:val="24"/>
          <w:u w:val="none"/>
          <w:lang w:eastAsia="zh-CN"/>
          <w14:textFill>
            <w14:solidFill>
              <w14:schemeClr w14:val="tx1"/>
            </w14:solidFill>
          </w14:textFill>
        </w:rPr>
        <w:t>I 出行与无障碍</w:t>
      </w:r>
      <w:bookmarkEnd w:id="176"/>
      <w:bookmarkEnd w:id="177"/>
    </w:p>
    <w:p w14:paraId="2FC2260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6.2.1</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3666BE9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优先发展公共交通是缓解城市交通拥堵问题的重要措施，因此建筑与公共交通联系的便捷程度很重要。本条所指公共交通站点包括公共汽车站和轨道交通站。为便于选择公共交通出行，在选址与场地规划中应重视建筑场地与公共交通站点的便捷联系，合理设置出入口。</w:t>
      </w:r>
    </w:p>
    <w:p w14:paraId="588BDCA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本条的评价方法为：预评价查阅相关设计文件，公共交通站点位置示意图；评价查阅相关竣工图。</w:t>
      </w:r>
    </w:p>
    <w:p w14:paraId="755F1407">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6.2.2 </w:t>
      </w:r>
      <w:r>
        <w:rPr>
          <w:rFonts w:hint="default"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617DCC1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为老年人、行动不便者提供活动场地及相应的服务设施和方便、安全的无障碍的出行环境，营造全龄友好的生活居住环境是城市建设不容忽略的重要问题。</w:t>
      </w:r>
    </w:p>
    <w:p w14:paraId="33CB9AB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建筑内公共区域应结合装修设计，保证在建筑行动流线上的使用安全，本款主要要求在学校、幼儿园、商业、娱乐、住宅等建筑中，在人流量大且集中的建筑出入口、门厅、走廊、楼梯等室内公共区域中，与人体高度接触较多的墙、柱等公共部位的阳角均采用圆角或防撞条，可以避免棱角或尖锐突出物给使用者，尤其是老人、行动不便者及儿童带来的安全隐患，当公共区域室内阳角为大于90°的钝角时，可不做圆角要求。同时，安全抓杆或扶手属于无障碍设施，主要使用在过道走廊两侧、公共卫生间墙面等位置，是一种帮助老年人、儿童和残障人士行走和上下的公共设施。设置具有防滑功能的，连贯、牢固、易于抓握的安全抓杆或扶手，有利于提高老年人和儿童的活动范围和保证基本安全。对于一般公共区域，结合室内装修也可通过装饰部品设置隔绝，避免产生危险。</w:t>
      </w:r>
    </w:p>
    <w:p w14:paraId="790FAB3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两层及两层以上的建筑应至少设有1部无障碍电梯，其中住宅建筑应每单元设置可容纳担架的电梯，公共建筑应至少设有1部可容纳担架的电梯，设有可容纳担架的电梯能保证建筑使用者出现突发病症时，更方便地利用垂直交通。可容纳担架的电梯尺寸应满足现行国家标准《电梯主参数及轿厢、井道、机房的型式与尺寸第1部分：I、Ⅱ、Ⅲ、IV类电梯》GB/T 7025.1的规定。</w:t>
      </w:r>
    </w:p>
    <w:p w14:paraId="61A3EE1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建筑专业、 景观专业</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w:t>
      </w:r>
    </w:p>
    <w:p w14:paraId="4B1EB528">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78" w:name="_Toc30630"/>
      <w:bookmarkStart w:id="179" w:name="_Toc204247760"/>
      <w:r>
        <w:rPr>
          <w:rFonts w:hint="default" w:ascii="Times New Roman" w:hAnsi="Times New Roman" w:cs="Times New Roman"/>
          <w:color w:val="000000" w:themeColor="text1"/>
          <w:sz w:val="24"/>
          <w:szCs w:val="24"/>
          <w:u w:val="none"/>
          <w:lang w:eastAsia="zh-CN"/>
          <w14:textFill>
            <w14:solidFill>
              <w14:schemeClr w14:val="tx1"/>
            </w14:solidFill>
          </w14:textFill>
        </w:rPr>
        <w:t>Ⅱ 服务设施</w:t>
      </w:r>
      <w:bookmarkEnd w:id="178"/>
      <w:bookmarkEnd w:id="179"/>
    </w:p>
    <w:p w14:paraId="0B0CCE5C">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6.2.3 </w:t>
      </w:r>
      <w:r>
        <w:rPr>
          <w:rFonts w:hint="default"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52AD5D3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第1款，住宅建筑：本标准与现行国家标准《城市居住区规划设计标准》GB 50180进行了对接，居住区的配套设施是指对 应居住区分级配套规划建设，并与居住人口规模或住宅建筑面积 规模相匹配的生活服务设施；主要包括公共管理与公共服务设 施、商业服务业设施、市政公用设施、交通场站及社区服务设施、便民服务设施。本条选取了居民使用频率较高或对便利性要  求较高的配套设施进行评价，突出步行可达的便利性设计原则。 强化了对医院、各类群众文化活动设施、老年人日间照料中心等公共服务设施服务水平的评价。其中医院含社区卫生服务中心</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街道医院</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群众文化活动设施指群艺馆、文化馆、文化宫、文化活动中心、老年人或儿童活动中心等。老人日间照料设施应符合《老年人照料设施建筑设计标准》JGJ450的规定。</w:t>
      </w:r>
    </w:p>
    <w:p w14:paraId="05C1CE7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第2款，公共建筑：兼容2种及以上主要公共服务功能是指主要服务功能在建筑内部混合布局、可供不同业主单位共同使用或向社会公众开放的建筑空间，如建筑中设有共用的会议设施、 展览设施、健身设施、餐饮设施等以及交往空间、休息空间等空间，提供休息座位、家属室、母婴室、活动室等人员停留、沟通交流、聚集活动等与建筑主要使用功能相适应的公共空间。</w:t>
      </w:r>
    </w:p>
    <w:p w14:paraId="2E991E9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公共服务功能设施向社会开放共享的方式也具有多种形式，可以全时开放，也可根据自身使用情况错时开放。例如文化活动中心、图书馆、体育运动场、体育馆等，通过科学管理错时向社会公众开放；办公建筑的室外场地、停车库等在非办公时间向周边居民开放，会议室等向社会开放等。电动汽车充电桩的车位数占总车位数的比例不低于10%</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指配建到位的电动汽车充电桩</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是适应电动汽车发展的必要措施。周边500m 范围内设有社会公共停车场</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库</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也是对社会设施共享共用、建筑使用者出行便捷性的重要评价内容。对城市步行公共通道等进行评价，以提高和保障城市公共空间步行系统的完整性和连续性，一方面为城市居民的出行提供便利、提高通达性，另一方面也是绿色建筑使用者出行便利的重要评价内容。对于中小学、幼儿园以及社会福利设施等公共服务设施，因其建筑使用功能属性的特殊性，本款第1、2、5项直接评价为符合得分要求。</w:t>
      </w:r>
    </w:p>
    <w:p w14:paraId="39733C5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本条的评价方法为：预评价查阅相关设计文件、相关公共服务设施位置示意图；评价查阅相关竣工图，投入使用的项目尚应查阅设施向社会共享的实施方案、工作记录等。</w:t>
      </w:r>
      <w:bookmarkStart w:id="180" w:name="bookmark114"/>
      <w:bookmarkEnd w:id="180"/>
    </w:p>
    <w:p w14:paraId="6FF8B8F6">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6.2.4 </w:t>
      </w:r>
      <w:r>
        <w:rPr>
          <w:rFonts w:hint="default"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6ADCB09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强调了城市公共开敞空间、运动场所的便捷性、可达性。</w:t>
      </w:r>
    </w:p>
    <w:p w14:paraId="78B9607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 1 款 ，提出以场地主要出入口步行300m 即可到达任何1 个城市公园绿地、居住区公园</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社区公园</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、城市广场进行得分 评价。居住区公园</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社区公园</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应符合现行国家标准《城市居住 区规划设计标准》GB 50180的有关规定，其用地面积应大于或 等于4000m²。</w:t>
      </w:r>
    </w:p>
    <w:p w14:paraId="63BA241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第2款，提出步行500m 应能够到达1处中型多功能运动场地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大约1300 m²~2500m²</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集中设置了篮球、排球、5人足球的运动场地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或是其他对外开放的专用运动场，如学校对外开放、符合中型多功能运动场地要求的运动场，以及设置了运动场 地的体育建筑</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配有400m跑道运动场并可开展足球、篮球、排球等运动</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均可评价为符合得分要求。</w:t>
      </w:r>
    </w:p>
    <w:p w14:paraId="195FB65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本条的评价方法为：预评价查阅相关设计文件、位置标识图；评价查阅相关竣工图。</w:t>
      </w:r>
    </w:p>
    <w:p w14:paraId="6345C459">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6.2.5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7EF0CBE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随着人们对健康生活的重视，人们对健身活动越来越热衷。健身活动有利于人体骨骼、肌肉的生长，增强心肺功能，改善血液循环系统、呼吸系统、消化系统的机能状况，有利于人体的生长发育，提高抗病能力，增强有机体的适应能力。室外健身可以进人们更多的接触自然，提高对环境的适应能力，也有益于心理健康，对保障人体健康具有重要意义。</w:t>
      </w:r>
    </w:p>
    <w:p w14:paraId="157BDE3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要求项目用地范围内设置集中的室外健身活动区。健身场地的设置位置应避免噪声扰民，并根据运动类型设置适当的隔声措施；健身场地应根据建筑功能和主要使用人群进行设计，满足不同使用人群的室外活动要求。</w:t>
      </w:r>
    </w:p>
    <w:p w14:paraId="4E1C967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健身慢行道是指在场地内设置的供人们进行行走、慢跑的专用步道。健身慢行道应尽可能避免与场地内车行道交叉，步道宜采用弹性减振、防滑和环保的材料，如塑胶、彩色陶粒等。步道宽度不少于1.25m，源自原建设部以及原国土资源部联合发布的《城市社区体育设施建设用地指标》的要求。</w:t>
      </w:r>
    </w:p>
    <w:p w14:paraId="5D5E683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第3款，鼓励建筑或社区中设置健身房，或利用公共空间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如小区会所、入口大堂、休闲平台、共享空间等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设置健身区，配置一些健身器材，提供给人们全天候进行健身活动的条件，鼓励积极健康的生活方式。健康空间还包括开放共享的羽毛球室、乒乓球室。</w:t>
      </w:r>
    </w:p>
    <w:p w14:paraId="6AFCBBA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第4款，鼓励将楼梯设置在靠近主入口的地方。楼梯间内有天然采光通风、有良好的视野和人体感应灯，可以提高楼梯间锻炼的舒适度。</w:t>
      </w:r>
    </w:p>
    <w:p w14:paraId="48817A3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本条的评价方法为：预评价查阅相关设计文件、场地布置图，产品说明书；评价查阅相关竣工图、产品说明书。</w:t>
      </w:r>
    </w:p>
    <w:p w14:paraId="3EB80B72">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81" w:name="_Toc30254"/>
      <w:bookmarkStart w:id="182" w:name="_Toc204247761"/>
      <w:r>
        <w:rPr>
          <w:rFonts w:hint="default" w:ascii="Times New Roman" w:hAnsi="Times New Roman" w:cs="Times New Roman"/>
          <w:color w:val="000000" w:themeColor="text1"/>
          <w:sz w:val="24"/>
          <w:szCs w:val="24"/>
          <w:u w:val="none"/>
          <w:lang w:eastAsia="zh-CN"/>
          <w14:textFill>
            <w14:solidFill>
              <w14:schemeClr w14:val="tx1"/>
            </w14:solidFill>
          </w14:textFill>
        </w:rPr>
        <w:t>Ⅲ 智慧运行</w:t>
      </w:r>
      <w:bookmarkEnd w:id="181"/>
      <w:bookmarkEnd w:id="182"/>
    </w:p>
    <w:p w14:paraId="3C4E2D7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6.2.6 </w:t>
      </w:r>
      <w:r>
        <w:rPr>
          <w:rFonts w:hint="default"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20C4A30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在本标准2014年版第5.1.3条基础上发展而来。本条旨在保障且体现绿色建筑达到预期的运营效果，建筑至少应对建筑最基本的能源资源消耗量设置管理系统。但不同规模、不同功能的建筑项目需设置的系统大小及是否需要设置应根据实际情况合理确定。</w:t>
      </w:r>
    </w:p>
    <w:p w14:paraId="773A8F2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要求设置电、气、热的能耗计量系统和能源管理系统。计量系统是实现运行节能、优化系统设置的基础条件，能源管理系统使建筑能耗可知、可见、可控，从而达到优化运行、降低消耗的目的。冷热源、输配系统和电气等各部分能源应进行独立分项计量，并能实现远传，其中冷热源、输配系统的主要设备包括冷热水机组、冷热水泵、新风机组、空气处理机组、冷却塔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电气系统包括照明、插座、动力等。对于住宅建筑及宿舍建筑，主要针对公共区域提出要求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如公共动力设备用电、室内公共区域照明用电、室外景观照明用电等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4DF4DB3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计量器具应满足现行国家标准《用能单位能源计量器具配备和管理通则》GB 17167中的要求。</w:t>
      </w:r>
    </w:p>
    <w:p w14:paraId="26DB3D9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本条要求在计量基础上，通过能源管理系统实现数据传输、存储、分析功能，系统可存储数据均应不少于一年。</w:t>
      </w:r>
    </w:p>
    <w:p w14:paraId="0FD74F9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能源系统设计图纸、能源管理系统配置等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；评价查阅相关竣工图、产品型 式检验报告，投入使用的项目尚应查阅管理制度、历史监测数 据、运行记录。</w:t>
      </w:r>
    </w:p>
    <w:p w14:paraId="59B5091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6.2.7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447F903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旨在引导保持理想的室内空气质量指标，必须不断收集建筑室内空气质量测试数据。空气污染物传感装置和智能化技术的完善普及，使对建筑内空气污染物的实时采集监测成为可能。当所监测的空气质量偏离理想阈值时，系统应做出警示，建筑管理方或使用方应对可能影响这些指标的系统做出及时的调试或调整。若将监测发布系统与建筑内空气质量调控设备组成自动控制系统，可实现室内环境的智能化调控，在维持建筑室内环境健康舒适的同时减少不必要的能源消耗。为加强建筑的可感知性，本条要求住宅建筑和宿舍建筑每户均应设置空气质量监控系统，公共建筑主要功能房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除走廊、核心筒、卫生间、电梯间等非功能空间外，承载实现相应类型建筑主要使用功能的房间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均应设置空气质量监控系统。本条文要求对于安装监控系统的建筑，系统至少对 PM</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、PM2</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5、CO₂分别进行定时连续测量、显示和记录，在建筑开放使用时间段内，监测系统对污染物浓度的读数时间间隔不得长于10min 其中CO₂监测要求主要针对公共建筑中间歇性人员密集的主要功能房间，如大会议室、大办公室、商场、展馆、影院等。</w:t>
      </w:r>
    </w:p>
    <w:p w14:paraId="20FB6F6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监测系统设计图纸、点位图等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；评价查阅相关竣工图、产品型式检验报告，投入使用的项目尚应查阅管理制度、历史监测数据、运行记录。</w:t>
      </w:r>
    </w:p>
    <w:p w14:paraId="302F79D0">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6.2.8 </w:t>
      </w:r>
      <w:r>
        <w:rPr>
          <w:rFonts w:hint="default"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463092E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第1款，采用远传计量系统对各类用水进行计量，可准确掌握项目用水现状，如水系管网分布情况，各类用水设备、设施、仪器、仪表分布及运转状态，用水总量和各用水单元之间的定量 关系，找出薄弱环节和节水潜力，制定出切实可行的节水管理措施和规划。</w:t>
      </w:r>
    </w:p>
    <w:p w14:paraId="2B80905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第2款，远传水表可以实时的将用水量数据上传给管理系统。远传水表应根据水平衡测试的要求分级安装。物业管理方应通过远传水表的数据进行管道漏损情况检测，随时了解管道漏损 情况，及时查找漏损点并进行整改。</w:t>
      </w:r>
    </w:p>
    <w:p w14:paraId="52B0B72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第3款，建筑中设有的各类供水系统均设置了在线监测系统，第3款方可得分。根据相应水质标准规范要求，可选择对浊度、余氯、pH值、电导率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TDS</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等指标进行监测，例如管道 直饮水可不监测浊度、余氯，对终端直饮水设备没有在线监测的要求。对建筑内各类水质实施在线监测，能够帮助物业管理部门随时掌握水质指标状况，及时发现水质异常变化并采取有效措施。水质在线监测系统应有报警记录功能，其存储介质和数据库 应能记录连续一年以上的运行数据，且能随时供用户查询。水质监测的关键性位置和代表性测点包括：水源、水处理设施出水及 最不利用水点。</w:t>
      </w:r>
    </w:p>
    <w:p w14:paraId="0871515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含远传计量系统设置说明、分级水表设置示意图、水质监测点位说明、设置示意图等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含远传计量系统设置说明、分级水表设置示意图、水质监测点位说明、设置示意图等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、监测与发布系统 设计说明，投入使用的项目尚应查阅漏损检测管理制度</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或漏损检测、分析及整改情况报告</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、水质监测管理制度</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或水质监测记录</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p>
    <w:p w14:paraId="0A72C07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6.2.9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769D31E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智能化服务系统包括智能家居监控系统、智能环境设备监控  系统、智能工作生活服务系统等，其以相对独立的使用空间为单元，利用综合布线技术、网络通信技术、自动控制技术、音视频  技术等将家居生活或工作事务有关的设施进行集成，构建高效的建筑设施与日常事务的管理系统，提升家居和工作的安全性、便利性、舒适性、艺术性，实现更加便捷适用的生活和工作环境，提高用户对绿色建筑的感知度。</w:t>
      </w:r>
    </w:p>
    <w:p w14:paraId="58846B5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第1款，智能化服务系统具体包括家电控制、照明控制、安全报警、环境监测、建筑设备控制、工作生活服务</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如通过信息化数字化智能化手段实现养老服务预约、会议预约、智慧化物业管理、疫情防控管理调度</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等系统与平台，可实现多种服务功能。本款要求至少实现3种类型的服务功能，以便提升用户感知度和获得感。</w:t>
      </w:r>
    </w:p>
    <w:p w14:paraId="2C774E8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体现建筑使用便利性，本款要求住宅建筑每户户内均应设置智能化服务系统终端设备，公共建筑主要功能房间内应设置智能化服务系统终端设备。对于项目竣工时未设置而在运行使用后由用户自行购买安装的情况，本条评价时不予认定。</w:t>
      </w:r>
    </w:p>
    <w:p w14:paraId="69E7950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第2款，智能化服务系统的控制方式包括电话或网络远程控制、室内外遥控、红外转发以及可编程定时控制等，如果系统具备了远程监控功能，使用者可通过以太网、移动数据网络等，实现对建筑室内物理环境状况、设备设施状态的监测，以及对智能家居或环境设备系统的控制、对工作生活服务平台的访问操作，则可以有效提升服务便捷性。同样的，本款也要求具有远程监控功能的服务类型要达到3种。 </w:t>
      </w:r>
    </w:p>
    <w:p w14:paraId="6034E69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第3款，智能化服务系统若仅限于物业管理单位来管理和维护的话，其信息更新与扩充的速度和范围一般会受到局限，如果智能化服务平台能够与所在的智慧城市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城区、社区</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平台对接，则可有效实现信息和数据的共享与互通，大大提高信息更新 与扩充的速度和范围，实现相关各方的互惠互利。智慧城市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城区、社区</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的智能化服务系统的基本项目一般包括智慧物业管理、电子商务服务、智慧养老服务、智慧家居、智慧医院等，能够为建筑层面的智能化服务系统提供有力支撑。本款要求至少1个系统项目实现与智慧城市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城区、社区</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平台对接。</w:t>
      </w:r>
    </w:p>
    <w:p w14:paraId="59E12F1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智能家居或环境设备监控系统设计方案、智能化服务平台方案、相关智能化设计图纸、装修图纸</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；评价查阅相关竣工图、产品型式检验报告，投入使用的项目尚应查阅管理制度、历史监测数据、运行记录。 </w:t>
      </w:r>
    </w:p>
    <w:p w14:paraId="2A0E720F">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83" w:name="_Toc1374"/>
      <w:bookmarkStart w:id="184" w:name="_Toc204247762"/>
      <w:r>
        <w:rPr>
          <w:rFonts w:hint="default" w:ascii="Times New Roman" w:hAnsi="Times New Roman" w:cs="Times New Roman"/>
          <w:color w:val="000000" w:themeColor="text1"/>
          <w:sz w:val="24"/>
          <w:szCs w:val="24"/>
          <w:u w:val="none"/>
          <w:lang w:eastAsia="zh-CN"/>
          <w14:textFill>
            <w14:solidFill>
              <w14:schemeClr w14:val="tx1"/>
            </w14:solidFill>
          </w14:textFill>
        </w:rPr>
        <w:t>IV 运营管理</w:t>
      </w:r>
      <w:bookmarkEnd w:id="183"/>
      <w:bookmarkEnd w:id="184"/>
    </w:p>
    <w:p w14:paraId="361A2FE9">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6.2.10 </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本条适用于各类民用建筑的评价。</w:t>
      </w:r>
    </w:p>
    <w:p w14:paraId="774DB1D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本条在本标准2019年发布版第6.2.10条基础上发展而来。本条在现行强制性工程建设规范《建筑节能与可再生能源利用通用规范》GB 55015对用能设备设施运行管理要求的基础上，提出了更为全面的绿色建筑运行管理要求。</w:t>
      </w:r>
    </w:p>
    <w:p w14:paraId="141A742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第1款，本款要求建立完善的节能、节水的操作规程，并放置、悬挂或张贴在各个操作现场的明显处。主要包括：设备设施 运行的节能、节水操作规程、故障诊断与处理办法等。运行管理人员应具备相关专业知识，熟练掌握有关系统和设备的工作原理、运行策略及操作规程，且应经培训后方可担任职责。</w:t>
      </w:r>
    </w:p>
    <w:p w14:paraId="15DC562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本款要求运营管理机构在保证建筑的使用性能要求、投诉率低于规定值的前提下，实现其经济效益与建筑用能系统的耗能状况、水资源等的使用情况直接挂钩。在运营管理中，建筑运行能耗可参考现行国家标准《民用建筑能耗标准》GB/T 51161制定激励政策，建筑水耗可参考现行国家标准《民用建筑节水设计标准》GB 50555制定激励政策。通过绩效考核，调动各方面的节能、节水积极性。</w:t>
      </w:r>
    </w:p>
    <w:p w14:paraId="600125B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本条的评价方法为：评价查阅相关管理制度、操作规程、运行记录。</w:t>
      </w:r>
    </w:p>
    <w:p w14:paraId="30B830CA">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6.2.11</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eastAsia"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本条适用于各类民用建筑的评价。在项目投入使用前评价，本条不得分。</w:t>
      </w:r>
    </w:p>
    <w:p w14:paraId="473ACE7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计算平均日用水量时，应实事求是地确定用水的使用人数、用水面积等。使用人数在项目使用初期可能不会达到设计人数，如住宅的入住率可能不会很快达到100%</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因此对与用水人数相关的用水，如饮用、盥洗、冲厕、餐饮等，应根据用水人数来计算平均日用水量；对使用人数相对固定的建筑，如办公建筑等，按实际人数计算；对浴室、商场、餐厅等流动人口较大且数量无法明确的场所，可按设计人数计算。</w:t>
      </w:r>
    </w:p>
    <w:p w14:paraId="3F5448F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对与用水人数无关的用水，如绿化灌溉、地面冲洗、水景补水等，则根据实际水表计量情况进行考核。</w:t>
      </w:r>
    </w:p>
    <w:p w14:paraId="7392828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根据实际运行一年的水表计量数据和使用人数、用水面积等计算平均日用水量，与节水用水定额进行比较来判定。</w:t>
      </w:r>
    </w:p>
    <w:p w14:paraId="4555E18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本条的平均值为现行国家标准《民用建筑节水设计标准》 GB 50555中上限值和下限值的算术平均值。</w:t>
      </w:r>
    </w:p>
    <w:p w14:paraId="7B98336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本条的评价方法为：评价查阅实测用水量计量报告和建筑平均日用水量计算书。</w:t>
      </w:r>
    </w:p>
    <w:p w14:paraId="2245E37A">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6.2.12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本条适用于各类民用建筑的评价。</w:t>
      </w:r>
    </w:p>
    <w:p w14:paraId="588DF4C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对绿色建筑的运营效果进行评估是及时发现和解决建筑运营问题的重要手段，也是优化绿色建筑运行的重要途径。绿色建筑涉及的专业面广，所以制定绿色建筑运营效果评估技术方案和评估计划，是评估有序和全面开展的保障条件。本款要求运营管理机构应结合项目使用特点、能源系统构成，在执行现行强制性工程建设规范《建筑节能与可再生能源利用通用规范》GB 55015对建筑能源系统运行维护和节能管理强制要求的基础上，制定完善的绿色建筑运营效果评估技术方案和评估计划。根据评估结果，可发现绿色建筑是否达到预期运行目标，进而针对发现的运营问题制定绿色建筑优化运营方案，保持甚至提升绿色建筑运行效率和运营效果。</w:t>
      </w:r>
    </w:p>
    <w:p w14:paraId="500DA57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第2款，保持建筑及其区域的公共设施设备系统、装置运行正常，做好定期巡检和维保工作，是绿色建筑长期运行管理中实 现各项目标的基础。制定的管理制度、巡检规定、作业标准及相 应的维保计划是保障使用者安全、健康的基本保障。定期的巡检 包括：公共设施设备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管道井、绿化、路灯、外门窗等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的安全、完好程度、卫生情况等；设备间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配电室、机电系统机房、泵房</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的运行参数、状态、卫生等；消防设备设施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室外消防栓、自动报警系统、灭火器</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等完好程度、标识、状态等；建筑完损等级评定</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结构部分的墙体，楼盖，楼地面、幕墙，装修部分的门窗，外装饰、细木装修，内墙抹灰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安全检测、防锈防腐等，以上内容还应做好归档和记录。系统、设备、装置的检查、调适不仅限于新建建筑的试运行和竣工验收，而应是一项持续性、长期性的工作。建筑运行期间，所有与建筑运行相关的管理、运行状态，建筑构件的耐久性、安全性等会随时间、环境、使用需求调整而发生变化，因此持续到位的维护特别重要。</w:t>
      </w:r>
    </w:p>
    <w:p w14:paraId="4C1C4BE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第3款，运营管理机构有责任定期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每年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开展能源诊断。住宅类建筑能源诊断的内容主要包括：能耗现状调查、室内热环境和暖通空调系统等现状诊断。住宅类建筑能源诊断检测方法可参照现行行业标准《居住建筑节能检测标准》JGJ/T 132的有关规定。公共建筑能源诊断的内容主要包括：冷水机组、热泵机组的实际性能系数、锅炉运行效率、水泵效率、水系统补水率、水系统供回水温差、冷却塔冷却性能、风机单位风量耗功率、风系统平衡度等，公共建筑能源诊断检测方法可参照现行行业标准《公共建筑节能检测标准》JGJ/T 177的有关规定。</w:t>
      </w:r>
    </w:p>
    <w:p w14:paraId="2A050C4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本条的评价方法为：评价查阅相关管理制度、年度评估报告、历史数据、运行记录、诊断报告。</w:t>
      </w:r>
    </w:p>
    <w:p w14:paraId="171E7E03">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6.2.13 </w:t>
      </w:r>
      <w:r>
        <w:rPr>
          <w:rFonts w:hint="eastAsia"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本条适用于各类民用建筑的评价。</w:t>
      </w:r>
    </w:p>
    <w:p w14:paraId="11F1667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在建筑物长期的运行过程中，用户和运营管理人员的意识与行为，直接影响绿色建筑的目标实现，同时，随着我国碳减排和双碳战略目标的提出，宣传和普及减碳意识也对绿色建筑的长期维护和高效使用有着重要作用，因此需要坚持倡导绿色低碳理念与绿  色低碳生活方式的教育宣传制度，培训各类人员正确使用绿色减碳设施，形成良好的绿色低碳行为与风气。</w:t>
      </w:r>
    </w:p>
    <w:p w14:paraId="51D3CFF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第1款，建立绿色低碳教育宣传和实践活动机制，可以促进普及绿色低碳建筑知识，让更多的人了解绿色低碳建筑的运营理念和有关要求。了解日常生活和工作中减碳的方式方法，尤其是 通过媒体报道和公开有关数据，能营造关注绿色低碳理念、践行绿色低碳行为的良好氛围。</w:t>
      </w:r>
    </w:p>
    <w:p w14:paraId="2E7D9C2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第2款，鼓励形式多样的绿色低碳生活展示、体验或交流分享的渠道，包括利用实体平台和网络平台的宣传、推广和活动， 如建立绿色低碳生活的体验小站、旧物置换、步数绿色减碳积 分、绿色低碳小天使亲子活动等。</w:t>
      </w:r>
    </w:p>
    <w:p w14:paraId="25D01E9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第3款，建筑应满足建筑使用者的需求，绿色建筑最终应用 效果的重要判据之一是建筑使用者的评判和满意度。使用者满意度调查的内容主要针对安全耐久、健康舒适、生活便利、资源节约</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侧重节能、节水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环境宜居的绿色性能，并着重关注物业管理、秩序与安全、车辆管理、公共环境、建筑外墙维护等与建筑使用者。应根据满意度调查结果制定建筑性能提升改进措施并加以落实，尤其针对使用者不太满意的调查内容。</w:t>
      </w:r>
    </w:p>
    <w:p w14:paraId="6554ED3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本条的评价方法为：评价查阅相关管理制度、工作记录、活动宣传和推送材料、影像材料、年度调查报告及整改方案。</w:t>
      </w:r>
    </w:p>
    <w:p w14:paraId="5A50E296">
      <w:pPr>
        <w:spacing w:before="21" w:line="360" w:lineRule="auto"/>
        <w:ind w:firstLine="419"/>
        <w:rPr>
          <w:rFonts w:hint="default" w:ascii="Times New Roman" w:hAnsi="Times New Roman" w:eastAsia="宋体" w:cs="Times New Roman"/>
          <w:spacing w:val="-2"/>
          <w:sz w:val="24"/>
          <w:szCs w:val="24"/>
          <w:u w:val="none"/>
        </w:rPr>
      </w:pPr>
      <w:r>
        <w:rPr>
          <w:rFonts w:hint="default" w:ascii="Times New Roman" w:hAnsi="Times New Roman" w:eastAsia="宋体" w:cs="Times New Roman"/>
          <w:spacing w:val="-2"/>
          <w:sz w:val="24"/>
          <w:szCs w:val="24"/>
          <w:u w:val="none"/>
        </w:rPr>
        <w:br w:type="page"/>
      </w:r>
    </w:p>
    <w:p w14:paraId="35467687">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185" w:name="_Toc8356"/>
      <w:bookmarkStart w:id="186" w:name="_Toc204247763"/>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7 资源节约</w:t>
      </w:r>
      <w:bookmarkEnd w:id="185"/>
      <w:bookmarkEnd w:id="186"/>
    </w:p>
    <w:p w14:paraId="5CE8FDF0">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187" w:name="_Toc204247764"/>
      <w:bookmarkStart w:id="188" w:name="_Toc30911"/>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7.1 控制项</w:t>
      </w:r>
      <w:bookmarkEnd w:id="187"/>
      <w:bookmarkEnd w:id="188"/>
    </w:p>
    <w:p w14:paraId="0A7C0DE9">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7.1.1</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6C7B55B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对于住宅建筑，如果建筑体形简单、朝向接近正南正北，楼间距、窗墙面积比、围护结构热工性能也满足标准要求，本条可直接通过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对于公共建筑，一般应提供空间节能设计的分析报告。此外，如果经过优化后建筑各朝向窗墙面积比都低于0.5，围护结构热工性能也满足要求，也可直接通过。</w:t>
      </w:r>
    </w:p>
    <w:p w14:paraId="1E2631E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建筑设计时应强化</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空间节能优先</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原则的重点要求。优化 体型、空间平面布局，包括合理控制建筑空调供暖的规模、区域和时间，可以实现对建筑的自然通风和天然采光的优先利用，降低供暖空调照明负荷，降低建筑能耗。</w:t>
      </w:r>
    </w:p>
    <w:p w14:paraId="09A1BC3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因地制宜是绿色建筑设计首先要考虑的因素，不仅仅需要考虑当地气候条件，其建筑的形体、尺度还需要综合场地周边的传统文化、地方特色统筹协调，建筑物的平面布局应结合场地地形、环境等自然条件制约，并权衡各因素之间的相互关系，通过 多方面分析、优化建筑的规划设计。绿色建筑设计还应在综合考虑基地容积率、限高、绿化率、交通等功能因素基础上，统筹考虑冬夏季节节能需求，优化设计体形、朝向和窗墙比。</w:t>
      </w:r>
    </w:p>
    <w:p w14:paraId="49BC251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总图、建筑鸟瞰图、单体效果图、人群视点透视图、平立剖图纸、设计说明等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、节能计算书、建筑日照模拟计算报告、优化设计报告；评价查阅相关竣工图、节能计算书、建筑日照模拟计算报告、优化设计报告。</w:t>
      </w:r>
    </w:p>
    <w:p w14:paraId="4E3A9E5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7.1.2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6E9BA5C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对没有供暖需求的建筑，仅考虑空调分区。对于采用分体式以及多联式空调的，可认定为满足空调供冷分区要求。</w:t>
      </w:r>
    </w:p>
    <w:p w14:paraId="406E012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不同朝向、不同的使用时间、不同功能需求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人员设备负荷，室内温湿度要求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的区域应考虑供暖空调的分区，否则既增加后期运行调控的难度，也带来了能源的浪费。因此，本条要求设计应区分房间的朝向，细分供暖、空调区域，应对系统进行分区控制。</w:t>
      </w:r>
    </w:p>
    <w:p w14:paraId="2978353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最终决定空调系统耗电量的是包含空调冷热源、输送系统和空调末端设备在内整个空调系统，整体更优才能达到节能的最终目的。规定空调系统电冷源综合制冷性能系数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SCOP</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这个参数，保证空调冷源部分的节能设计整体更优。现行国家标准《公 共建筑节能设计标准》GB 50189中对空调系统的电冷源综合制冷性能系数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SCOP</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已提出了要求，本条参照执行。本次局部修订删去了已纳入现行强制性工程建设规范《建筑节能与可再生能源利用通用规范》GB 55015的部分负荷性能系数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IPLV</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指标要求。</w:t>
      </w:r>
    </w:p>
    <w:p w14:paraId="768D8B2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w:t>
      </w:r>
      <w:bookmarkStart w:id="189" w:name="OLE_LINK19"/>
      <w:bookmarkStart w:id="190" w:name="OLE_LINK18"/>
      <w:r>
        <w:rPr>
          <w:rFonts w:hint="default" w:ascii="Times New Roman" w:hAnsi="Times New Roman" w:eastAsia="宋体" w:cs="Times New Roman"/>
          <w:color w:val="000000" w:themeColor="text1"/>
          <w:spacing w:val="-8"/>
          <w:sz w:val="24"/>
          <w:szCs w:val="24"/>
          <w:u w:val="none"/>
          <w14:textFill>
            <w14:solidFill>
              <w14:schemeClr w14:val="tx1"/>
            </w14:solidFill>
          </w14:textFill>
        </w:rPr>
        <w:t>温和地区未设置供暖空调系统的建筑</w:t>
      </w:r>
      <w:bookmarkEnd w:id="189"/>
      <w:bookmarkEnd w:id="190"/>
      <w:r>
        <w:rPr>
          <w:rFonts w:hint="default" w:ascii="Times New Roman" w:hAnsi="Times New Roman" w:eastAsia="宋体" w:cs="Times New Roman"/>
          <w:color w:val="000000" w:themeColor="text1"/>
          <w:spacing w:val="-8"/>
          <w:sz w:val="24"/>
          <w:szCs w:val="24"/>
          <w:u w:val="none"/>
          <w14:textFill>
            <w14:solidFill>
              <w14:schemeClr w14:val="tx1"/>
            </w14:solidFill>
          </w14:textFill>
        </w:rPr>
        <w:t>，实际未产生供暖调系统能耗，应直接达标。温和地区设置供暖空调系统的建筑应按本条款要求执行。</w:t>
      </w:r>
    </w:p>
    <w:p w14:paraId="3015578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暖通专业施工图纸及设计说明，要求有控制策略、电冷源综合制冷性能系数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SCOP</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计算说明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；评价查阅相关竣工图、冷源机组设备说明。</w:t>
      </w:r>
    </w:p>
    <w:p w14:paraId="08CBD110">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7.1.3 </w:t>
      </w:r>
      <w:r>
        <w:rPr>
          <w:rFonts w:hint="default" w:ascii="Times New Roman" w:hAnsi="Times New Roman" w:cs="Times New Roman"/>
          <w:b/>
          <w:color w:val="000000" w:themeColor="text1"/>
          <w:spacing w:val="-12"/>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4472BD3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对于室内过渡空间无须供暖空调的项目，本条直接通过。避免空调供暖空间全覆盖，或者简单降低夏季空调和提升冬季供暖温度的做法不利于节能。为此本条要求建筑应结合不同的 行为特点和功能要求合理区分设定室内温度标准。在保证使用舒适度的前提下，合理设置少用能、不用能空间，减少用能时间、缩小用能空间，通过建筑空间设计达到节能效果。室内过渡空间是指门厅、中庭、高大空间中超出人员活动范围的空间，由于其较少或没有人员停留，可适当降低温度标准，以达到降低供暖空调用能的目的。</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小空间保证、大空间过渡</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是指在设计高大空间建筑时，将人员停留区域控制在小空间范围内，大空间部分按照过渡空间设计。</w:t>
      </w:r>
    </w:p>
    <w:p w14:paraId="709BC96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本条的评价方法为：预评价查阅相关设计文件；评价查阅相关竣工图、计算书。</w:t>
      </w:r>
    </w:p>
    <w:p w14:paraId="4CA4E477">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7.1.4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7C3E872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在建筑的实际运行过程中，照明系统的分区控制、定时控制、自动感应开关、照度调节等措施对降低照明能耗作用很明 显。照明系统分区需满足自然光利用、功能和作息差异的要求。功能差异如办公区、走廊、楼梯间、车库等的分区：作息差异一般指日常工作时间、值班时间等的不同。对于公共区域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包括走廊、楼梯间、大堂、门厅、地下停车场等场所</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可采取分区、定 时、感应等节能控制措施。如楼梯间采取声、光控或人体感应控制；走廊、地下车库可采用定时或其他的集中控制方式。</w:t>
      </w:r>
    </w:p>
    <w:p w14:paraId="117CC89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采光区域的人工照明控制独立于其他区域的照明控制，有利于单独控制采光区的人工照明，实现照明节能。采光区域的界定，可执行现行国家标准《建筑采光设计标准》GB 50033。</w:t>
      </w:r>
    </w:p>
    <w:p w14:paraId="35D640C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包含电气照明系统图、电气照明平面施工图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、设计说明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需包含照明设计要求、照明设计标准、照明控制措施等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；评价查阅相关竣工图、设计说明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需包含照明设计要求、照明设计标准、照明控制措施等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4B8EFDB2">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7.1.5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本条适用于各类建筑的预评价、评价。</w:t>
      </w:r>
    </w:p>
    <w:p w14:paraId="32BCC53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建筑能源消耗情况较为复杂，主要包括空调系统、照明系统、其他动力系统等。设置分项或分功能计量系统，有助于统计各类设备系统的能耗分布，发现能耗不合理之处。</w:t>
      </w:r>
    </w:p>
    <w:p w14:paraId="3198E32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对于公共建筑，要求采用集中冷热源的公共建筑，在系统设计</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或既有建筑改造设计</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时必须考虑使建筑内各能耗环节如冷热源、输配系统、照明、热水能耗等都能实现独立分项计量；对非集中冷热源的公共建筑，在系统设计</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或既有建筑改造设计</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时必须考虑使建筑内根据面积或功能等实现分项计量。这有助于分析建筑各项能耗水平和能耗结构是否合理，发现问题并提出改进措施，从而有效地实施建筑节能。</w:t>
      </w:r>
    </w:p>
    <w:p w14:paraId="52FD8CF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对于住宅建筑，不要求户内各路用电的单独分项计量，但应实现分户计量。</w:t>
      </w:r>
    </w:p>
    <w:p w14:paraId="2E4762A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本条的评价方法为：预评价查阅相关设计文件；评价查阅相关竣工图、分项计量记录。</w:t>
      </w:r>
    </w:p>
    <w:p w14:paraId="70B9CB41">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7.1.6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本条适用于各类民用建筑的预评价、评价。无电梯和扶梯的建筑，本条不参评。</w:t>
      </w:r>
    </w:p>
    <w:p w14:paraId="277944B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在本标准2014年版第5.2.11条基础上发展而来。本条是对电梯系统的节能控制措施的要求。对垂直电梯，应具有群控、变频调速拖动、能量再生回馈等至少一项技术，实现电梯节能。对于扶梯，应采用变频感应启动技术来降低使用能耗。</w:t>
      </w:r>
    </w:p>
    <w:p w14:paraId="09C855F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本条的评价方法为：预评价查阅相关设计文件、电梯与自动扶梯人流平衡计算分析报告；评价查阅相关竣工图、相关产品型式检验报告。</w:t>
      </w:r>
    </w:p>
    <w:p w14:paraId="17B7C05C">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7.1.7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3F35833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在进行绿色建筑设计前，应充分了解项目所在区域的市政给排水条件、水资源状况、气候特点等实际情况，通过全面的分析研究，制定水资源利用方案，提高水资源循环利用率，减少市政供水量和污水排放量。</w:t>
      </w:r>
    </w:p>
    <w:p w14:paraId="4DE2A4D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水资源利用方案包含项目所在地气候情况、市政条件及节水政策，项目概况，水量计算及水平衡分析，给水排水系统设计方案介绍，节水器具及设备说明，非传统水源利用方案等内容。</w:t>
      </w:r>
    </w:p>
    <w:p w14:paraId="01F61AB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按使用用途、付费或管理单元情况分别设置用水计量装置，可以统计各种用水部门的用水量和分析渗漏水量，达到持续改进节水管理的目的。同时，也可以据此施行计量收费，或节水绩效考核，促进行为节水。</w:t>
      </w:r>
    </w:p>
    <w:p w14:paraId="191CBED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用水器具给水配件在单位时间内的出水量超过额定流量的现象，称超压出流现象，该流量与额定流量的差值，为超压出流量。超压出流量未产生使用效益，为无效用水量，即浪费的水量。给水系统设计时应采取措施控制超压出流现象，应合理进行压力分区，并适当地采取减压措施，避免造成浪费。</w:t>
      </w:r>
    </w:p>
    <w:p w14:paraId="24DFC33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当选用自带减压装置的用水器具时，该部分管线的工作压力满足相关设计规范的要求即可。当建筑因功能需要，选用特殊水压要求的用水器具时，可根据产品要求采用适当的工作压力，但应选用节水产品，并在说明中做相应描述。</w:t>
      </w:r>
    </w:p>
    <w:p w14:paraId="775E393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第3款，要 求所有用水器具应满足现行国家标准《节水型产品通用技术条件》GB/T18870 的要求。除特殊功能需求外，均应 采用节水型用水器具。</w:t>
      </w:r>
    </w:p>
    <w:p w14:paraId="0CE5029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含水表分级 设置示意图、各层用水点用水压力计算图表、用水器具节水性能要求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、水资源利用方案及其在设计中的落实说明；评价查阅相关竣工图、水资源利用方案</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含其在运行阶段与设计相比的不同 点说明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、用水器具产品说明书或产品节水性能检测报告。</w:t>
      </w:r>
    </w:p>
    <w:p w14:paraId="7BAC61CB">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7.1.8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6DE166E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建筑方案的规则性对建筑结构的抗震安全性来说十分重要。强制性工程建设规范《建筑与市政工程抗震通用规范》GB 55002-2021中明确规定，不应采用严重不规则的建筑方案。</w:t>
      </w:r>
    </w:p>
    <w:p w14:paraId="07C759A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建筑图、结构施工图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、建筑形体规则性判定报告；评价查阅相关竣工图、 建筑形体规则性判定报告。</w:t>
      </w:r>
    </w:p>
    <w:p w14:paraId="5FC7433D">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7.1.9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561B54A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设置大量的没有功能的纯装饰性构件，不符合绿色建筑节约资源的要求。鼓励使用装饰和功能一体化构件，在满足建筑功能的前提之下，体现美学效果、节约资源。同时，设置屋顶装饰性构件时应特别注意鞭梢效应等抗震问题。对于不具备遮阳、导光、导风、载物、辅助绿化等作用的飘板、格栅、构架、超过安全防护高度2倍的女儿墙超高部分和塔、球、曲面等装饰性构件，应对其造价进行控制。为更好地贯彻新时期建筑方针</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适用、经济、绿色、美观</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兼顾公共建筑尤其是商业及文娱建筑的特殊性，本次对其装饰性构件造价比定为不应大于1%。装饰性构件造价比例计算应以单栋建筑为单元，各单栋建筑的装饰性构件造价比例均应符合条文规定的比例要求。计算时，分子为各类装饰性构件造价之和，分母为单栋建筑地上和地下工程的土建、安装工程总造价，但不包括征地、外部道路等其他费用。</w:t>
      </w:r>
    </w:p>
    <w:p w14:paraId="09142FE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本条的评价方法为：预评价查阅建筑施工图设计文件，有装饰性构件的应提供其功能说明书和造价计算书；评价查阅建筑竣工图和造价计算书。</w:t>
      </w:r>
    </w:p>
    <w:p w14:paraId="7C1C3495">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7.1.10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368EBCF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第1款预评 价阶段不参评；特殊地区因客观原因无法达到者提供相关说明可不参评。第2款，若项目所在地无预拌混凝土或砂浆采购来源者提供相关说明可不参评。</w:t>
      </w:r>
    </w:p>
    <w:p w14:paraId="1C67906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鼓励选用本地化建材，是减少运输过程的资源和能源消耗、降低环境污染的重要手段之一。本条要求就地取材制成的建筑产品所占的比例应大于60%。500km是指建筑材料的最后一个生产加工工厂到施工现场的运输距离。</w:t>
      </w:r>
    </w:p>
    <w:p w14:paraId="69366B5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第2款，提倡和推广使用预拌混凝土和预拌砂浆，其应用技术已较为成熟。与现场搅拌混凝土相比，预拌混凝土产品性能稳定，易于保证工程质量，且采用预拌混凝土能够减少施工现场噪 声和粉尘污染，节约能源、资源，减少材料损耗。预拌混凝土应 符合现行国家标准《预拌混凝土》GB/T 14902 的规定。</w:t>
      </w:r>
    </w:p>
    <w:p w14:paraId="4607D14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现场拌制砂浆施工后经常出现空鼓、龟裂等质量问题，工程返修率高。预拌砂浆是由专业化工厂规模化生产的，可以很好地满足砂浆保水性、和易性、强度和耐久性需求，减少环境污染、材料损耗小、施工效率高、工程返修率低。预拌砂浆应符合现行 国家标准《预拌砂浆》GB/T 25181 及《预拌砂浆应用技术规 程》JGJ/T223 的有关规定。若项目所在地无预拌混凝土或砂浆采购来源，可提供相关说明另行判定。</w:t>
      </w:r>
    </w:p>
    <w:p w14:paraId="5F7C236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有下列情形之一的，可以现场搅拌混凝土、砂浆：</w:t>
      </w:r>
    </w:p>
    <w:p w14:paraId="4CEF874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（1）因交通运输条件限制，预拌混凝土、预拌砂浆专用车辆无法到达施工现场的；</w:t>
      </w:r>
    </w:p>
    <w:p w14:paraId="6D2B1D4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（2）需要使用特种混凝土、特种砂浆，预拌混凝土、预拌砂浆生产企业无法供应的；</w:t>
      </w:r>
    </w:p>
    <w:p w14:paraId="066B241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（3）施工现场30公里范围内没有预拌混凝土、预拌砂浆供应的；</w:t>
      </w:r>
    </w:p>
    <w:p w14:paraId="287DAE1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（4）建设工程混凝土使用总量200立方米以下或者砂浆使用总量100立方米以下的。</w:t>
      </w:r>
    </w:p>
    <w:p w14:paraId="3D1C047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本条的评价方法为：预评价查阅相关设计文件、结构施工图及设计说明、工程材料预算清单；评价查阅结构竣工图及设计说 明、购销合同及材料用量清单等有关证明文件。</w:t>
      </w:r>
    </w:p>
    <w:p w14:paraId="10D9CC2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7.1.12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0F3E1E6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本章从节地与土地利用、节能与能源利 用、节水与水资源利用、节材与绿色建材等方面提出了评价要求，资源节约相关技术要求还应符合现行强制性工程建设规范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b/>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《建筑节能与可再生能源利用通用规范》GB 55015、《建筑给水排水与节水通用规范》GB 55020等的规定。</w:t>
      </w:r>
    </w:p>
    <w:p w14:paraId="3E77EFD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w:t>
      </w:r>
    </w:p>
    <w:p w14:paraId="7CA805D6">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eastAsia="宋体" w:cs="Times New Roman"/>
          <w:u w:val="none"/>
        </w:rPr>
      </w:pPr>
      <w:bookmarkStart w:id="191" w:name="_Toc9559"/>
      <w:bookmarkStart w:id="192" w:name="_Toc204247765"/>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7.2 评分项</w:t>
      </w:r>
      <w:bookmarkEnd w:id="191"/>
      <w:bookmarkEnd w:id="192"/>
    </w:p>
    <w:p w14:paraId="713AA414">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93" w:name="_Toc204247766"/>
      <w:bookmarkStart w:id="194" w:name="_Toc10437"/>
      <w:r>
        <w:rPr>
          <w:rFonts w:hint="default" w:ascii="Times New Roman" w:hAnsi="Times New Roman" w:cs="Times New Roman"/>
          <w:color w:val="000000" w:themeColor="text1"/>
          <w:sz w:val="24"/>
          <w:szCs w:val="24"/>
          <w:u w:val="none"/>
          <w:lang w:eastAsia="zh-CN"/>
          <w14:textFill>
            <w14:solidFill>
              <w14:schemeClr w14:val="tx1"/>
            </w14:solidFill>
          </w14:textFill>
        </w:rPr>
        <w:t>I  节地与土地利用</w:t>
      </w:r>
      <w:bookmarkEnd w:id="193"/>
      <w:bookmarkEnd w:id="194"/>
    </w:p>
    <w:p w14:paraId="147BC631">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4D7FBA3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对住宅建筑，人均居住用地指标是控制其节地的关键性指标。本标准与现行国家标准《城市居住区规划设计标准》 GB 50180进行了对接，并以居住区的最小规模即居住街坊的控制指 标为基础，提出了人均住宅用地指标评分规则。居住街坊是指住宅建筑集中布局、由支路等城市道路围合</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一般为2hm²~4hm² 住宅用地，约300套～1000套住宅</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形成的居住基本单元。评价时，如果建设项目规模超过4hm²</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在项目整体指标满足所在地控制性详细规划要求的基础上，应以其小区路围合形成的居住街坊为评价单元计算人均住宅用地指标。如果居住街坊中配套建设了标准规定的</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便民服务设施</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本条可直接采用住宅建筑的 评价指标；若配套商业设施超出便民服务设施的内容，则应按照公共建筑进行评价并符合本标准第3.2.3条的规定。</w:t>
      </w:r>
    </w:p>
    <w:p w14:paraId="6D2CACA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当住宅建筑与其他建筑竖向混合建设无法细分用地时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如商住建筑，底层商业超出住宅用地可兼容规定比例，或者并非便民服务设施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，需分区独立计算和评价，应按照住宅与公共建筑的面积比例对应切分用地面积，即按照住宅建筑面积的占比计算居住街坊中住宅用地的实际面积。</w:t>
      </w:r>
    </w:p>
    <w:p w14:paraId="13EB45A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对公共建筑，容积率是控制其节地的关键性指标。本标准在充分考虑公共建筑功能特征的基础上进行分类，一类是容积率通常较高的行政办公、商务办公、商业金融、旅馆饭店、交通枢纽 等设施，另一类是容积率不宜太高的教育、文化、体育、医疗卫 生、社会福利等公共服务设施，并分别制定了评分规则。评价时应根据建筑类型对应的容积率进行赋值。</w:t>
      </w:r>
    </w:p>
    <w:p w14:paraId="7782A2E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综合体项目，是指包含两种及两种以上公共建筑类别的综合性单体建筑项目。对于用地性质明确且有独立用地边界的申报项目，其容积率应按规划主管部门核发的建设用地规划许可证批准的用地面积进行计算。</w:t>
      </w:r>
    </w:p>
    <w:p w14:paraId="61FE6A9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本条的评价方法为：预评价查阅规划许可的设计条件、相关设计文件、计算书、相关施工图；评价查阅相关设计文件、计算书、相关竣工图。</w:t>
      </w:r>
    </w:p>
    <w:p w14:paraId="6956B5D5">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7.2.2</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7EA65CA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由于地下空间的利用受诸多因素制约，因此未利用地下空间的项目应提供相关说明。经论证，建筑规模、场地区位、地质等建设条件确实不适宜开发地下空间，并提供经济技术分析报告的，本条可直接得分。</w:t>
      </w:r>
    </w:p>
    <w:p w14:paraId="01076D8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开发利用地下空间是城市节约集约用地的重要措施之一。地下空间的开发利用应与地上建筑及其他相关城市空间紧密结合、统一规划，但从雨水渗透及地下水补给、减少径流外排等生态环保要求出发，地下空间也应利用有度、科学合理。</w:t>
      </w:r>
    </w:p>
    <w:p w14:paraId="6FAA021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本条的评价方法为：预评价查阅相关设计文件、计算书；评 价查阅相关竣工图、计算书。</w:t>
      </w:r>
    </w:p>
    <w:p w14:paraId="79D7E4A1">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7.2.3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77818AE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本条鼓励建设立体式停车设施节约集约利用土地，提高土地使用效率，让更多的地面空间作为公共活动空间或公共绿地，营造宜居环境。</w:t>
      </w:r>
    </w:p>
    <w:p w14:paraId="5BB43F6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本条的评价方法为：预评价查阅相关设计文件、计算书；评价查阅相关竣工图、计算书。</w:t>
      </w:r>
    </w:p>
    <w:p w14:paraId="4943815B">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195" w:name="_Toc19213"/>
      <w:bookmarkStart w:id="196" w:name="_Toc204247767"/>
      <w:r>
        <w:rPr>
          <w:rFonts w:hint="default" w:ascii="Times New Roman" w:hAnsi="Times New Roman" w:cs="Times New Roman"/>
          <w:color w:val="000000" w:themeColor="text1"/>
          <w:sz w:val="24"/>
          <w:szCs w:val="24"/>
          <w:u w:val="none"/>
          <w:lang w:eastAsia="zh-CN"/>
          <w14:textFill>
            <w14:solidFill>
              <w14:schemeClr w14:val="tx1"/>
            </w14:solidFill>
          </w14:textFill>
        </w:rPr>
        <w:t>Ⅱ 节能与能源利用</w:t>
      </w:r>
      <w:bookmarkEnd w:id="195"/>
      <w:bookmarkEnd w:id="196"/>
    </w:p>
    <w:p w14:paraId="563B71C2">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7.2.4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1BE96B5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第1款，要求围护结构热工性能应优于现行强制性工程建设规范《建筑节能与可再生能源利用通用规范》GB 55015对外墙屋顶、外窗、幕墙等围护结构主要部位的传热系数K 和太阳得热系数SHGC 的要求。对于夏热冬暖地区的建筑，在满足现行强制性工程建设规范《建筑节能与可再生能源利用通用规范》GB 55015要求的基础上，不对其围护结构传热系数K作要求只对其太阳得热系数SHGC 提出要求；对于严寒和寒冷地区的建筑，不对其围护结构太阳得热系数SHGC作进一步提升的要求，只对其围护结构的传热系数K 提出要求，但窗墙比超过0.5 的朝向除外。</w:t>
      </w:r>
    </w:p>
    <w:p w14:paraId="3F13B6E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 2 款 ，通过对不同气候区的多个甲类公共建筑案例进行测算发现，围护结构热工性能每提升5%</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建筑供暖空调负荷</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含室内负荷</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降低比例最多约为2%～3%</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因此对第2款的降低比例有所调整。对于围护结构没有限值要求的建筑，以及室内发热量超过40W/m2的公共建筑，应优先采用第2款判定。</w:t>
      </w:r>
    </w:p>
    <w:p w14:paraId="74BA0BC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bookmarkStart w:id="197" w:name="OLE_LINK73"/>
      <w:bookmarkStart w:id="198" w:name="OLE_LINK74"/>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建筑供暖空调负荷降低比例按照行业标准《民用建筑绿色性能计算标准》JGJ/T  449-2018第5.2节的规定，通过计算建 筑围护结构节能率来判定，</w:t>
      </w:r>
      <w:bookmarkEnd w:id="197"/>
      <w:bookmarkEnd w:id="198"/>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围护结构节能率指的是，与参照建筑相比，设计建筑通过围护结构热工性能改善而使全年供暖空调能耗降低的百分数。设计建筑和参照建筑的供暖空调室内设定温度和运行时间、照明功率密度和使用时间、电器设备功率密度 和使用时间、人员密度和在室率、新风量和新风运行情况等的设置应符合强制性工程建设规范《建筑节能与可再生能源利用通用 规范》GB 55015-2021第C.0.3条的规定。</w:t>
      </w:r>
    </w:p>
    <w:p w14:paraId="6F6652F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为了方便对本条款的理解和执行，也可按照《建筑节能与可再生能源利用通用规范》GB 55015-2021附录C建筑围护结构热工性能权衡判断的规定，对允许权衡计算的建筑通过软件模拟，计算设计建筑与参照建筑的全年总耗电量，然后通过设计建筑相对于参照建筑全年总耗电量降低幅度的百分比进行得分判断。</w:t>
      </w:r>
    </w:p>
    <w:p w14:paraId="7BD7C5D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设计说明、 围护结构施工详图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、节能计算书、建筑围护结构节能率分析报告</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第2款评价时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设计说明、围护结 构竣工详图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、节能计算书、建筑围护结构节能率分析报告</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第2款评价时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458B8EB5">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7.2.5</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对于城市市政热源，不对其热源机组能效进行评价。住宅用户自主购买的空调设备，本条不得分。对于温和地区未设置供暖空调系统的建筑，实际未产生供暖调系统能耗，应直接得分。温和地区设置供暖空调系统的建筑应按本条款要求执行。</w:t>
      </w:r>
    </w:p>
    <w:p w14:paraId="3F77C4D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对于同时存在供暖、空调的项目，冷热源能效提升应同时满足表 7.2.5的要求才能得分。区域能源中心涉及评分表格中的设备类型，需要参与评价。</w:t>
      </w:r>
    </w:p>
    <w:p w14:paraId="237450C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强制性工程建设规范《建筑节能与可再生能源利用通用规范》GB 55015-2021对锅炉额定热效率、户式燃气供暖热水炉热效率、电机驱动的蒸气压缩循环冷水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热泵</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机组的性能系数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COP</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水冷多联式空调</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热泵</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机组的制冷综合性能系数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IPLV</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、风冷多联式空调</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热泵</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机组的全年性能系数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APF</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、单元式空气调节机、风管送风式的制冷季节能效比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SEER</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和全年性能系数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APF</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、直燃型溴化锂吸收式冷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温</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水机组的性能参数、房间空气调节器的制冷季季节能效比</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SEER</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及全年性能系数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APF</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提出了基本要求。本条在此基础上，以提高百分比</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锅炉热效率以百分点</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的形式，对包括上述机组在内的供暖空调冷热源机组能源效率提出了更高要求。 对于该规范中未予规定的情况，例如蒸汽型溴化锂吸收式冷</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温</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水机组等其他设备作为供暖空调冷热源，以及在产品设计选型时一般以产品标准中的等级为依据的情况，例如房间空气调节器，则应以现行国家标准《溴化锂吸收式冷水机组能效限定值及能效等级》GB 29540、《房间空气调节器能效限定值及能效等级》GB 21455等中规定的能效等级2级作为本条得分的依据，若在此之上再提高一级，可以得到更高的分值。国家标准《溴化锂吸收式冷水机组能效限定值及能效等级》GB 29540-2013将溴化锂吸收式冷水机组能效等级分为3级，其中1级能效等级最高；国家标准《房间空气调节器能效限定值及能效等级》GB  21455-2019按照房间空气调节器类型并依据全年能源消耗效率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APF</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和制冷季节能源消耗效率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SEER</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将房间空气调节器能效等级分为5级，其中1级能效等级最高。</w:t>
      </w:r>
      <w:bookmarkStart w:id="199" w:name="OLE_LINK76"/>
      <w:bookmarkStart w:id="200" w:name="OLE_LINK75"/>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对于温和地区未设置供暖空调系统的建筑，实际未产生供暖调系统能耗，应直接达标。温和地区设置供暖空调系统的建筑应按本条款要求执行。</w:t>
      </w:r>
      <w:bookmarkEnd w:id="199"/>
      <w:bookmarkEnd w:id="200"/>
    </w:p>
    <w:p w14:paraId="79355C4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bookmarkStart w:id="201" w:name="bookmark115"/>
      <w:bookmarkEnd w:id="201"/>
      <w:bookmarkStart w:id="202" w:name="bookmark116"/>
      <w:bookmarkEnd w:id="202"/>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本条的评价方法为：预评价查阅相关设计文件；评价查阅相关竣工图、主要产品型式检验报告。</w:t>
      </w:r>
    </w:p>
    <w:p w14:paraId="7EAC3D20">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7.2.6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65A6A7E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本条第1款，对于采用分体空调和多联机空调</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热泵</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机组的，可直接得分；第2款，对于非集中供暖空调系统的项目，如分体空调、多联机空调</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热泵</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机组、单元式空气调节机等，可直接得分。温和地区未设置供暖空调系统的项目，本条第1、2款可直接得分；，未设置供暖空调系统但设置有通风系统的建筑仍需满足第1款要求。</w:t>
      </w:r>
    </w:p>
    <w:p w14:paraId="3BBAAA3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本条主要判断参评项目是否采取了大温差空调制冷系统，或者更高效率的风机、水泵，评价其对输配系统能耗的影响。</w:t>
      </w:r>
    </w:p>
    <w:p w14:paraId="031D785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第1款，应按照国家标准《公共建筑节能设计标准》GB 50189-2015中的第4.3.22条对风机单位耗功率的要求，进行评价。本款的评价范围仅限于风量大于10000m³/h的空调风系统和通风系统。对于设置新风机的项目，新风机需参与评价。</w:t>
      </w:r>
    </w:p>
    <w:p w14:paraId="344D537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第2款，应按照国家标准《民用建筑供暖通风与空气调节设计规范》GB 50736-2012中的第8.5.12条和第8.11.13条对集中供暖系统热水循环泵的耗电输热比、空调冷热水系统循环水泵的耗电输冷</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热</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比的要求进行评价。</w:t>
      </w:r>
    </w:p>
    <w:p w14:paraId="0194AE5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本条提出对以上参数的更优化要求，通过末端系统及输配系统的优化设计，降低末端和输配能耗。</w:t>
      </w:r>
    </w:p>
    <w:p w14:paraId="7F82A99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本条的评价方法为：预评价查阅相关设计文件；评价查阅相关竣工图、主要产品型式检验报告。</w:t>
      </w:r>
    </w:p>
    <w:p w14:paraId="13BDFB4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7.2.7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284D79C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电气设备的节能选型及控制措施，对于实现电气系统节能起着关键的作用。</w:t>
      </w:r>
    </w:p>
    <w:p w14:paraId="4B3313C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第1款，要求主要功能房间的照明功率密度值不应高于现行国家标准《建筑照明设计标准》 GB/T50034 规定的目标值要求。</w:t>
      </w:r>
    </w:p>
    <w:p w14:paraId="73C4E89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第2款，人工照明随天然光照度变化自动调节，不仅可以保证良好的光环境，避免室内产生过高的明暗亮度对比，还能在较大程度上降低照明能耗。采光区域的界定，可执行现行国家标准《建筑采光设计标准》GB 50033。</w:t>
      </w:r>
    </w:p>
    <w:p w14:paraId="53B9707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第3款，要求所用电力变压器满足现行国家标准《电力变压器能效限定值及能效等级》GB 20052的要求，油浸式配电变压器、干式配电变压器的空载损耗和负载损耗值均应不高于能效等级2级的规定。照明产品、水泵、风机等其他电气设备也满足国家现行有关标准的能效等级2级，本款方可得分。</w:t>
      </w:r>
    </w:p>
    <w:p w14:paraId="5944D85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本条的评价方法为：预评价查阅相关设计文件、相关设计说明；评价查阅相关竣工图，相关设计说明、相关产品型式检验报告。</w:t>
      </w:r>
    </w:p>
    <w:p w14:paraId="1FD28D20">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7.2.8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3BCB2E0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第1款，适用于预评价和建筑未投入使用1年的评价。建筑 设计能耗应与强制性工程建设规范《建筑节能与可再生能源利用通用规范》GB 55015-2021附录A中规定的平均能耗指标进行 比较，根据低于平均能耗指标的百分比进行得分判断。对于该规 范附录A中尚缺的建筑类型可沿用修订前评价方法，即按照现行行业标准《民用建筑绿色性能计算标准》JGJ/T 449分别计算设计建筑及满足国家现行建筑节能设计标准规定的参照建筑的供 暖空调能耗和照明系统能耗，计算节能率并进行得分判定。</w:t>
      </w:r>
    </w:p>
    <w:p w14:paraId="1DD56CC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第2款，适用于投入使用1年后的评价。建筑运行能耗应与现行国家标准《民用建筑能耗标准》GB/T  51161中规定的约束值进行比较，根据低于约束值的百分比进行得分判断。对于现行国家标准《民用建筑能耗标准》GB/T 51161不涉及的建筑类型，参考相关行业内同类型建筑能耗标准。</w:t>
      </w:r>
    </w:p>
    <w:p w14:paraId="55A1325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暖通、电气、内装专业施工图纸及设计说明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、建筑暖通及照明系统能耗模拟计算书；评价查阅相关竣工图，建筑暖通系统及照明系统能 耗模拟计算书、暖通系统运行调试记录等，投入使用的项目尚应查阅建筑运行能耗统计数据及能效测评实测值。</w:t>
      </w:r>
    </w:p>
    <w:p w14:paraId="3F8F6288">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7.2.9</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76C23DC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可再生能源利用率是指可再生能源利用量占终端能源消费量的比率。本条所指可再生能源，包括但不限于太阳能、地热能等非化石能源。可再生能源利用量包含供暖系统、供冷系统、生活热水系统中的可再生能源利用量，当采用空气源热泵时，空气源热泵机组应达到一级能效要求。终端能源消费量主要指建筑能耗，包括供暖、通风、空调、照明、生活热水、电梯能耗。可再生能源利用率按下式进行计算：</w:t>
      </w:r>
    </w:p>
    <w:p w14:paraId="1D6C27B5">
      <w:pPr>
        <w:spacing w:line="360" w:lineRule="auto"/>
        <w:jc w:val="center"/>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drawing>
          <wp:inline distT="0" distB="0" distL="0" distR="0">
            <wp:extent cx="2978150" cy="29845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
                    <a:stretch>
                      <a:fillRect/>
                    </a:stretch>
                  </pic:blipFill>
                  <pic:spPr>
                    <a:xfrm>
                      <a:off x="0" y="0"/>
                      <a:ext cx="2978183" cy="298481"/>
                    </a:xfrm>
                    <a:prstGeom prst="rect">
                      <a:avLst/>
                    </a:prstGeom>
                  </pic:spPr>
                </pic:pic>
              </a:graphicData>
            </a:graphic>
          </wp:inline>
        </w:drawing>
      </w:r>
    </w:p>
    <w:p w14:paraId="1D2124AC">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式中：R——可再生能源利用率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3BE1FEBC">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EP</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h</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——供暖系统中可再生能源利用量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4C59D20A">
      <w:pPr>
        <w:spacing w:line="360" w:lineRule="auto"/>
        <w:ind w:firstLine="448" w:firstLineChars="200"/>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EP</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c</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——供冷系统中可再生能源利用量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4185E37B">
      <w:pPr>
        <w:spacing w:line="360" w:lineRule="auto"/>
        <w:ind w:firstLine="672" w:firstLineChars="300"/>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EP</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w</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——生活热水系统中可再生能源利用量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0D67AB19">
      <w:pPr>
        <w:spacing w:line="360" w:lineRule="auto"/>
        <w:ind w:firstLine="672" w:firstLineChars="300"/>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E</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r，i</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——年本体产生的i类型可再生能源发电量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51B6F1CE">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E</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rd，i</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——年周边产生的i类型可再生能源发电量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69AEFE7D">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f</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i</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——i类型能源的能源换算系数；</w:t>
      </w:r>
    </w:p>
    <w:p w14:paraId="45D1F467">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Q</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h</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——年需求供暖耗热量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p>
    <w:p w14:paraId="50668B83">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Q</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c</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——年需求供冷耗冷量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49A441B2">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Q</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w</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——年生活热水耗热量</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165A0AD7">
      <w:pPr>
        <w:spacing w:line="360" w:lineRule="auto"/>
        <w:ind w:firstLine="672" w:firstLineChars="300"/>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E</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l</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——年照明系统能源消耗</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112E615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E</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e</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——年电梯系统能源消耗</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kWh</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p>
    <w:p w14:paraId="0CE8FC6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本条得分计算方式为R≥10%时，得15分。R&lt;10%时，按线性内插法计算得分，即：得分=1.5×R×100四舍五入取整数。例如，当R=1.5%时，得分=1.5×1.5四舍五入取整数=2分。</w:t>
      </w:r>
    </w:p>
    <w:p w14:paraId="04ABD36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本条的评价方法为：预评价查阅相关设计文件、计算分析报告；评价查阅相关竣工图、计算分析报告、产品型式检验报告。</w:t>
      </w:r>
    </w:p>
    <w:p w14:paraId="7A906D2E">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203" w:name="_Toc17900"/>
      <w:r>
        <w:rPr>
          <w:rFonts w:hint="default" w:ascii="Times New Roman" w:hAnsi="Times New Roman" w:cs="Times New Roman"/>
          <w:color w:val="000000" w:themeColor="text1"/>
          <w:sz w:val="24"/>
          <w:szCs w:val="24"/>
          <w:u w:val="none"/>
          <w:lang w:eastAsia="zh-CN"/>
          <w14:textFill>
            <w14:solidFill>
              <w14:schemeClr w14:val="tx1"/>
            </w14:solidFill>
          </w14:textFill>
        </w:rPr>
        <w:t>Ⅲ 节水与水资源利用</w:t>
      </w:r>
      <w:bookmarkEnd w:id="203"/>
    </w:p>
    <w:p w14:paraId="66878B3A">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7.2.10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66C1C1E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绿色建筑鼓励选用更高节水性能的节水器具。目前，我国已对大部分用水器具的用水效率制定了标准，如：现行国家标准《水嘴水效限定值及水效等级》GB 25501、《坐便器水效限定值及水效等级》 GB 25502</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《小便器水效限定值及水效等级》GB 28377、《淋浴器水效限定值及水效等级》GB 28378、《便器冲洗阀水效限定值及水效等 级》GB 28379、《蹲便器水效限定值及水效等级》GB 30717等。</w:t>
      </w:r>
    </w:p>
    <w:p w14:paraId="7EBA2B5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在设计文件中要注明对卫生器具的节水要求和相应的参数或标准。当存在不同水效等级的卫生器具时，按满足最低等级的要求得分。</w:t>
      </w:r>
    </w:p>
    <w:p w14:paraId="5D2D834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有水效相关标准的卫生器具全部采用达到相应水效等级的产品时，方可认定第1款或第3款得分；50%以上数量的器具采用达到水效等级1级的产品且其他达到2级时，方可认定第2款得分。今后当其他用水器具出台了相应标准时，按同样的原则进行要求。</w:t>
      </w:r>
    </w:p>
    <w:p w14:paraId="13FADFD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本条的评价方法为：预评价查阅相关设计文件、产品说明书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含相关节水器具的性能参数要求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以及卫生器具水效达到相关等级的数量比例计算书；评价查阅相关竣工图纸、设计说明、产品说明书、产品节水性能检测报告、产品采购合同以及卫生器具水效达到相关等级的数量比例计算书。</w:t>
      </w:r>
    </w:p>
    <w:p w14:paraId="623E2AA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7.2.11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本条适用于各类民用建筑的预评价、评价。不设置空调设备或系统的项目，第2款可直接得分。</w:t>
      </w:r>
    </w:p>
    <w:p w14:paraId="1DB0E00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 1 款 ，强制性工程建设规范《建筑给水排水与节水通用规范》GB 55020-2021第3.4.8条规定</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绿化浇洒应采用高效节水灌溉方式</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。将采用节水灌溉方式作为得分的前提条件，绿化灌溉在采用喷灌、微灌等节水灌溉方式的基础上，还可通过采用更多节水技术措施实现更进一步的节水。</w:t>
      </w:r>
    </w:p>
    <w:p w14:paraId="4C1725D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第1项，将项目90%以上的绿化面积采用节水灌溉方式作为前提条件，在此基础上，设计人员根据场地植物种植等实际情况，采用土壤湿度感应器、雨天自动关闭装置等一种或几种组合的节水控制措施实现进一步节水。未满足本项规定的前提 条件，或采用移动喷灌头，本项不予判定得分。</w:t>
      </w:r>
    </w:p>
    <w:p w14:paraId="0EFB789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第1款第2项，无须永久灌溉植物是指适应当地气候，仅依靠自然降雨即可维持良好的生长状态的植物，或在干旱时体内水分丧失，全株呈风干状态而不死亡的植物。无须永久灌溉植物仅 在生根时需进行人工灌溉，因而不需设置永久的灌溉系统，设置 的临时灌溉系统应在安装后一年之内移走。</w:t>
      </w:r>
    </w:p>
    <w:p w14:paraId="406BACA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当50%以上的绿化面积种植了无须永久灌溉植物，且不设置永久性的灌溉设施，同时其余部分绿化采用了节水灌溉方式时，可判定第2项得分。当选用无须永久灌溉植物时，设计文件中应提供植物配置表，并说明是否属无须永久灌溉植物，申报方应提供当地植物名录，说明所选植物的耐旱性能。</w:t>
      </w:r>
    </w:p>
    <w:p w14:paraId="799F9E4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第2款，公共建筑集中空调系统的冷却水补水量占据建筑物用水量的30%～50%</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减少冷却水系统不必要的耗水对整个建筑物的节水意义重大。</w:t>
      </w:r>
    </w:p>
    <w:p w14:paraId="5569371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第1项，开式循环冷却水系统或闭式冷却塔的喷淋水系统可设置水处理装置和化学加药装置改善水质，减少排污耗水量；可采取加大集水盘、设置平衡管或平衡水箱等方式，相对加大冷却塔集水盘浮球阀至溢流口段的容积，避免停泵时的泄水和 启泵时的补水浪费。</w:t>
      </w:r>
    </w:p>
    <w:p w14:paraId="14B3658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第2款第2项，本项中的</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无蒸发耗水量的冷却技术</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包括采用分体空调、风冷式冷水机组、风冷式多联机、地源热泵、干式运行的闭式冷却塔等。地源热泵系统也可能采用辅助冷却塔，考虑到使用时间很短，仍可按采用</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无蒸发耗水量的冷却技术</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评分。</w:t>
      </w:r>
    </w:p>
    <w:p w14:paraId="45EFE9D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本条的评价方法为：预评价查阅相关设计图纸、设计说明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含相关节水产品的设备材料表、冷却节水措施说明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、产品说明书等；评价查阅设计说明、相关竣工图、产品说明书、产品节水性能检测报告、节水产品说明书等。</w:t>
      </w:r>
    </w:p>
    <w:p w14:paraId="2245D950">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7.2.12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本条适用于各类民用建筑的预评价、评价。未设室外景观水体的项目，本条可直接得分。室外景观水体的补水没有利用雨水或雨水利用量不满足要求时，本条不得分。</w:t>
      </w:r>
    </w:p>
    <w:p w14:paraId="5CC4344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本条在本标准2014年版第6.2.12条的基础上发展而来。强制性工程建设规范《建筑给水排水与节水通用规范》GB55020-2021中第3.4.3条规定</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非亲水性的室外景观水体用水水源不得采用市政自来水和地下井水</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。因此设有水景的项目，水体的补水只能使用非传统水源，或在取得当地相关主管部门的许可后，利用临近的河、湖水。有景观水体，但利用临近的河、湖水进行补水的，本条不得分。</w:t>
      </w:r>
    </w:p>
    <w:p w14:paraId="7FF061E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设置本条的目的是鼓励将雨水控制利用和室外景观水体设计有机地结合起来。景观水体的补水应充分利用场地的雨水资源，不足时再考虑其他非传统水源的使用。缺水地区和降雨量少的地区应谨慎考虑设置景观水体，景观水体的设计应通过技术经济可行性论证确定规模和具体形式。设计时应做好景观水体补水量和水体蒸发量逐月的水量平衡，确保满足本条的定量要求。</w:t>
      </w:r>
    </w:p>
    <w:p w14:paraId="00F166B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本条要求利用雨水提供的补水量大于水体蒸发量的60%</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亦即采用除雨水外的其他水源对景观水体补水的量不得大于水体蒸发量的40%。设计时应做好景观水体补水量和水体蒸发量的水量平衡景观水体的补水管应单独设置水表，不得与绿化用水、 道路冲洗用水合用水表。</w:t>
      </w:r>
    </w:p>
    <w:p w14:paraId="0A459DA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景观水体的水质根据水景补水水源和功能性质不同，应不低于国家现行标准的相关要求，具体水质标准详见本标准第5.2.4 条。景观水体的水质保障应采用生态水处理技术，在雨水进入景观水体之前充分利用植物和土壤渗滤作用削减径流污染，通过采 用非硬质池底及生态驳岸，为水生动植物提供栖息条件，通过水生动植物对水体进行净化；必要时可采取其他辅助手段对水体进行净化，保障水体水质安全。</w:t>
      </w:r>
    </w:p>
    <w:p w14:paraId="5D2556E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含总平面图竖向、室内外给排水施工图、水景详图等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水量平衡计算书；评价查阅相关竣工图，计算书，景观水体补水用水计量运行记录，景观水体水质检测报告等。</w:t>
      </w:r>
    </w:p>
    <w:p w14:paraId="0297F2AE">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7.2.13</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3AC81FD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项目设计采用市政再生水，但市政再生水仅为规划、未同期建设、未投入使用时，本条不得分；项目按自建中水设计，建筑中水或雨水回用系统未配套建设时，本条不得分。项目的空调系统由申报范围外的集中能源站提供冷源时，若能源站设有冷却补水系统，但未利用非传统水源作为冷却水补水或利用率不满足第3款要求时，第3款不得分。不设置冷却水补水系统的项目，第3款可直接得分。</w:t>
      </w:r>
    </w:p>
    <w:p w14:paraId="522A6EE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非传统水源指不同于传统地表水供水和地下水供水的水源，包括再生水、雨水、海水等，再生水又分市政再生水和建筑中水。</w:t>
      </w:r>
    </w:p>
    <w:p w14:paraId="50E2BC4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非传统水源的选择与利用方案应通过经济技术比较确定：</w:t>
      </w:r>
    </w:p>
    <w:p w14:paraId="0642A42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雨水更适合于季节性利用，比如用于绿化、景观水体、冷却等季节性用途。基于各地市政中水通常供应量不足，海绵城市雨水调蓄设施建设比较普及等现状，结合调蓄设施建设雨水回用设施相较于自建中水在建设及运维能耗等方面更有优势，设有雨水调蓄池的项目，可以在调蓄容积上增加雨水回用容积也可以作为杂用水补充水源使用。</w:t>
      </w:r>
    </w:p>
    <w:p w14:paraId="408BC92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第2款，中水和全年降水比较均衡地区的雨水则更适合于非季节性利用，比如冲厕等全年性用途。</w:t>
      </w:r>
    </w:p>
    <w:p w14:paraId="1FFA7B3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第3款，使用非传统水源替代自来水作为冷却水补水水源时，其水质指标应满足现行国家标准《采暖空调系统水质标准》 GB/T29044 中规定的空调冷却水的水质要求。项目无冷却塔补水需求时，第3款不得分。</w:t>
      </w:r>
    </w:p>
    <w:p w14:paraId="419A0F1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全年来看，冷却水用水时段与我国大多数地区的降雨高峰时段基本一致，因此收集雨水处理后用于冷却水补水，从水量平衡上容易达到吻合。雨水的水质要优于生活污废水，处理成本较 低、管理相对简单，具有较好的成本效益，值得推广。</w:t>
      </w:r>
    </w:p>
    <w:p w14:paraId="1F0F05D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采用非传统水源的用水量占其总用水量的比例</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指项目某部分杂用水采用非传统水源的用水量占该部分杂用水总用水量的比例。</w:t>
      </w:r>
    </w:p>
    <w:p w14:paraId="13F3359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本条文涉及的非传统水源用水量、总用水量均为设计年用水量。设计年用水量由设计平均日用水量和用水时间计算得出。</w:t>
      </w:r>
    </w:p>
    <w:p w14:paraId="77F0F77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设计平均日用水量应根据节水用水定额和设计用水单位数量计算得出，节水用水定额取值详见现行国家标准《民用建筑节水设计标准》GB 50555。</w:t>
      </w:r>
    </w:p>
    <w:p w14:paraId="6C40063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非传统水源系统应与建筑同时进行设计、施工和运行。</w:t>
      </w:r>
    </w:p>
    <w:p w14:paraId="7C703D2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本条的评价方法为：预评价查阅相关设计文件、当地相关主管部门的许可、非传统水源利用计算书；评价查阅相关竣工图纸、设计说明、非传统水源利用计算书、非传统水源水质检测报告。</w:t>
      </w:r>
    </w:p>
    <w:p w14:paraId="785CB470">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204" w:name="_Toc14810"/>
      <w:r>
        <w:rPr>
          <w:rFonts w:hint="default" w:ascii="Times New Roman" w:hAnsi="Times New Roman" w:cs="Times New Roman"/>
          <w:color w:val="000000" w:themeColor="text1"/>
          <w:sz w:val="24"/>
          <w:szCs w:val="24"/>
          <w:u w:val="none"/>
          <w:lang w:eastAsia="zh-CN"/>
          <w14:textFill>
            <w14:solidFill>
              <w14:schemeClr w14:val="tx1"/>
            </w14:solidFill>
          </w14:textFill>
        </w:rPr>
        <w:t>IV 节材与绿色建材</w:t>
      </w:r>
      <w:bookmarkEnd w:id="204"/>
    </w:p>
    <w:p w14:paraId="6BD4E696">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7.2.14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12E6DD0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土建装修一体化设计、施工，对节约能源资源有重要作用。土建和装修一体化设计，要求对土建设计和装修设计统一协调，在土建设计时充分考虑建筑空间功能改变的可能性及装饰装 修</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包括室内、室外、幕墙、陈设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、机电</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暖通、电气、给水排水外露设备设施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设计的各方面需求，事先进行孔洞预留和装修面层固定件的预埋，避免在装修时对已有建筑构件打凿、穿孔。这样既可减少设计的反复，又可保证结构的安全，减少材料消耗，并降低装修成本。土建装修一体化施工，提前让机电、装修施工介入，综合考虑各专业需求，避免发生错漏碰缺、工序颠倒、操作空间不足、成品破坏和污染等问题。</w:t>
      </w:r>
    </w:p>
    <w:p w14:paraId="5663860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实践中，可由建设单位统一组织建筑主体工程和装修施工， 也可由建设单位提供菜单式的装修做法由业主选择，统一进行图纸设计、材料购买和施工。在选材和施工方面尽可能采用工业化制造，具备稳定性、耐久性、环保性和通用性的设备和装修装饰材料，从而在工程竣工验收时室内装修一步到位，避免破坏建筑构件和设施。本条所指的建筑全部区域不包含设备间、机房等非装修区域。</w:t>
      </w:r>
    </w:p>
    <w:p w14:paraId="7F474DC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本条的评价方法为：预评价查阅土建、装修各专业施工图及其他证明材料；评价查阅土建、装修各专业竣工图及其他证明材料。</w:t>
      </w:r>
    </w:p>
    <w:p w14:paraId="46F4C162">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7.2.15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311B6FC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合理选用建筑结构材料，可减小构件的截面尺寸及材料用量，同 时也可减轻结构自重，减小地震作用及地基基础的材料消耗，节材效果显著优于同类建材。</w:t>
      </w:r>
    </w:p>
    <w:p w14:paraId="18A89A5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本条中建筑结构材料主要指高强度钢筋、高强度混凝土、高强度钢材。高强度钢筋包括400MPa 级及以上受力普通钢筋，高强混凝土包括C50及以上混凝土，高强度钢材包括现行国家标准《钢结构设计标准》GB 50017规定的Q345</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实际上为Q355</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级以上高强度钢材</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在国家标准《低合金高强度结构钢》GB/T 1591-2018中，原Q345钢材牌号已更改为Q355</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。采用混合结构时，考虑混凝土、钢的组合作用优化结构设计，可达到较好的 节材效果。</w:t>
      </w:r>
    </w:p>
    <w:p w14:paraId="47D8F05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第2款第3项所指的施工时免支撑的楼屋面板，包括各种类 型的钢筋混凝土叠合板或预应力混凝土叠合板，对于楼屋面采用工具式脚手架与配套定型模板施工，可达到免抹灰效果的，视为满足要求。</w:t>
      </w:r>
    </w:p>
    <w:p w14:paraId="0E367B4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第3款，当建筑结构材料与构件中的地上所有竖向承重构件为钢构件或者钢包混凝土构件，楼面结构是钢梁与混凝土组合楼面时，按第2款直接计算分值。</w:t>
      </w:r>
    </w:p>
    <w:p w14:paraId="398F30B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材料用量比例应按以下规则进行计算：</w:t>
      </w:r>
    </w:p>
    <w:p w14:paraId="7F227A0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1.对于混凝土结构，需计算高强度钢筋比例、高强度混凝土使用比例；</w:t>
      </w:r>
    </w:p>
    <w:p w14:paraId="0444F88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2.对于钢结构，需计算高强度钢材使用比例、螺栓连接节点数量比例；</w:t>
      </w:r>
    </w:p>
    <w:p w14:paraId="4D678D9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3. 对于混合结构，除计算以上材料之外，还需计算各类建筑结构中高强度材料的使用比例。</w:t>
      </w:r>
    </w:p>
    <w:p w14:paraId="541517C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本条的评价方法为：预评价查阅相关设计文件、各类材料用量比例计算书；评价查阅相关竣工图、施工记录、材料决算清单、各类材料用量比例计算书。</w:t>
      </w:r>
    </w:p>
    <w:p w14:paraId="7CD194AB">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7.2.16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536CD25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本条在国家标准《装配式建筑评价标准》GB/T 51129-2017 基础上进一 步明确要求，鼓励运用通用化和标准化的设计方式与建筑结构、设备及管线进行一体化集成设计，并采用工业化内装部品进行室内装配式装修。工业化内装部品主要包括整体卫浴、整体厨房、装配式吊顶、干式工法地面、装配式内墙、管线集成与设备设施等 。装配式内墙指的是适合产品集成的非砌筑免抹灰墙体，主要包括：轻质条板隔墙、玻璃隔断、木骨架或轻钢骨架复合墙。</w:t>
      </w:r>
    </w:p>
    <w:p w14:paraId="131DBC4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工业化内装部品占同类部品用量比例可参照现行国家标准《装配式建筑评价标准》GB/T 51129的有关规定计算，当计算 比例达到50%及以上时可认定为1种。  </w:t>
      </w:r>
    </w:p>
    <w:p w14:paraId="52DD0A9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当裙房建筑面积较大时，或建筑使用功能、主体功能形式等存在较大差异时，主楼与裙房可先分别评价并计算得分，然后按照建筑面积的权重进行折算。</w:t>
      </w:r>
    </w:p>
    <w:p w14:paraId="6D996D2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建筑及装修专业施工图、工业化内装部品施工设计文件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、工业化内装部品用量比例计算书；评价查阅相关竣工图、工业化内装部品用量比例计算书、工业化内装深化设计图、材料见证送检报告。</w:t>
      </w:r>
    </w:p>
    <w:p w14:paraId="5FF9B0C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7.2.17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501EF6D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材料的循环利用是建筑节材与材料资源利用的重要内容。本条的设置旨在整体考量建筑材料的循环利用对于节材与材料资源利用的贡献，评价范围是永久性安装在工程中的建筑材料，不包括电梯等设备。有的建筑材料可以在不改变材料的物质形态情况下直接进行再利用，或经过简单组合、修复后可直接再利用，如有些材质的门、窗等。有的建筑材料需要通过改变物质形态才能实现循环利用，如难以直接回用的钢筋、玻璃等，可以回炉再生产。有的建筑材料则既可以直接再利用又可以回炉后再循环利用，例如标准尺寸的钢结构型材等。以上各类材料均可纳入本条范畴。</w:t>
      </w:r>
    </w:p>
    <w:p w14:paraId="4EFA379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建筑中选用的可再循环建筑材料和可再利用建筑材料，可以减少生产加工新材料带来的资源、能源消耗及环境污染，具有良好的经济、社会和环境效益。常见可再循环建筑材料见新增表3。</w:t>
      </w:r>
    </w:p>
    <w:p w14:paraId="081BD126">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新增表3</w:t>
      </w:r>
      <w:r>
        <w:rPr>
          <w:rFonts w:hint="default" w:ascii="Times New Roman" w:hAnsi="Times New Roman" w:cs="Times New Roman"/>
          <w:b/>
          <w:color w:val="000000" w:themeColor="text1"/>
          <w:spacing w:val="-7"/>
          <w:szCs w:val="21"/>
          <w:u w:val="none"/>
          <w:lang w:val="en-US" w:eastAsia="zh-CN"/>
          <w14:textFill>
            <w14:solidFill>
              <w14:schemeClr w14:val="tx1"/>
            </w14:solidFill>
          </w14:textFill>
        </w:rPr>
        <w:t xml:space="preserve"> </w:t>
      </w:r>
      <w:r>
        <w:rPr>
          <w:rFonts w:hint="default" w:ascii="Times New Roman" w:hAnsi="Times New Roman" w:cs="Times New Roman"/>
          <w:b/>
          <w:color w:val="000000" w:themeColor="text1"/>
          <w:spacing w:val="-7"/>
          <w:szCs w:val="21"/>
          <w:u w:val="none"/>
          <w14:textFill>
            <w14:solidFill>
              <w14:schemeClr w14:val="tx1"/>
            </w14:solidFill>
          </w14:textFill>
        </w:rPr>
        <w:t>常见可再循环建筑材料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2066"/>
        <w:gridCol w:w="4822"/>
      </w:tblGrid>
      <w:tr w14:paraId="3034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959" w:type="pct"/>
            <w:vAlign w:val="center"/>
          </w:tcPr>
          <w:p w14:paraId="46CD972A">
            <w:pPr>
              <w:pStyle w:val="24"/>
              <w:spacing w:before="81" w:line="360" w:lineRule="auto"/>
              <w:jc w:val="center"/>
              <w:rPr>
                <w:rFonts w:hint="default" w:ascii="Times New Roman" w:hAnsi="Times New Roman" w:cs="Times New Roman"/>
                <w:sz w:val="21"/>
                <w:szCs w:val="21"/>
                <w:u w:val="none"/>
              </w:rPr>
            </w:pPr>
            <w:r>
              <w:rPr>
                <w:rFonts w:hint="default" w:ascii="Times New Roman" w:hAnsi="Times New Roman" w:cs="Times New Roman"/>
                <w:spacing w:val="-3"/>
                <w:sz w:val="21"/>
                <w:szCs w:val="21"/>
                <w:u w:val="none"/>
              </w:rPr>
              <w:t>大类</w:t>
            </w:r>
          </w:p>
        </w:tc>
        <w:tc>
          <w:tcPr>
            <w:tcW w:w="1212" w:type="pct"/>
            <w:vAlign w:val="center"/>
          </w:tcPr>
          <w:p w14:paraId="5EDB7E7C">
            <w:pPr>
              <w:pStyle w:val="24"/>
              <w:spacing w:before="81" w:line="360" w:lineRule="auto"/>
              <w:jc w:val="center"/>
              <w:rPr>
                <w:rFonts w:hint="default" w:ascii="Times New Roman" w:hAnsi="Times New Roman" w:cs="Times New Roman"/>
                <w:sz w:val="21"/>
                <w:szCs w:val="21"/>
                <w:u w:val="none"/>
              </w:rPr>
            </w:pPr>
            <w:r>
              <w:rPr>
                <w:rFonts w:hint="default" w:ascii="Times New Roman" w:hAnsi="Times New Roman" w:cs="Times New Roman"/>
                <w:spacing w:val="-3"/>
                <w:sz w:val="21"/>
                <w:szCs w:val="21"/>
                <w:u w:val="none"/>
              </w:rPr>
              <w:t>小类</w:t>
            </w:r>
          </w:p>
        </w:tc>
        <w:tc>
          <w:tcPr>
            <w:tcW w:w="2829" w:type="pct"/>
            <w:vAlign w:val="center"/>
          </w:tcPr>
          <w:p w14:paraId="24AA6F53">
            <w:pPr>
              <w:pStyle w:val="24"/>
              <w:spacing w:before="80" w:line="360" w:lineRule="auto"/>
              <w:ind w:left="1325"/>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具体材料</w:t>
            </w:r>
          </w:p>
        </w:tc>
      </w:tr>
      <w:tr w14:paraId="24C9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59" w:type="pct"/>
            <w:vMerge w:val="restart"/>
            <w:vAlign w:val="center"/>
          </w:tcPr>
          <w:p w14:paraId="4E4CEC15">
            <w:pPr>
              <w:pStyle w:val="24"/>
              <w:spacing w:before="52" w:line="360" w:lineRule="auto"/>
              <w:jc w:val="center"/>
              <w:rPr>
                <w:rFonts w:hint="default" w:ascii="Times New Roman" w:hAnsi="Times New Roman" w:cs="Times New Roman"/>
                <w:sz w:val="21"/>
                <w:szCs w:val="21"/>
                <w:u w:val="none"/>
              </w:rPr>
            </w:pPr>
            <w:r>
              <w:rPr>
                <w:rFonts w:hint="default" w:ascii="Times New Roman" w:hAnsi="Times New Roman" w:cs="Times New Roman"/>
                <w:spacing w:val="6"/>
                <w:sz w:val="21"/>
                <w:szCs w:val="21"/>
                <w:u w:val="none"/>
              </w:rPr>
              <w:t>金属</w:t>
            </w:r>
          </w:p>
        </w:tc>
        <w:tc>
          <w:tcPr>
            <w:tcW w:w="1212" w:type="pct"/>
            <w:vAlign w:val="center"/>
          </w:tcPr>
          <w:p w14:paraId="116D3DF8">
            <w:pPr>
              <w:pStyle w:val="24"/>
              <w:spacing w:before="80" w:line="36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钢</w:t>
            </w:r>
          </w:p>
        </w:tc>
        <w:tc>
          <w:tcPr>
            <w:tcW w:w="2829" w:type="pct"/>
            <w:vAlign w:val="center"/>
          </w:tcPr>
          <w:p w14:paraId="009C398A">
            <w:pPr>
              <w:pStyle w:val="24"/>
              <w:spacing w:before="77"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钢筋、型钢等</w:t>
            </w:r>
          </w:p>
        </w:tc>
      </w:tr>
      <w:tr w14:paraId="3A77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59" w:type="pct"/>
            <w:vMerge w:val="continue"/>
            <w:vAlign w:val="center"/>
          </w:tcPr>
          <w:p w14:paraId="157495D1">
            <w:pPr>
              <w:spacing w:line="360" w:lineRule="auto"/>
              <w:jc w:val="center"/>
              <w:rPr>
                <w:rFonts w:hint="default" w:ascii="Times New Roman" w:hAnsi="Times New Roman" w:eastAsia="宋体" w:cs="Times New Roman"/>
                <w:sz w:val="21"/>
                <w:szCs w:val="21"/>
                <w:u w:val="none"/>
              </w:rPr>
            </w:pPr>
          </w:p>
        </w:tc>
        <w:tc>
          <w:tcPr>
            <w:tcW w:w="1212" w:type="pct"/>
            <w:vAlign w:val="center"/>
          </w:tcPr>
          <w:p w14:paraId="5EDBE27C">
            <w:pPr>
              <w:pStyle w:val="24"/>
              <w:spacing w:before="71"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不锈钢</w:t>
            </w:r>
          </w:p>
        </w:tc>
        <w:tc>
          <w:tcPr>
            <w:tcW w:w="2829" w:type="pct"/>
            <w:vAlign w:val="center"/>
          </w:tcPr>
          <w:p w14:paraId="059BE95C">
            <w:pPr>
              <w:pStyle w:val="24"/>
              <w:spacing w:before="67" w:line="360" w:lineRule="auto"/>
              <w:jc w:val="center"/>
              <w:rPr>
                <w:rFonts w:hint="default" w:ascii="Times New Roman" w:hAnsi="Times New Roman" w:cs="Times New Roman"/>
                <w:sz w:val="21"/>
                <w:szCs w:val="21"/>
                <w:u w:val="none"/>
                <w:lang w:eastAsia="zh-CN"/>
              </w:rPr>
            </w:pPr>
            <w:r>
              <w:rPr>
                <w:rFonts w:hint="default" w:ascii="Times New Roman" w:hAnsi="Times New Roman" w:cs="Times New Roman"/>
                <w:spacing w:val="-1"/>
                <w:sz w:val="21"/>
                <w:szCs w:val="21"/>
                <w:u w:val="none"/>
                <w:lang w:eastAsia="zh-CN"/>
              </w:rPr>
              <w:t>不锈钢管、不锈钢板、锚固等</w:t>
            </w:r>
          </w:p>
        </w:tc>
      </w:tr>
      <w:tr w14:paraId="3BCD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59" w:type="pct"/>
            <w:vMerge w:val="continue"/>
            <w:vAlign w:val="center"/>
          </w:tcPr>
          <w:p w14:paraId="2E6A28BE">
            <w:pPr>
              <w:spacing w:line="360" w:lineRule="auto"/>
              <w:jc w:val="center"/>
              <w:rPr>
                <w:rFonts w:hint="default" w:ascii="Times New Roman" w:hAnsi="Times New Roman" w:eastAsia="宋体" w:cs="Times New Roman"/>
                <w:sz w:val="21"/>
                <w:szCs w:val="21"/>
                <w:u w:val="none"/>
              </w:rPr>
            </w:pPr>
          </w:p>
        </w:tc>
        <w:tc>
          <w:tcPr>
            <w:tcW w:w="1212" w:type="pct"/>
            <w:vAlign w:val="center"/>
          </w:tcPr>
          <w:p w14:paraId="32717D00">
            <w:pPr>
              <w:pStyle w:val="24"/>
              <w:spacing w:before="80"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铸铁</w:t>
            </w:r>
          </w:p>
        </w:tc>
        <w:tc>
          <w:tcPr>
            <w:tcW w:w="2829" w:type="pct"/>
            <w:vAlign w:val="center"/>
          </w:tcPr>
          <w:p w14:paraId="6FB8223A">
            <w:pPr>
              <w:pStyle w:val="24"/>
              <w:spacing w:before="79"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铸铁管、铸铁栅栏等</w:t>
            </w:r>
          </w:p>
        </w:tc>
      </w:tr>
      <w:tr w14:paraId="5530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pct"/>
            <w:vMerge w:val="continue"/>
            <w:vAlign w:val="center"/>
          </w:tcPr>
          <w:p w14:paraId="532D1B24">
            <w:pPr>
              <w:spacing w:line="360" w:lineRule="auto"/>
              <w:jc w:val="center"/>
              <w:rPr>
                <w:rFonts w:hint="default" w:ascii="Times New Roman" w:hAnsi="Times New Roman" w:eastAsia="宋体" w:cs="Times New Roman"/>
                <w:sz w:val="21"/>
                <w:szCs w:val="21"/>
                <w:u w:val="none"/>
              </w:rPr>
            </w:pPr>
          </w:p>
        </w:tc>
        <w:tc>
          <w:tcPr>
            <w:tcW w:w="1212" w:type="pct"/>
            <w:vAlign w:val="center"/>
          </w:tcPr>
          <w:p w14:paraId="51DB163A">
            <w:pPr>
              <w:pStyle w:val="24"/>
              <w:spacing w:before="73"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铝及铝合金</w:t>
            </w:r>
          </w:p>
        </w:tc>
        <w:tc>
          <w:tcPr>
            <w:tcW w:w="2829" w:type="pct"/>
            <w:vAlign w:val="center"/>
          </w:tcPr>
          <w:p w14:paraId="4E544283">
            <w:pPr>
              <w:pStyle w:val="24"/>
              <w:spacing w:before="69" w:line="360" w:lineRule="auto"/>
              <w:jc w:val="center"/>
              <w:rPr>
                <w:rFonts w:hint="default" w:ascii="Times New Roman" w:hAnsi="Times New Roman" w:cs="Times New Roman"/>
                <w:sz w:val="21"/>
                <w:szCs w:val="21"/>
                <w:u w:val="none"/>
                <w:lang w:eastAsia="zh-CN"/>
              </w:rPr>
            </w:pPr>
            <w:r>
              <w:rPr>
                <w:rFonts w:hint="default" w:ascii="Times New Roman" w:hAnsi="Times New Roman" w:cs="Times New Roman"/>
                <w:spacing w:val="-1"/>
                <w:sz w:val="21"/>
                <w:szCs w:val="21"/>
                <w:u w:val="none"/>
                <w:lang w:eastAsia="zh-CN"/>
              </w:rPr>
              <w:t>铝合金型材、铝单板、铝塑板、铝蜂窝板等</w:t>
            </w:r>
          </w:p>
        </w:tc>
      </w:tr>
      <w:tr w14:paraId="5A3F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59" w:type="pct"/>
            <w:vMerge w:val="continue"/>
            <w:vAlign w:val="center"/>
          </w:tcPr>
          <w:p w14:paraId="1FED31E7">
            <w:pPr>
              <w:spacing w:line="360" w:lineRule="auto"/>
              <w:jc w:val="center"/>
              <w:rPr>
                <w:rFonts w:hint="default" w:ascii="Times New Roman" w:hAnsi="Times New Roman" w:eastAsia="宋体" w:cs="Times New Roman"/>
                <w:sz w:val="21"/>
                <w:szCs w:val="21"/>
                <w:u w:val="none"/>
              </w:rPr>
            </w:pPr>
          </w:p>
        </w:tc>
        <w:tc>
          <w:tcPr>
            <w:tcW w:w="1212" w:type="pct"/>
            <w:vAlign w:val="center"/>
          </w:tcPr>
          <w:p w14:paraId="02FAE536">
            <w:pPr>
              <w:pStyle w:val="24"/>
              <w:spacing w:before="82"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铜及铜合金</w:t>
            </w:r>
          </w:p>
        </w:tc>
        <w:tc>
          <w:tcPr>
            <w:tcW w:w="2829" w:type="pct"/>
            <w:vAlign w:val="center"/>
          </w:tcPr>
          <w:p w14:paraId="1AFB3144">
            <w:pPr>
              <w:pStyle w:val="24"/>
              <w:spacing w:before="80"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铜板、铜塑板等</w:t>
            </w:r>
          </w:p>
        </w:tc>
      </w:tr>
      <w:tr w14:paraId="4F50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59" w:type="pct"/>
            <w:vMerge w:val="continue"/>
            <w:vAlign w:val="center"/>
          </w:tcPr>
          <w:p w14:paraId="44DB65A5">
            <w:pPr>
              <w:spacing w:line="360" w:lineRule="auto"/>
              <w:jc w:val="center"/>
              <w:rPr>
                <w:rFonts w:hint="default" w:ascii="Times New Roman" w:hAnsi="Times New Roman" w:eastAsia="宋体" w:cs="Times New Roman"/>
                <w:sz w:val="21"/>
                <w:szCs w:val="21"/>
                <w:u w:val="none"/>
              </w:rPr>
            </w:pPr>
          </w:p>
        </w:tc>
        <w:tc>
          <w:tcPr>
            <w:tcW w:w="1212" w:type="pct"/>
            <w:vAlign w:val="center"/>
          </w:tcPr>
          <w:p w14:paraId="52413A0B">
            <w:pPr>
              <w:pStyle w:val="24"/>
              <w:spacing w:before="83"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其他</w:t>
            </w:r>
          </w:p>
        </w:tc>
        <w:tc>
          <w:tcPr>
            <w:tcW w:w="2829" w:type="pct"/>
            <w:vAlign w:val="center"/>
          </w:tcPr>
          <w:p w14:paraId="1DC4893C">
            <w:pPr>
              <w:pStyle w:val="24"/>
              <w:spacing w:before="81"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锌及锌合金板等</w:t>
            </w:r>
          </w:p>
        </w:tc>
      </w:tr>
      <w:tr w14:paraId="5205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pct"/>
            <w:vMerge w:val="restart"/>
            <w:vAlign w:val="center"/>
          </w:tcPr>
          <w:p w14:paraId="69185802">
            <w:pPr>
              <w:pStyle w:val="24"/>
              <w:spacing w:before="232" w:line="360" w:lineRule="auto"/>
              <w:ind w:left="64"/>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无机非金属材料</w:t>
            </w:r>
          </w:p>
        </w:tc>
        <w:tc>
          <w:tcPr>
            <w:tcW w:w="1212" w:type="pct"/>
            <w:vAlign w:val="center"/>
          </w:tcPr>
          <w:p w14:paraId="3B66B683">
            <w:pPr>
              <w:pStyle w:val="24"/>
              <w:spacing w:before="84" w:line="360" w:lineRule="auto"/>
              <w:jc w:val="center"/>
              <w:rPr>
                <w:rFonts w:hint="default" w:ascii="Times New Roman" w:hAnsi="Times New Roman" w:cs="Times New Roman"/>
                <w:sz w:val="21"/>
                <w:szCs w:val="21"/>
                <w:u w:val="none"/>
              </w:rPr>
            </w:pPr>
            <w:r>
              <w:rPr>
                <w:rFonts w:hint="default" w:ascii="Times New Roman" w:hAnsi="Times New Roman" w:cs="Times New Roman"/>
                <w:spacing w:val="-3"/>
                <w:sz w:val="21"/>
                <w:szCs w:val="21"/>
                <w:u w:val="none"/>
              </w:rPr>
              <w:t>玻璃</w:t>
            </w:r>
          </w:p>
        </w:tc>
        <w:tc>
          <w:tcPr>
            <w:tcW w:w="2829" w:type="pct"/>
            <w:vAlign w:val="center"/>
          </w:tcPr>
          <w:p w14:paraId="403D45BC">
            <w:pPr>
              <w:pStyle w:val="24"/>
              <w:spacing w:before="82" w:line="360" w:lineRule="auto"/>
              <w:jc w:val="center"/>
              <w:rPr>
                <w:rFonts w:hint="default" w:ascii="Times New Roman" w:hAnsi="Times New Roman" w:cs="Times New Roman"/>
                <w:sz w:val="21"/>
                <w:szCs w:val="21"/>
                <w:u w:val="none"/>
                <w:lang w:eastAsia="zh-CN"/>
              </w:rPr>
            </w:pPr>
            <w:r>
              <w:rPr>
                <w:rFonts w:hint="default" w:ascii="Times New Roman" w:hAnsi="Times New Roman" w:cs="Times New Roman"/>
                <w:spacing w:val="-4"/>
                <w:sz w:val="21"/>
                <w:szCs w:val="21"/>
                <w:u w:val="none"/>
                <w:lang w:eastAsia="zh-CN"/>
              </w:rPr>
              <w:t>门窗、幕墙、采光顶、透明地面及隔断用玻璃等</w:t>
            </w:r>
          </w:p>
        </w:tc>
      </w:tr>
      <w:tr w14:paraId="1593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pct"/>
            <w:vMerge w:val="continue"/>
            <w:vAlign w:val="center"/>
          </w:tcPr>
          <w:p w14:paraId="25FBD5CB">
            <w:pPr>
              <w:spacing w:line="360" w:lineRule="auto"/>
              <w:jc w:val="center"/>
              <w:rPr>
                <w:rFonts w:hint="default" w:ascii="Times New Roman" w:hAnsi="Times New Roman" w:eastAsia="宋体" w:cs="Times New Roman"/>
                <w:sz w:val="21"/>
                <w:szCs w:val="21"/>
                <w:u w:val="none"/>
              </w:rPr>
            </w:pPr>
          </w:p>
        </w:tc>
        <w:tc>
          <w:tcPr>
            <w:tcW w:w="1212" w:type="pct"/>
            <w:vAlign w:val="center"/>
          </w:tcPr>
          <w:p w14:paraId="5342DE38">
            <w:pPr>
              <w:pStyle w:val="24"/>
              <w:spacing w:before="72"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石膏</w:t>
            </w:r>
          </w:p>
        </w:tc>
        <w:tc>
          <w:tcPr>
            <w:tcW w:w="2829" w:type="pct"/>
            <w:vAlign w:val="center"/>
          </w:tcPr>
          <w:p w14:paraId="0EB846D8">
            <w:pPr>
              <w:pStyle w:val="24"/>
              <w:spacing w:before="72" w:line="360" w:lineRule="auto"/>
              <w:jc w:val="center"/>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eastAsia="zh-CN"/>
              </w:rPr>
              <w:t>吊顶、室内隔断用石膏板等</w:t>
            </w:r>
          </w:p>
        </w:tc>
      </w:tr>
      <w:tr w14:paraId="7FE5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59" w:type="pct"/>
            <w:vMerge w:val="restart"/>
            <w:vAlign w:val="center"/>
          </w:tcPr>
          <w:p w14:paraId="062552F4">
            <w:pPr>
              <w:pStyle w:val="24"/>
              <w:spacing w:before="52"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其他</w:t>
            </w:r>
          </w:p>
        </w:tc>
        <w:tc>
          <w:tcPr>
            <w:tcW w:w="1212" w:type="pct"/>
            <w:vAlign w:val="center"/>
          </w:tcPr>
          <w:p w14:paraId="5FCA0A10">
            <w:pPr>
              <w:pStyle w:val="24"/>
              <w:spacing w:before="83"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木材</w:t>
            </w:r>
          </w:p>
        </w:tc>
        <w:tc>
          <w:tcPr>
            <w:tcW w:w="2829" w:type="pct"/>
            <w:vAlign w:val="center"/>
          </w:tcPr>
          <w:p w14:paraId="5C638197">
            <w:pPr>
              <w:pStyle w:val="24"/>
              <w:spacing w:before="83"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木方、木板等</w:t>
            </w:r>
          </w:p>
        </w:tc>
      </w:tr>
      <w:tr w14:paraId="5DCC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59" w:type="pct"/>
            <w:vMerge w:val="continue"/>
            <w:vAlign w:val="center"/>
          </w:tcPr>
          <w:p w14:paraId="293C8BC6">
            <w:pPr>
              <w:spacing w:line="360" w:lineRule="auto"/>
              <w:jc w:val="center"/>
              <w:rPr>
                <w:rFonts w:hint="default" w:ascii="Times New Roman" w:hAnsi="Times New Roman" w:eastAsia="宋体" w:cs="Times New Roman"/>
                <w:sz w:val="21"/>
                <w:szCs w:val="21"/>
                <w:u w:val="none"/>
              </w:rPr>
            </w:pPr>
          </w:p>
        </w:tc>
        <w:tc>
          <w:tcPr>
            <w:tcW w:w="1212" w:type="pct"/>
            <w:vAlign w:val="center"/>
          </w:tcPr>
          <w:p w14:paraId="27EE7356">
            <w:pPr>
              <w:pStyle w:val="24"/>
              <w:spacing w:before="84"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竹材</w:t>
            </w:r>
          </w:p>
        </w:tc>
        <w:tc>
          <w:tcPr>
            <w:tcW w:w="2829" w:type="pct"/>
            <w:vAlign w:val="center"/>
          </w:tcPr>
          <w:p w14:paraId="4D82088E">
            <w:pPr>
              <w:pStyle w:val="24"/>
              <w:spacing w:before="84"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竹板、竹竿等</w:t>
            </w:r>
          </w:p>
        </w:tc>
      </w:tr>
      <w:tr w14:paraId="033F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continue"/>
            <w:vAlign w:val="center"/>
          </w:tcPr>
          <w:p w14:paraId="02038A2B">
            <w:pPr>
              <w:spacing w:line="360" w:lineRule="auto"/>
              <w:jc w:val="center"/>
              <w:rPr>
                <w:rFonts w:hint="default" w:ascii="Times New Roman" w:hAnsi="Times New Roman" w:eastAsia="宋体" w:cs="Times New Roman"/>
                <w:sz w:val="21"/>
                <w:szCs w:val="21"/>
                <w:u w:val="none"/>
              </w:rPr>
            </w:pPr>
          </w:p>
        </w:tc>
        <w:tc>
          <w:tcPr>
            <w:tcW w:w="1212" w:type="pct"/>
            <w:vAlign w:val="center"/>
          </w:tcPr>
          <w:p w14:paraId="5AB2C68E">
            <w:pPr>
              <w:pStyle w:val="24"/>
              <w:spacing w:before="65"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高分子材料</w:t>
            </w:r>
          </w:p>
        </w:tc>
        <w:tc>
          <w:tcPr>
            <w:tcW w:w="2829" w:type="pct"/>
            <w:vAlign w:val="center"/>
          </w:tcPr>
          <w:p w14:paraId="149A73A9">
            <w:pPr>
              <w:pStyle w:val="24"/>
              <w:spacing w:before="65"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塑料窗框、塑料管材等</w:t>
            </w:r>
          </w:p>
        </w:tc>
      </w:tr>
    </w:tbl>
    <w:p w14:paraId="41403B8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利废建材即</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以废弃物为原料生产的建筑材料</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鼓励利用工业废料、农作物秸秆、建筑垃圾、淤泥为原料制作成水泥、混凝土、墙体材料、保温材料、铺地材料等建筑材料；鼓励以工业副产品石膏制作成石膏制品；鼓励使用生活废弃物经处 理后制成的建筑材料。</w:t>
      </w:r>
    </w:p>
    <w:p w14:paraId="071FAFC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为保证废弃物使用量达到一定比例，本条第2款对不同种类利废建材使用量进行了要求。若采用以废弃物为原料生产的建筑材料，应同时满足相应的国家或行业标准的要求。</w:t>
      </w:r>
    </w:p>
    <w:p w14:paraId="08CEB97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计算利废建材用量比例时，分子为某种利废建材重量，分母为该种利废建材所述的同类材料的总重量。当项目使用了多种利废建材，应针对每种单独计算，每种利废建材的用量比例均不应低于30%。  </w:t>
      </w:r>
    </w:p>
    <w:p w14:paraId="60B6EDC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如项目中使用了再生骨料混凝土或再生骨料混凝土制品，其再生骨料可计入可再循环材料和利废建材中，各款得分的比例要 求相应提升50%。 </w:t>
      </w:r>
    </w:p>
    <w:p w14:paraId="333AAEE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工程概预算材料清单、各类材料用量比例计算书、各种建筑材料的使用部位及使用量一览表；评价查阅工程材料清单、相关产品检测报告、各类材料用量比例计算书，利废建材中废弃物掺量说明及证明材料。</w:t>
      </w:r>
    </w:p>
    <w:p w14:paraId="7F1BEC4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7.2.18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1C27126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为加快绿色建材推广应用，更好地支撑绿色建筑发展，《</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十四五</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建筑节能与绿色建筑发展规划》进一步提出，在</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十四五</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期间城镇新建建筑中绿色建材应用比例进一步显著提高，各地已陆续颁布绿色建材应用比例具体要求。在《住房和城乡建设部国家发展改革委关于印发城乡建设领域碳达峰实施方案的通知》</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建标〔2022〕53号</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中，明确提出到2030年，所有星级绿色建筑全面采用绿色建材。针对此目标要求，本次修订提出了阶段性目标。住房和城乡建设部科技与产业化发展中心于2021年9月发布《绿色建材应用比例计算技术细则</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试行</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该细则提出绿色建材应用比例的计算指标由主体及围护结构工程用材、装饰装修工程用材、机电安装工程用材、室外工程用材4类一级指标组成，对4类一级指标分别进行了赋分和二级指标划分，并提出了绿色建材应用比例计算公式。</w:t>
      </w:r>
    </w:p>
    <w:p w14:paraId="44DFDFA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考虑到具体绿色建筑项目在计算时应充分考虑工程实际用材情况</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如因为结构体系、技术措施等因素导致在具体工程未使用钢结构构件、遮阳制品等部分建材品类</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因此本条在《绿色建材应用比例计算技术细则</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试行</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》指标体系和计算方法的基础上，将具体用材情况映射归类到二级指标中，提出绿色建筑中绿色建材应用比例具体按下列公式进行计算，并按新增表4确定得分：</w:t>
      </w:r>
    </w:p>
    <w:p w14:paraId="4CB70ABD">
      <w:pPr>
        <w:spacing w:line="360" w:lineRule="auto"/>
        <w:jc w:val="cente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P=∑Q</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n</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/100×100%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新增2</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50B0746A">
      <w:pPr>
        <w:spacing w:line="360" w:lineRule="auto"/>
        <w:jc w:val="cente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Q</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n</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Q</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n总</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×N</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绿</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N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新增3</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48081616">
      <w:pPr>
        <w:spacing w:line="360" w:lineRule="auto"/>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式中：P——绿色建材应用比例</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74D9CEA7">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Q</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n</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——Q</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1</w:t>
      </w:r>
      <w:bookmarkStart w:id="205" w:name="OLE_LINK24"/>
      <w:bookmarkStart w:id="206" w:name="OLE_LINK23"/>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bookmarkEnd w:id="205"/>
      <w:bookmarkEnd w:id="206"/>
      <w:r>
        <w:rPr>
          <w:rFonts w:hint="default" w:ascii="Times New Roman" w:hAnsi="Times New Roman" w:eastAsia="宋体" w:cs="Times New Roman"/>
          <w:color w:val="000000" w:themeColor="text1"/>
          <w:spacing w:val="-8"/>
          <w:sz w:val="24"/>
          <w:szCs w:val="24"/>
          <w:u w:val="none"/>
          <w14:textFill>
            <w14:solidFill>
              <w14:schemeClr w14:val="tx1"/>
            </w14:solidFill>
          </w14:textFill>
        </w:rPr>
        <w:t>Q</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4</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各类一级指标实际得分值； </w:t>
      </w:r>
    </w:p>
    <w:p w14:paraId="10E29B50">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Q</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n</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总</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——Q₁～Q₄各类一级指标理论计算分值，</w:t>
      </w:r>
      <w:bookmarkStart w:id="207" w:name="OLE_LINK21"/>
      <w:bookmarkStart w:id="208" w:name="OLE_LINK22"/>
      <w:r>
        <w:rPr>
          <w:rFonts w:hint="default" w:ascii="Times New Roman" w:hAnsi="Times New Roman" w:eastAsia="宋体" w:cs="Times New Roman"/>
          <w:color w:val="000000" w:themeColor="text1"/>
          <w:spacing w:val="-8"/>
          <w:sz w:val="24"/>
          <w:szCs w:val="24"/>
          <w:u w:val="none"/>
          <w14:textFill>
            <w14:solidFill>
              <w14:schemeClr w14:val="tx1"/>
            </w14:solidFill>
          </w14:textFill>
        </w:rPr>
        <w:t>Q</w:t>
      </w:r>
      <w:bookmarkStart w:id="209" w:name="OLE_LINK20"/>
      <w:bookmarkStart w:id="210" w:name="OLE_LINK17"/>
      <w:r>
        <w:rPr>
          <w:rFonts w:hint="default" w:ascii="Times New Roman" w:hAnsi="Times New Roman" w:eastAsia="宋体" w:cs="Times New Roman"/>
          <w:color w:val="000000" w:themeColor="text1"/>
          <w:spacing w:val="-8"/>
          <w:sz w:val="24"/>
          <w:szCs w:val="24"/>
          <w:u w:val="none"/>
          <w14:textFill>
            <w14:solidFill>
              <w14:schemeClr w14:val="tx1"/>
            </w14:solidFill>
          </w14:textFill>
        </w:rPr>
        <w:t>₁ ～Q₄</w:t>
      </w:r>
      <w:bookmarkEnd w:id="207"/>
      <w:bookmarkEnd w:id="208"/>
      <w:bookmarkEnd w:id="209"/>
      <w:bookmarkEnd w:id="210"/>
      <w:r>
        <w:rPr>
          <w:rFonts w:hint="default" w:ascii="Times New Roman" w:hAnsi="Times New Roman" w:eastAsia="宋体" w:cs="Times New Roman"/>
          <w:color w:val="000000" w:themeColor="text1"/>
          <w:spacing w:val="-8"/>
          <w:sz w:val="24"/>
          <w:szCs w:val="24"/>
          <w:u w:val="none"/>
          <w14:textFill>
            <w14:solidFill>
              <w14:schemeClr w14:val="tx1"/>
            </w14:solidFill>
          </w14:textFill>
        </w:rPr>
        <w:t>分别为45、35、15、5；</w:t>
      </w:r>
    </w:p>
    <w:p w14:paraId="642EBF19">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N</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绿</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——各类二级指标中工程实际使用并满足绿色建材要求的建材品类数量；</w:t>
      </w:r>
    </w:p>
    <w:p w14:paraId="4B6595F2">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N——各类二级指标中工程实际使用的建材品类数量。</w:t>
      </w:r>
    </w:p>
    <w:p w14:paraId="2E2F9477">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新增表4 绿色建材应用比例计算表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2992"/>
        <w:gridCol w:w="2518"/>
      </w:tblGrid>
      <w:tr w14:paraId="1354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trPr>
        <w:tc>
          <w:tcPr>
            <w:tcW w:w="3522" w:type="pct"/>
            <w:gridSpan w:val="2"/>
            <w:vAlign w:val="top"/>
          </w:tcPr>
          <w:p w14:paraId="4B311F53">
            <w:pPr>
              <w:pStyle w:val="24"/>
              <w:spacing w:before="112" w:line="360" w:lineRule="auto"/>
              <w:ind w:left="1715"/>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计算指标</w:t>
            </w:r>
          </w:p>
        </w:tc>
        <w:tc>
          <w:tcPr>
            <w:tcW w:w="1477" w:type="pct"/>
            <w:vAlign w:val="top"/>
          </w:tcPr>
          <w:p w14:paraId="29090B99">
            <w:pPr>
              <w:pStyle w:val="24"/>
              <w:spacing w:before="112" w:line="360" w:lineRule="auto"/>
              <w:ind w:left="128"/>
              <w:rPr>
                <w:rFonts w:hint="default" w:ascii="Times New Roman" w:hAnsi="Times New Roman" w:eastAsia="宋体" w:cs="Times New Roman"/>
                <w:sz w:val="21"/>
                <w:szCs w:val="21"/>
                <w:u w:val="none"/>
                <w:lang w:eastAsia="zh-CN"/>
              </w:rPr>
            </w:pPr>
            <w:r>
              <w:rPr>
                <w:rFonts w:hint="default" w:ascii="Times New Roman" w:hAnsi="Times New Roman" w:cs="Times New Roman"/>
                <w:spacing w:val="3"/>
                <w:sz w:val="21"/>
                <w:szCs w:val="21"/>
                <w:u w:val="none"/>
              </w:rPr>
              <w:t>计算分值</w:t>
            </w:r>
            <w:r>
              <w:rPr>
                <w:rFonts w:hint="default" w:ascii="Times New Roman" w:hAnsi="Times New Roman" w:cs="Times New Roman"/>
                <w:spacing w:val="3"/>
                <w:sz w:val="21"/>
                <w:szCs w:val="21"/>
                <w:u w:val="none"/>
                <w:lang w:eastAsia="zh-CN"/>
              </w:rPr>
              <w:t>（</w:t>
            </w:r>
            <w:r>
              <w:rPr>
                <w:rFonts w:hint="default" w:ascii="Times New Roman" w:hAnsi="Times New Roman" w:cs="Times New Roman"/>
                <w:spacing w:val="3"/>
                <w:sz w:val="21"/>
                <w:szCs w:val="21"/>
                <w:u w:val="none"/>
              </w:rPr>
              <w:t>总分100</w:t>
            </w:r>
            <w:r>
              <w:rPr>
                <w:rFonts w:hint="default" w:ascii="Times New Roman" w:hAnsi="Times New Roman" w:cs="Times New Roman"/>
                <w:spacing w:val="3"/>
                <w:sz w:val="21"/>
                <w:szCs w:val="21"/>
                <w:u w:val="none"/>
                <w:lang w:eastAsia="zh-CN"/>
              </w:rPr>
              <w:t>）</w:t>
            </w:r>
          </w:p>
        </w:tc>
      </w:tr>
      <w:tr w14:paraId="5411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67" w:type="pct"/>
          </w:tcPr>
          <w:p w14:paraId="458B9990">
            <w:pPr>
              <w:pStyle w:val="24"/>
              <w:spacing w:before="88" w:line="360" w:lineRule="auto"/>
              <w:ind w:left="555"/>
              <w:jc w:val="both"/>
              <w:rPr>
                <w:rFonts w:hint="default" w:ascii="Times New Roman" w:hAnsi="Times New Roman" w:eastAsia="宋体" w:cs="Times New Roman"/>
                <w:sz w:val="21"/>
                <w:szCs w:val="21"/>
                <w:u w:val="none"/>
                <w:lang w:eastAsia="zh-CN"/>
              </w:rPr>
            </w:pPr>
            <w:r>
              <w:rPr>
                <w:rFonts w:hint="default" w:ascii="Times New Roman" w:hAnsi="Times New Roman" w:cs="Times New Roman"/>
                <w:spacing w:val="4"/>
                <w:sz w:val="21"/>
                <w:szCs w:val="21"/>
                <w:u w:val="none"/>
              </w:rPr>
              <w:t>一级指标</w:t>
            </w:r>
            <w:r>
              <w:rPr>
                <w:rFonts w:hint="default" w:ascii="Times New Roman" w:hAnsi="Times New Roman" w:cs="Times New Roman"/>
                <w:spacing w:val="4"/>
                <w:sz w:val="21"/>
                <w:szCs w:val="21"/>
                <w:u w:val="none"/>
                <w:lang w:eastAsia="zh-CN"/>
              </w:rPr>
              <w:t>（</w:t>
            </w:r>
            <w:r>
              <w:rPr>
                <w:rFonts w:hint="default" w:ascii="Times New Roman" w:hAnsi="Times New Roman" w:cs="Times New Roman"/>
                <w:spacing w:val="4"/>
                <w:sz w:val="21"/>
                <w:szCs w:val="21"/>
                <w:u w:val="none"/>
              </w:rPr>
              <w:t>n</w:t>
            </w:r>
            <w:r>
              <w:rPr>
                <w:rFonts w:hint="default" w:ascii="Times New Roman" w:hAnsi="Times New Roman" w:cs="Times New Roman"/>
                <w:spacing w:val="4"/>
                <w:sz w:val="21"/>
                <w:szCs w:val="21"/>
                <w:u w:val="none"/>
                <w:lang w:eastAsia="zh-CN"/>
              </w:rPr>
              <w:t>）</w:t>
            </w:r>
          </w:p>
        </w:tc>
        <w:tc>
          <w:tcPr>
            <w:tcW w:w="1755" w:type="pct"/>
          </w:tcPr>
          <w:p w14:paraId="40911626">
            <w:pPr>
              <w:pStyle w:val="24"/>
              <w:spacing w:before="88" w:line="360" w:lineRule="auto"/>
              <w:ind w:left="544"/>
              <w:jc w:val="both"/>
              <w:rPr>
                <w:rFonts w:hint="default" w:ascii="Times New Roman" w:hAnsi="Times New Roman" w:eastAsia="宋体" w:cs="Times New Roman"/>
                <w:sz w:val="21"/>
                <w:szCs w:val="21"/>
                <w:u w:val="none"/>
                <w:lang w:eastAsia="zh-CN"/>
              </w:rPr>
            </w:pPr>
            <w:r>
              <w:rPr>
                <w:rFonts w:hint="default" w:ascii="Times New Roman" w:hAnsi="Times New Roman" w:cs="Times New Roman"/>
                <w:spacing w:val="6"/>
                <w:sz w:val="21"/>
                <w:szCs w:val="21"/>
                <w:u w:val="none"/>
              </w:rPr>
              <w:t>二级指标</w:t>
            </w:r>
            <w:r>
              <w:rPr>
                <w:rFonts w:hint="default" w:ascii="Times New Roman" w:hAnsi="Times New Roman" w:cs="Times New Roman"/>
                <w:spacing w:val="6"/>
                <w:sz w:val="21"/>
                <w:szCs w:val="21"/>
                <w:u w:val="none"/>
                <w:lang w:eastAsia="zh-CN"/>
              </w:rPr>
              <w:t>（</w:t>
            </w:r>
            <w:r>
              <w:rPr>
                <w:rFonts w:hint="default" w:ascii="Times New Roman" w:hAnsi="Times New Roman" w:cs="Times New Roman"/>
                <w:spacing w:val="6"/>
                <w:sz w:val="21"/>
                <w:szCs w:val="21"/>
                <w:u w:val="none"/>
              </w:rPr>
              <w:t>m</w:t>
            </w:r>
            <w:r>
              <w:rPr>
                <w:rFonts w:hint="default" w:ascii="Times New Roman" w:hAnsi="Times New Roman" w:cs="Times New Roman"/>
                <w:spacing w:val="6"/>
                <w:sz w:val="21"/>
                <w:szCs w:val="21"/>
                <w:u w:val="none"/>
                <w:lang w:eastAsia="zh-CN"/>
              </w:rPr>
              <w:t>）</w:t>
            </w:r>
          </w:p>
        </w:tc>
        <w:tc>
          <w:tcPr>
            <w:tcW w:w="1477" w:type="pct"/>
            <w:vMerge w:val="restart"/>
          </w:tcPr>
          <w:p w14:paraId="3B1B9B04">
            <w:pPr>
              <w:spacing w:line="360" w:lineRule="auto"/>
              <w:jc w:val="center"/>
              <w:rPr>
                <w:rFonts w:hint="default" w:ascii="Times New Roman" w:hAnsi="Times New Roman" w:eastAsia="宋体" w:cs="Times New Roman"/>
                <w:sz w:val="21"/>
                <w:szCs w:val="21"/>
                <w:u w:val="none"/>
              </w:rPr>
            </w:pPr>
          </w:p>
          <w:p w14:paraId="75AEC3FA">
            <w:pPr>
              <w:spacing w:line="360" w:lineRule="auto"/>
              <w:jc w:val="center"/>
              <w:rPr>
                <w:rFonts w:hint="default" w:ascii="Times New Roman" w:hAnsi="Times New Roman" w:eastAsia="宋体" w:cs="Times New Roman"/>
                <w:sz w:val="21"/>
                <w:szCs w:val="21"/>
                <w:u w:val="none"/>
              </w:rPr>
            </w:pPr>
          </w:p>
          <w:p w14:paraId="36424DF8">
            <w:pPr>
              <w:spacing w:line="360" w:lineRule="auto"/>
              <w:jc w:val="center"/>
              <w:rPr>
                <w:rFonts w:hint="default" w:ascii="Times New Roman" w:hAnsi="Times New Roman" w:eastAsia="宋体" w:cs="Times New Roman"/>
                <w:sz w:val="21"/>
                <w:szCs w:val="21"/>
                <w:u w:val="none"/>
              </w:rPr>
            </w:pPr>
          </w:p>
          <w:p w14:paraId="682CFB51">
            <w:pPr>
              <w:spacing w:line="360" w:lineRule="auto"/>
              <w:jc w:val="center"/>
              <w:rPr>
                <w:rFonts w:hint="default" w:ascii="Times New Roman" w:hAnsi="Times New Roman" w:eastAsia="宋体" w:cs="Times New Roman"/>
                <w:sz w:val="21"/>
                <w:szCs w:val="21"/>
                <w:u w:val="none"/>
              </w:rPr>
            </w:pPr>
          </w:p>
          <w:p w14:paraId="4CDCDCC3">
            <w:pPr>
              <w:spacing w:line="360" w:lineRule="auto"/>
              <w:jc w:val="center"/>
              <w:rPr>
                <w:rFonts w:hint="default" w:ascii="Times New Roman" w:hAnsi="Times New Roman" w:eastAsia="宋体" w:cs="Times New Roman"/>
                <w:sz w:val="21"/>
                <w:szCs w:val="21"/>
                <w:u w:val="none"/>
              </w:rPr>
            </w:pPr>
          </w:p>
          <w:p w14:paraId="74D3FA07">
            <w:pPr>
              <w:spacing w:line="360" w:lineRule="auto"/>
              <w:jc w:val="center"/>
              <w:rPr>
                <w:rFonts w:hint="default" w:ascii="Times New Roman" w:hAnsi="Times New Roman" w:eastAsia="宋体" w:cs="Times New Roman"/>
                <w:sz w:val="21"/>
                <w:szCs w:val="21"/>
                <w:u w:val="none"/>
              </w:rPr>
            </w:pPr>
          </w:p>
          <w:p w14:paraId="1270D222">
            <w:pPr>
              <w:spacing w:line="360" w:lineRule="auto"/>
              <w:jc w:val="center"/>
              <w:rPr>
                <w:rFonts w:hint="default" w:ascii="Times New Roman" w:hAnsi="Times New Roman" w:eastAsia="宋体" w:cs="Times New Roman"/>
                <w:sz w:val="21"/>
                <w:szCs w:val="21"/>
                <w:u w:val="none"/>
              </w:rPr>
            </w:pPr>
          </w:p>
          <w:p w14:paraId="7C7D64B0">
            <w:pPr>
              <w:spacing w:line="360" w:lineRule="auto"/>
              <w:jc w:val="center"/>
              <w:rPr>
                <w:rFonts w:hint="default" w:ascii="Times New Roman" w:hAnsi="Times New Roman" w:eastAsia="宋体" w:cs="Times New Roman"/>
                <w:sz w:val="21"/>
                <w:szCs w:val="21"/>
                <w:u w:val="none"/>
              </w:rPr>
            </w:pPr>
          </w:p>
          <w:p w14:paraId="3E8C3090">
            <w:pPr>
              <w:spacing w:line="360" w:lineRule="auto"/>
              <w:jc w:val="center"/>
              <w:rPr>
                <w:rFonts w:hint="default" w:ascii="Times New Roman" w:hAnsi="Times New Roman" w:eastAsia="宋体" w:cs="Times New Roman"/>
                <w:sz w:val="21"/>
                <w:szCs w:val="21"/>
                <w:u w:val="none"/>
              </w:rPr>
            </w:pPr>
          </w:p>
          <w:p w14:paraId="604674E1">
            <w:pPr>
              <w:pStyle w:val="24"/>
              <w:spacing w:before="55" w:line="360" w:lineRule="auto"/>
              <w:ind w:left="767"/>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45</w:t>
            </w:r>
          </w:p>
        </w:tc>
      </w:tr>
      <w:tr w14:paraId="6069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pct"/>
            <w:vMerge w:val="restart"/>
          </w:tcPr>
          <w:p w14:paraId="50D2B23C">
            <w:pPr>
              <w:spacing w:line="360" w:lineRule="auto"/>
              <w:jc w:val="center"/>
              <w:rPr>
                <w:rFonts w:hint="default" w:ascii="Times New Roman" w:hAnsi="Times New Roman" w:eastAsia="宋体" w:cs="Times New Roman"/>
                <w:sz w:val="21"/>
                <w:szCs w:val="21"/>
                <w:u w:val="none"/>
              </w:rPr>
            </w:pPr>
          </w:p>
          <w:p w14:paraId="5EBAC8BE">
            <w:pPr>
              <w:spacing w:line="360" w:lineRule="auto"/>
              <w:jc w:val="center"/>
              <w:rPr>
                <w:rFonts w:hint="default" w:ascii="Times New Roman" w:hAnsi="Times New Roman" w:eastAsia="宋体" w:cs="Times New Roman"/>
                <w:sz w:val="21"/>
                <w:szCs w:val="21"/>
                <w:u w:val="none"/>
              </w:rPr>
            </w:pPr>
          </w:p>
          <w:p w14:paraId="075FE510">
            <w:pPr>
              <w:spacing w:line="360" w:lineRule="auto"/>
              <w:jc w:val="center"/>
              <w:rPr>
                <w:rFonts w:hint="default" w:ascii="Times New Roman" w:hAnsi="Times New Roman" w:eastAsia="宋体" w:cs="Times New Roman"/>
                <w:sz w:val="21"/>
                <w:szCs w:val="21"/>
                <w:u w:val="none"/>
              </w:rPr>
            </w:pPr>
          </w:p>
          <w:p w14:paraId="3E150870">
            <w:pPr>
              <w:spacing w:line="360" w:lineRule="auto"/>
              <w:jc w:val="center"/>
              <w:rPr>
                <w:rFonts w:hint="default" w:ascii="Times New Roman" w:hAnsi="Times New Roman" w:eastAsia="宋体" w:cs="Times New Roman"/>
                <w:sz w:val="21"/>
                <w:szCs w:val="21"/>
                <w:u w:val="none"/>
              </w:rPr>
            </w:pPr>
          </w:p>
          <w:p w14:paraId="7B13563D">
            <w:pPr>
              <w:spacing w:line="360" w:lineRule="auto"/>
              <w:jc w:val="center"/>
              <w:rPr>
                <w:rFonts w:hint="default" w:ascii="Times New Roman" w:hAnsi="Times New Roman" w:eastAsia="宋体" w:cs="Times New Roman"/>
                <w:sz w:val="21"/>
                <w:szCs w:val="21"/>
                <w:u w:val="none"/>
              </w:rPr>
            </w:pPr>
          </w:p>
          <w:p w14:paraId="099906D8">
            <w:pPr>
              <w:spacing w:line="360" w:lineRule="auto"/>
              <w:jc w:val="center"/>
              <w:rPr>
                <w:rFonts w:hint="default" w:ascii="Times New Roman" w:hAnsi="Times New Roman" w:eastAsia="宋体" w:cs="Times New Roman"/>
                <w:sz w:val="21"/>
                <w:szCs w:val="21"/>
                <w:u w:val="none"/>
              </w:rPr>
            </w:pPr>
          </w:p>
          <w:p w14:paraId="7C4D036B">
            <w:pPr>
              <w:spacing w:line="360" w:lineRule="auto"/>
              <w:jc w:val="center"/>
              <w:rPr>
                <w:rFonts w:hint="default" w:ascii="Times New Roman" w:hAnsi="Times New Roman" w:eastAsia="宋体" w:cs="Times New Roman"/>
                <w:sz w:val="21"/>
                <w:szCs w:val="21"/>
                <w:u w:val="none"/>
              </w:rPr>
            </w:pPr>
          </w:p>
          <w:p w14:paraId="26B30572">
            <w:pPr>
              <w:spacing w:line="360" w:lineRule="auto"/>
              <w:jc w:val="center"/>
              <w:rPr>
                <w:rFonts w:hint="default" w:ascii="Times New Roman" w:hAnsi="Times New Roman" w:eastAsia="宋体" w:cs="Times New Roman"/>
                <w:sz w:val="21"/>
                <w:szCs w:val="21"/>
                <w:u w:val="none"/>
              </w:rPr>
            </w:pPr>
          </w:p>
          <w:p w14:paraId="6CC39F6A">
            <w:pPr>
              <w:pStyle w:val="24"/>
              <w:spacing w:before="55" w:line="360" w:lineRule="auto"/>
              <w:ind w:left="44"/>
              <w:jc w:val="center"/>
              <w:rPr>
                <w:rFonts w:hint="default" w:ascii="Times New Roman" w:hAnsi="Times New Roman" w:cs="Times New Roman"/>
                <w:sz w:val="21"/>
                <w:szCs w:val="21"/>
                <w:u w:val="none"/>
                <w:lang w:val="en-US" w:eastAsia="zh-CN"/>
              </w:rPr>
            </w:pPr>
            <w:r>
              <w:rPr>
                <w:rFonts w:hint="default" w:ascii="Times New Roman" w:hAnsi="Times New Roman" w:cs="Times New Roman"/>
                <w:spacing w:val="-1"/>
                <w:sz w:val="21"/>
                <w:szCs w:val="21"/>
                <w:u w:val="none"/>
                <w:lang w:eastAsia="zh-CN"/>
              </w:rPr>
              <w:t>主体及围护结构工程用材Q</w:t>
            </w:r>
            <w:r>
              <w:rPr>
                <w:rFonts w:hint="default" w:ascii="Times New Roman" w:hAnsi="Times New Roman" w:cs="Times New Roman"/>
                <w:spacing w:val="-1"/>
                <w:sz w:val="21"/>
                <w:szCs w:val="21"/>
                <w:u w:val="none"/>
                <w:vertAlign w:val="subscript"/>
                <w:lang w:val="en-US" w:eastAsia="zh-CN"/>
              </w:rPr>
              <w:t>1</w:t>
            </w:r>
          </w:p>
        </w:tc>
        <w:tc>
          <w:tcPr>
            <w:tcW w:w="1755" w:type="pct"/>
          </w:tcPr>
          <w:p w14:paraId="43A9E247">
            <w:pPr>
              <w:pStyle w:val="24"/>
              <w:spacing w:before="89" w:line="360" w:lineRule="auto"/>
              <w:ind w:left="593"/>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预拌混凝士</w:t>
            </w:r>
          </w:p>
        </w:tc>
        <w:tc>
          <w:tcPr>
            <w:tcW w:w="1477" w:type="pct"/>
            <w:vMerge w:val="continue"/>
          </w:tcPr>
          <w:p w14:paraId="7B8C9377">
            <w:pPr>
              <w:spacing w:line="360" w:lineRule="auto"/>
              <w:jc w:val="center"/>
              <w:rPr>
                <w:rFonts w:hint="default" w:ascii="Times New Roman" w:hAnsi="Times New Roman" w:eastAsia="宋体" w:cs="Times New Roman"/>
                <w:sz w:val="21"/>
                <w:szCs w:val="21"/>
                <w:u w:val="none"/>
              </w:rPr>
            </w:pPr>
          </w:p>
        </w:tc>
      </w:tr>
      <w:tr w14:paraId="6F13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67" w:type="pct"/>
            <w:vMerge w:val="continue"/>
          </w:tcPr>
          <w:p w14:paraId="2CA3236A">
            <w:pPr>
              <w:spacing w:line="360" w:lineRule="auto"/>
              <w:jc w:val="center"/>
              <w:rPr>
                <w:rFonts w:hint="default" w:ascii="Times New Roman" w:hAnsi="Times New Roman" w:eastAsia="宋体" w:cs="Times New Roman"/>
                <w:sz w:val="21"/>
                <w:szCs w:val="21"/>
                <w:u w:val="none"/>
              </w:rPr>
            </w:pPr>
          </w:p>
        </w:tc>
        <w:tc>
          <w:tcPr>
            <w:tcW w:w="1755" w:type="pct"/>
          </w:tcPr>
          <w:p w14:paraId="3C6B4351">
            <w:pPr>
              <w:pStyle w:val="24"/>
              <w:spacing w:before="89" w:line="360" w:lineRule="auto"/>
              <w:ind w:left="673"/>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预拌砂浆</w:t>
            </w:r>
          </w:p>
        </w:tc>
        <w:tc>
          <w:tcPr>
            <w:tcW w:w="1477" w:type="pct"/>
            <w:vMerge w:val="continue"/>
          </w:tcPr>
          <w:p w14:paraId="0315B089">
            <w:pPr>
              <w:spacing w:line="360" w:lineRule="auto"/>
              <w:jc w:val="center"/>
              <w:rPr>
                <w:rFonts w:hint="default" w:ascii="Times New Roman" w:hAnsi="Times New Roman" w:eastAsia="宋体" w:cs="Times New Roman"/>
                <w:sz w:val="21"/>
                <w:szCs w:val="21"/>
                <w:u w:val="none"/>
              </w:rPr>
            </w:pPr>
          </w:p>
        </w:tc>
      </w:tr>
      <w:tr w14:paraId="5D4E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67" w:type="pct"/>
            <w:vMerge w:val="continue"/>
          </w:tcPr>
          <w:p w14:paraId="63FE0858">
            <w:pPr>
              <w:spacing w:line="360" w:lineRule="auto"/>
              <w:jc w:val="center"/>
              <w:rPr>
                <w:rFonts w:hint="default" w:ascii="Times New Roman" w:hAnsi="Times New Roman" w:eastAsia="宋体" w:cs="Times New Roman"/>
                <w:sz w:val="21"/>
                <w:szCs w:val="21"/>
                <w:u w:val="none"/>
              </w:rPr>
            </w:pPr>
          </w:p>
        </w:tc>
        <w:tc>
          <w:tcPr>
            <w:tcW w:w="1755" w:type="pct"/>
          </w:tcPr>
          <w:p w14:paraId="515CB962">
            <w:pPr>
              <w:pStyle w:val="24"/>
              <w:spacing w:before="88" w:line="360" w:lineRule="auto"/>
              <w:ind w:left="673"/>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砌体材料</w:t>
            </w:r>
          </w:p>
        </w:tc>
        <w:tc>
          <w:tcPr>
            <w:tcW w:w="1477" w:type="pct"/>
            <w:vMerge w:val="continue"/>
          </w:tcPr>
          <w:p w14:paraId="67335CAB">
            <w:pPr>
              <w:spacing w:line="360" w:lineRule="auto"/>
              <w:jc w:val="center"/>
              <w:rPr>
                <w:rFonts w:hint="default" w:ascii="Times New Roman" w:hAnsi="Times New Roman" w:eastAsia="宋体" w:cs="Times New Roman"/>
                <w:sz w:val="21"/>
                <w:szCs w:val="21"/>
                <w:u w:val="none"/>
              </w:rPr>
            </w:pPr>
          </w:p>
        </w:tc>
      </w:tr>
      <w:tr w14:paraId="54FB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7" w:type="pct"/>
            <w:vMerge w:val="continue"/>
          </w:tcPr>
          <w:p w14:paraId="3F5535CD">
            <w:pPr>
              <w:spacing w:line="360" w:lineRule="auto"/>
              <w:jc w:val="center"/>
              <w:rPr>
                <w:rFonts w:hint="default" w:ascii="Times New Roman" w:hAnsi="Times New Roman" w:eastAsia="宋体" w:cs="Times New Roman"/>
                <w:sz w:val="21"/>
                <w:szCs w:val="21"/>
                <w:u w:val="none"/>
              </w:rPr>
            </w:pPr>
          </w:p>
        </w:tc>
        <w:tc>
          <w:tcPr>
            <w:tcW w:w="1755" w:type="pct"/>
          </w:tcPr>
          <w:p w14:paraId="3041E2A4">
            <w:pPr>
              <w:pStyle w:val="24"/>
              <w:spacing w:before="89" w:line="360" w:lineRule="auto"/>
              <w:ind w:left="843"/>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石材</w:t>
            </w:r>
          </w:p>
        </w:tc>
        <w:tc>
          <w:tcPr>
            <w:tcW w:w="1477" w:type="pct"/>
            <w:vMerge w:val="continue"/>
          </w:tcPr>
          <w:p w14:paraId="5E9C2C8D">
            <w:pPr>
              <w:spacing w:line="360" w:lineRule="auto"/>
              <w:jc w:val="center"/>
              <w:rPr>
                <w:rFonts w:hint="default" w:ascii="Times New Roman" w:hAnsi="Times New Roman" w:eastAsia="宋体" w:cs="Times New Roman"/>
                <w:sz w:val="21"/>
                <w:szCs w:val="21"/>
                <w:u w:val="none"/>
              </w:rPr>
            </w:pPr>
          </w:p>
        </w:tc>
      </w:tr>
      <w:tr w14:paraId="5C18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pct"/>
            <w:vMerge w:val="continue"/>
          </w:tcPr>
          <w:p w14:paraId="19277165">
            <w:pPr>
              <w:spacing w:line="360" w:lineRule="auto"/>
              <w:jc w:val="center"/>
              <w:rPr>
                <w:rFonts w:hint="default" w:ascii="Times New Roman" w:hAnsi="Times New Roman" w:eastAsia="宋体" w:cs="Times New Roman"/>
                <w:sz w:val="21"/>
                <w:szCs w:val="21"/>
                <w:u w:val="none"/>
              </w:rPr>
            </w:pPr>
          </w:p>
        </w:tc>
        <w:tc>
          <w:tcPr>
            <w:tcW w:w="1755" w:type="pct"/>
          </w:tcPr>
          <w:p w14:paraId="1CAA24E8">
            <w:pPr>
              <w:pStyle w:val="24"/>
              <w:spacing w:before="90" w:line="360" w:lineRule="auto"/>
              <w:ind w:left="503"/>
              <w:jc w:val="both"/>
              <w:rPr>
                <w:rFonts w:hint="default" w:ascii="Times New Roman" w:hAnsi="Times New Roman" w:cs="Times New Roman"/>
                <w:sz w:val="21"/>
                <w:szCs w:val="21"/>
                <w:u w:val="none"/>
              </w:rPr>
            </w:pPr>
            <w:r>
              <w:rPr>
                <w:rFonts w:hint="default" w:ascii="Times New Roman" w:hAnsi="Times New Roman" w:cs="Times New Roman"/>
                <w:sz w:val="21"/>
                <w:szCs w:val="21"/>
                <w:u w:val="none"/>
              </w:rPr>
              <w:t>防水密封材料</w:t>
            </w:r>
          </w:p>
        </w:tc>
        <w:tc>
          <w:tcPr>
            <w:tcW w:w="1477" w:type="pct"/>
            <w:vMerge w:val="continue"/>
          </w:tcPr>
          <w:p w14:paraId="2CCCF4FE">
            <w:pPr>
              <w:spacing w:line="360" w:lineRule="auto"/>
              <w:jc w:val="center"/>
              <w:rPr>
                <w:rFonts w:hint="default" w:ascii="Times New Roman" w:hAnsi="Times New Roman" w:eastAsia="宋体" w:cs="Times New Roman"/>
                <w:sz w:val="21"/>
                <w:szCs w:val="21"/>
                <w:u w:val="none"/>
              </w:rPr>
            </w:pPr>
          </w:p>
        </w:tc>
      </w:tr>
      <w:tr w14:paraId="22E1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pct"/>
            <w:vMerge w:val="continue"/>
          </w:tcPr>
          <w:p w14:paraId="20CCE9BA">
            <w:pPr>
              <w:spacing w:line="360" w:lineRule="auto"/>
              <w:jc w:val="center"/>
              <w:rPr>
                <w:rFonts w:hint="default" w:ascii="Times New Roman" w:hAnsi="Times New Roman" w:eastAsia="宋体" w:cs="Times New Roman"/>
                <w:sz w:val="21"/>
                <w:szCs w:val="21"/>
                <w:u w:val="none"/>
              </w:rPr>
            </w:pPr>
          </w:p>
        </w:tc>
        <w:tc>
          <w:tcPr>
            <w:tcW w:w="1755" w:type="pct"/>
          </w:tcPr>
          <w:p w14:paraId="68C03C45">
            <w:pPr>
              <w:pStyle w:val="24"/>
              <w:spacing w:before="90" w:line="360" w:lineRule="auto"/>
              <w:ind w:left="503"/>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保温隔热材料</w:t>
            </w:r>
          </w:p>
        </w:tc>
        <w:tc>
          <w:tcPr>
            <w:tcW w:w="1477" w:type="pct"/>
            <w:vMerge w:val="continue"/>
          </w:tcPr>
          <w:p w14:paraId="369625DB">
            <w:pPr>
              <w:spacing w:line="360" w:lineRule="auto"/>
              <w:jc w:val="center"/>
              <w:rPr>
                <w:rFonts w:hint="default" w:ascii="Times New Roman" w:hAnsi="Times New Roman" w:eastAsia="宋体" w:cs="Times New Roman"/>
                <w:sz w:val="21"/>
                <w:szCs w:val="21"/>
                <w:u w:val="none"/>
              </w:rPr>
            </w:pPr>
          </w:p>
        </w:tc>
      </w:tr>
      <w:tr w14:paraId="0536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67" w:type="pct"/>
            <w:vMerge w:val="continue"/>
          </w:tcPr>
          <w:p w14:paraId="4700E8C2">
            <w:pPr>
              <w:spacing w:line="360" w:lineRule="auto"/>
              <w:jc w:val="center"/>
              <w:rPr>
                <w:rFonts w:hint="default" w:ascii="Times New Roman" w:hAnsi="Times New Roman" w:eastAsia="宋体" w:cs="Times New Roman"/>
                <w:sz w:val="21"/>
                <w:szCs w:val="21"/>
                <w:u w:val="none"/>
              </w:rPr>
            </w:pPr>
          </w:p>
        </w:tc>
        <w:tc>
          <w:tcPr>
            <w:tcW w:w="1755" w:type="pct"/>
          </w:tcPr>
          <w:p w14:paraId="256B2D1F">
            <w:pPr>
              <w:pStyle w:val="24"/>
              <w:spacing w:before="82" w:line="360" w:lineRule="auto"/>
              <w:ind w:left="503"/>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混凝土构配件</w:t>
            </w:r>
          </w:p>
        </w:tc>
        <w:tc>
          <w:tcPr>
            <w:tcW w:w="1477" w:type="pct"/>
            <w:vMerge w:val="continue"/>
          </w:tcPr>
          <w:p w14:paraId="17D54CEC">
            <w:pPr>
              <w:spacing w:line="360" w:lineRule="auto"/>
              <w:jc w:val="center"/>
              <w:rPr>
                <w:rFonts w:hint="default" w:ascii="Times New Roman" w:hAnsi="Times New Roman" w:eastAsia="宋体" w:cs="Times New Roman"/>
                <w:sz w:val="21"/>
                <w:szCs w:val="21"/>
                <w:u w:val="none"/>
              </w:rPr>
            </w:pPr>
          </w:p>
        </w:tc>
      </w:tr>
      <w:tr w14:paraId="0D08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7" w:type="pct"/>
            <w:vMerge w:val="continue"/>
          </w:tcPr>
          <w:p w14:paraId="4E612527">
            <w:pPr>
              <w:spacing w:line="360" w:lineRule="auto"/>
              <w:jc w:val="center"/>
              <w:rPr>
                <w:rFonts w:hint="default" w:ascii="Times New Roman" w:hAnsi="Times New Roman" w:eastAsia="宋体" w:cs="Times New Roman"/>
                <w:sz w:val="21"/>
                <w:szCs w:val="21"/>
                <w:u w:val="none"/>
              </w:rPr>
            </w:pPr>
          </w:p>
        </w:tc>
        <w:tc>
          <w:tcPr>
            <w:tcW w:w="1755" w:type="pct"/>
          </w:tcPr>
          <w:p w14:paraId="7DA62405">
            <w:pPr>
              <w:pStyle w:val="24"/>
              <w:spacing w:before="92"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钢结构构件</w:t>
            </w:r>
          </w:p>
        </w:tc>
        <w:tc>
          <w:tcPr>
            <w:tcW w:w="1477" w:type="pct"/>
            <w:vMerge w:val="continue"/>
          </w:tcPr>
          <w:p w14:paraId="090E7356">
            <w:pPr>
              <w:spacing w:line="360" w:lineRule="auto"/>
              <w:jc w:val="center"/>
              <w:rPr>
                <w:rFonts w:hint="default" w:ascii="Times New Roman" w:hAnsi="Times New Roman" w:eastAsia="宋体" w:cs="Times New Roman"/>
                <w:sz w:val="21"/>
                <w:szCs w:val="21"/>
                <w:u w:val="none"/>
              </w:rPr>
            </w:pPr>
          </w:p>
        </w:tc>
      </w:tr>
      <w:tr w14:paraId="2AA9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67" w:type="pct"/>
            <w:vMerge w:val="continue"/>
          </w:tcPr>
          <w:p w14:paraId="469BE95B">
            <w:pPr>
              <w:spacing w:line="360" w:lineRule="auto"/>
              <w:jc w:val="center"/>
              <w:rPr>
                <w:rFonts w:hint="default" w:ascii="Times New Roman" w:hAnsi="Times New Roman" w:eastAsia="宋体" w:cs="Times New Roman"/>
                <w:sz w:val="21"/>
                <w:szCs w:val="21"/>
                <w:u w:val="none"/>
              </w:rPr>
            </w:pPr>
          </w:p>
        </w:tc>
        <w:tc>
          <w:tcPr>
            <w:tcW w:w="1755" w:type="pct"/>
          </w:tcPr>
          <w:p w14:paraId="4B0D28C9">
            <w:pPr>
              <w:pStyle w:val="24"/>
              <w:spacing w:before="93"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轻钢龙骨</w:t>
            </w:r>
          </w:p>
        </w:tc>
        <w:tc>
          <w:tcPr>
            <w:tcW w:w="1477" w:type="pct"/>
            <w:vMerge w:val="continue"/>
          </w:tcPr>
          <w:p w14:paraId="763A06C8">
            <w:pPr>
              <w:spacing w:line="360" w:lineRule="auto"/>
              <w:jc w:val="center"/>
              <w:rPr>
                <w:rFonts w:hint="default" w:ascii="Times New Roman" w:hAnsi="Times New Roman" w:eastAsia="宋体" w:cs="Times New Roman"/>
                <w:sz w:val="21"/>
                <w:szCs w:val="21"/>
                <w:u w:val="none"/>
              </w:rPr>
            </w:pPr>
          </w:p>
        </w:tc>
      </w:tr>
      <w:tr w14:paraId="3501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pct"/>
            <w:vMerge w:val="continue"/>
          </w:tcPr>
          <w:p w14:paraId="4DE45A86">
            <w:pPr>
              <w:spacing w:line="360" w:lineRule="auto"/>
              <w:jc w:val="center"/>
              <w:rPr>
                <w:rFonts w:hint="default" w:ascii="Times New Roman" w:hAnsi="Times New Roman" w:eastAsia="宋体" w:cs="Times New Roman"/>
                <w:sz w:val="21"/>
                <w:szCs w:val="21"/>
                <w:u w:val="none"/>
              </w:rPr>
            </w:pPr>
          </w:p>
        </w:tc>
        <w:tc>
          <w:tcPr>
            <w:tcW w:w="1755" w:type="pct"/>
          </w:tcPr>
          <w:p w14:paraId="3C4400EB">
            <w:pPr>
              <w:pStyle w:val="24"/>
              <w:spacing w:before="94"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节能门窗</w:t>
            </w:r>
          </w:p>
        </w:tc>
        <w:tc>
          <w:tcPr>
            <w:tcW w:w="1477" w:type="pct"/>
            <w:vMerge w:val="continue"/>
          </w:tcPr>
          <w:p w14:paraId="5B0614DE">
            <w:pPr>
              <w:spacing w:line="360" w:lineRule="auto"/>
              <w:jc w:val="center"/>
              <w:rPr>
                <w:rFonts w:hint="default" w:ascii="Times New Roman" w:hAnsi="Times New Roman" w:eastAsia="宋体" w:cs="Times New Roman"/>
                <w:sz w:val="21"/>
                <w:szCs w:val="21"/>
                <w:u w:val="none"/>
              </w:rPr>
            </w:pPr>
          </w:p>
        </w:tc>
      </w:tr>
      <w:tr w14:paraId="58C2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pct"/>
            <w:vMerge w:val="continue"/>
          </w:tcPr>
          <w:p w14:paraId="530CFD26">
            <w:pPr>
              <w:spacing w:line="360" w:lineRule="auto"/>
              <w:jc w:val="center"/>
              <w:rPr>
                <w:rFonts w:hint="default" w:ascii="Times New Roman" w:hAnsi="Times New Roman" w:eastAsia="宋体" w:cs="Times New Roman"/>
                <w:sz w:val="21"/>
                <w:szCs w:val="21"/>
                <w:u w:val="none"/>
              </w:rPr>
            </w:pPr>
          </w:p>
        </w:tc>
        <w:tc>
          <w:tcPr>
            <w:tcW w:w="1755" w:type="pct"/>
          </w:tcPr>
          <w:p w14:paraId="6EC75F9D">
            <w:pPr>
              <w:spacing w:before="99" w:line="360" w:lineRule="auto"/>
              <w:ind w:right="58"/>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遮阳制品</w:t>
            </w:r>
          </w:p>
        </w:tc>
        <w:tc>
          <w:tcPr>
            <w:tcW w:w="1477" w:type="pct"/>
            <w:vMerge w:val="continue"/>
          </w:tcPr>
          <w:p w14:paraId="396CC9CE">
            <w:pPr>
              <w:spacing w:line="360" w:lineRule="auto"/>
              <w:jc w:val="center"/>
              <w:rPr>
                <w:rFonts w:hint="default" w:ascii="Times New Roman" w:hAnsi="Times New Roman" w:eastAsia="宋体" w:cs="Times New Roman"/>
                <w:sz w:val="21"/>
                <w:szCs w:val="21"/>
                <w:u w:val="none"/>
              </w:rPr>
            </w:pPr>
          </w:p>
        </w:tc>
      </w:tr>
      <w:tr w14:paraId="0CA6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50EE0B5B">
            <w:pPr>
              <w:spacing w:line="360" w:lineRule="auto"/>
              <w:jc w:val="center"/>
              <w:rPr>
                <w:rFonts w:hint="default" w:ascii="Times New Roman" w:hAnsi="Times New Roman" w:eastAsia="宋体" w:cs="Times New Roman"/>
                <w:sz w:val="21"/>
                <w:szCs w:val="21"/>
                <w:u w:val="none"/>
              </w:rPr>
            </w:pPr>
          </w:p>
        </w:tc>
        <w:tc>
          <w:tcPr>
            <w:tcW w:w="1755" w:type="pct"/>
          </w:tcPr>
          <w:p w14:paraId="1A6BA7FC">
            <w:pPr>
              <w:spacing w:before="99" w:line="360" w:lineRule="auto"/>
              <w:ind w:right="58"/>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其他主体及围护结构工程用材</w:t>
            </w:r>
          </w:p>
        </w:tc>
        <w:tc>
          <w:tcPr>
            <w:tcW w:w="1477" w:type="pct"/>
            <w:vMerge w:val="continue"/>
          </w:tcPr>
          <w:p w14:paraId="1EC42058">
            <w:pPr>
              <w:spacing w:line="360" w:lineRule="auto"/>
              <w:jc w:val="center"/>
              <w:rPr>
                <w:rFonts w:hint="default" w:ascii="Times New Roman" w:hAnsi="Times New Roman" w:eastAsia="宋体" w:cs="Times New Roman"/>
                <w:sz w:val="21"/>
                <w:szCs w:val="21"/>
                <w:u w:val="none"/>
              </w:rPr>
            </w:pPr>
          </w:p>
        </w:tc>
      </w:tr>
      <w:tr w14:paraId="2BC3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restart"/>
            <w:vAlign w:val="center"/>
          </w:tcPr>
          <w:p w14:paraId="33E22A91">
            <w:pPr>
              <w:spacing w:line="360" w:lineRule="auto"/>
              <w:jc w:val="center"/>
              <w:rPr>
                <w:rFonts w:hint="default" w:ascii="Times New Roman" w:hAnsi="Times New Roman" w:cs="Times New Roman" w:eastAsiaTheme="minorEastAsia"/>
                <w:sz w:val="21"/>
                <w:szCs w:val="21"/>
                <w:u w:val="none"/>
                <w:lang w:eastAsia="zh-CN"/>
              </w:rPr>
            </w:pPr>
            <w:r>
              <w:rPr>
                <w:rFonts w:hint="default" w:ascii="Times New Roman" w:hAnsi="Times New Roman" w:cs="Times New Roman"/>
                <w:spacing w:val="10"/>
                <w:sz w:val="21"/>
                <w:szCs w:val="21"/>
                <w:u w:val="none"/>
              </w:rPr>
              <w:t>装饰装修工程用材Q</w:t>
            </w:r>
            <w:r>
              <w:rPr>
                <w:rFonts w:hint="default" w:ascii="Times New Roman" w:hAnsi="Times New Roman" w:cs="Times New Roman"/>
                <w:spacing w:val="10"/>
                <w:sz w:val="21"/>
                <w:szCs w:val="21"/>
                <w:u w:val="none"/>
                <w:vertAlign w:val="subscript"/>
                <w:lang w:val="en-US" w:eastAsia="zh-CN"/>
              </w:rPr>
              <w:t>2</w:t>
            </w:r>
          </w:p>
        </w:tc>
        <w:tc>
          <w:tcPr>
            <w:tcW w:w="1755" w:type="pct"/>
          </w:tcPr>
          <w:p w14:paraId="11BED07B">
            <w:pPr>
              <w:pStyle w:val="24"/>
              <w:spacing w:before="85" w:line="360" w:lineRule="auto"/>
              <w:ind w:left="593"/>
              <w:jc w:val="both"/>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吊顶及配件</w:t>
            </w:r>
          </w:p>
        </w:tc>
        <w:tc>
          <w:tcPr>
            <w:tcW w:w="1477" w:type="pct"/>
            <w:vMerge w:val="restart"/>
            <w:vAlign w:val="center"/>
          </w:tcPr>
          <w:p w14:paraId="6BB8650D">
            <w:pPr>
              <w:spacing w:line="360" w:lineRule="auto"/>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35</w:t>
            </w:r>
          </w:p>
        </w:tc>
      </w:tr>
      <w:tr w14:paraId="1B04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69CEF9B2">
            <w:pPr>
              <w:spacing w:line="360" w:lineRule="auto"/>
              <w:jc w:val="center"/>
              <w:rPr>
                <w:rFonts w:hint="default" w:ascii="Times New Roman" w:hAnsi="Times New Roman" w:eastAsia="宋体" w:cs="Times New Roman"/>
                <w:sz w:val="21"/>
                <w:szCs w:val="21"/>
                <w:u w:val="none"/>
              </w:rPr>
            </w:pPr>
          </w:p>
        </w:tc>
        <w:tc>
          <w:tcPr>
            <w:tcW w:w="1755" w:type="pct"/>
          </w:tcPr>
          <w:p w14:paraId="218FD2E9">
            <w:pPr>
              <w:pStyle w:val="24"/>
              <w:spacing w:before="95" w:line="360" w:lineRule="auto"/>
              <w:ind w:left="673"/>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墙面涂料</w:t>
            </w:r>
          </w:p>
        </w:tc>
        <w:tc>
          <w:tcPr>
            <w:tcW w:w="1477" w:type="pct"/>
            <w:vMerge w:val="continue"/>
            <w:vAlign w:val="center"/>
          </w:tcPr>
          <w:p w14:paraId="5AF2BEA6">
            <w:pPr>
              <w:spacing w:line="360" w:lineRule="auto"/>
              <w:jc w:val="center"/>
              <w:rPr>
                <w:rFonts w:hint="default" w:ascii="Times New Roman" w:hAnsi="Times New Roman" w:eastAsia="宋体" w:cs="Times New Roman"/>
                <w:sz w:val="21"/>
                <w:szCs w:val="21"/>
                <w:u w:val="none"/>
              </w:rPr>
            </w:pPr>
          </w:p>
        </w:tc>
      </w:tr>
      <w:tr w14:paraId="2F2A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6E53CD3A">
            <w:pPr>
              <w:spacing w:line="360" w:lineRule="auto"/>
              <w:jc w:val="center"/>
              <w:rPr>
                <w:rFonts w:hint="default" w:ascii="Times New Roman" w:hAnsi="Times New Roman" w:eastAsia="宋体" w:cs="Times New Roman"/>
                <w:sz w:val="21"/>
                <w:szCs w:val="21"/>
                <w:u w:val="none"/>
              </w:rPr>
            </w:pPr>
          </w:p>
        </w:tc>
        <w:tc>
          <w:tcPr>
            <w:tcW w:w="1755" w:type="pct"/>
          </w:tcPr>
          <w:p w14:paraId="491C013C">
            <w:pPr>
              <w:pStyle w:val="24"/>
              <w:spacing w:before="86" w:line="360" w:lineRule="auto"/>
              <w:ind w:left="424"/>
              <w:jc w:val="both"/>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装配式集成墙面</w:t>
            </w:r>
          </w:p>
        </w:tc>
        <w:tc>
          <w:tcPr>
            <w:tcW w:w="1477" w:type="pct"/>
            <w:vMerge w:val="continue"/>
            <w:vAlign w:val="center"/>
          </w:tcPr>
          <w:p w14:paraId="3CD90194">
            <w:pPr>
              <w:spacing w:line="360" w:lineRule="auto"/>
              <w:jc w:val="center"/>
              <w:rPr>
                <w:rFonts w:hint="default" w:ascii="Times New Roman" w:hAnsi="Times New Roman" w:eastAsia="宋体" w:cs="Times New Roman"/>
                <w:sz w:val="21"/>
                <w:szCs w:val="21"/>
                <w:u w:val="none"/>
              </w:rPr>
            </w:pPr>
          </w:p>
        </w:tc>
      </w:tr>
      <w:tr w14:paraId="2540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5257A244">
            <w:pPr>
              <w:spacing w:line="360" w:lineRule="auto"/>
              <w:jc w:val="center"/>
              <w:rPr>
                <w:rFonts w:hint="default" w:ascii="Times New Roman" w:hAnsi="Times New Roman" w:eastAsia="宋体" w:cs="Times New Roman"/>
                <w:sz w:val="21"/>
                <w:szCs w:val="21"/>
                <w:u w:val="none"/>
              </w:rPr>
            </w:pPr>
          </w:p>
        </w:tc>
        <w:tc>
          <w:tcPr>
            <w:tcW w:w="1755" w:type="pct"/>
          </w:tcPr>
          <w:p w14:paraId="4B4FD1F2">
            <w:pPr>
              <w:pStyle w:val="24"/>
              <w:spacing w:before="76" w:line="360" w:lineRule="auto"/>
              <w:ind w:left="673"/>
              <w:jc w:val="both"/>
              <w:rPr>
                <w:rFonts w:hint="default" w:ascii="Times New Roman" w:hAnsi="Times New Roman" w:eastAsia="宋体" w:cs="Times New Roman"/>
                <w:sz w:val="21"/>
                <w:szCs w:val="21"/>
                <w:u w:val="none"/>
                <w:lang w:eastAsia="zh-CN"/>
              </w:rPr>
            </w:pPr>
            <w:r>
              <w:rPr>
                <w:rFonts w:hint="default" w:ascii="Times New Roman" w:hAnsi="Times New Roman" w:cs="Times New Roman"/>
                <w:spacing w:val="7"/>
                <w:sz w:val="21"/>
                <w:szCs w:val="21"/>
                <w:u w:val="none"/>
              </w:rPr>
              <w:t>壁纸</w:t>
            </w:r>
            <w:r>
              <w:rPr>
                <w:rFonts w:hint="default" w:ascii="Times New Roman" w:hAnsi="Times New Roman" w:cs="Times New Roman"/>
                <w:spacing w:val="7"/>
                <w:sz w:val="21"/>
                <w:szCs w:val="21"/>
                <w:u w:val="none"/>
                <w:lang w:eastAsia="zh-CN"/>
              </w:rPr>
              <w:t>（</w:t>
            </w:r>
            <w:r>
              <w:rPr>
                <w:rFonts w:hint="default" w:ascii="Times New Roman" w:hAnsi="Times New Roman" w:cs="Times New Roman"/>
                <w:spacing w:val="7"/>
                <w:sz w:val="21"/>
                <w:szCs w:val="21"/>
                <w:u w:val="none"/>
              </w:rPr>
              <w:t>布</w:t>
            </w:r>
            <w:r>
              <w:rPr>
                <w:rFonts w:hint="default" w:ascii="Times New Roman" w:hAnsi="Times New Roman" w:cs="Times New Roman"/>
                <w:spacing w:val="7"/>
                <w:sz w:val="21"/>
                <w:szCs w:val="21"/>
                <w:u w:val="none"/>
                <w:lang w:eastAsia="zh-CN"/>
              </w:rPr>
              <w:t>）</w:t>
            </w:r>
          </w:p>
        </w:tc>
        <w:tc>
          <w:tcPr>
            <w:tcW w:w="1477" w:type="pct"/>
            <w:vMerge w:val="continue"/>
            <w:vAlign w:val="center"/>
          </w:tcPr>
          <w:p w14:paraId="3A9ECE88">
            <w:pPr>
              <w:spacing w:line="360" w:lineRule="auto"/>
              <w:jc w:val="center"/>
              <w:rPr>
                <w:rFonts w:hint="default" w:ascii="Times New Roman" w:hAnsi="Times New Roman" w:eastAsia="宋体" w:cs="Times New Roman"/>
                <w:sz w:val="21"/>
                <w:szCs w:val="21"/>
                <w:u w:val="none"/>
              </w:rPr>
            </w:pPr>
          </w:p>
        </w:tc>
      </w:tr>
      <w:tr w14:paraId="2051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vAlign w:val="center"/>
          </w:tcPr>
          <w:p w14:paraId="4337AC24">
            <w:pPr>
              <w:spacing w:line="360" w:lineRule="auto"/>
              <w:jc w:val="center"/>
              <w:rPr>
                <w:rFonts w:hint="default" w:ascii="Times New Roman" w:hAnsi="Times New Roman" w:eastAsia="宋体" w:cs="Times New Roman"/>
                <w:sz w:val="21"/>
                <w:szCs w:val="21"/>
                <w:u w:val="none"/>
              </w:rPr>
            </w:pPr>
          </w:p>
        </w:tc>
        <w:tc>
          <w:tcPr>
            <w:tcW w:w="1755" w:type="pct"/>
          </w:tcPr>
          <w:p w14:paraId="07FBEAF0">
            <w:pPr>
              <w:pStyle w:val="24"/>
              <w:spacing w:before="105" w:line="360" w:lineRule="auto"/>
              <w:ind w:left="594"/>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建筑装饰板</w:t>
            </w:r>
          </w:p>
        </w:tc>
        <w:tc>
          <w:tcPr>
            <w:tcW w:w="1477" w:type="pct"/>
            <w:vMerge w:val="continue"/>
            <w:vAlign w:val="center"/>
          </w:tcPr>
          <w:p w14:paraId="40F98D15">
            <w:pPr>
              <w:spacing w:line="360" w:lineRule="auto"/>
              <w:jc w:val="center"/>
              <w:rPr>
                <w:rFonts w:hint="default" w:ascii="Times New Roman" w:hAnsi="Times New Roman" w:eastAsia="宋体" w:cs="Times New Roman"/>
                <w:sz w:val="21"/>
                <w:szCs w:val="21"/>
                <w:u w:val="none"/>
              </w:rPr>
            </w:pPr>
          </w:p>
        </w:tc>
      </w:tr>
      <w:tr w14:paraId="358E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1438AE32">
            <w:pPr>
              <w:spacing w:line="360" w:lineRule="auto"/>
              <w:jc w:val="center"/>
              <w:rPr>
                <w:rFonts w:hint="default" w:ascii="Times New Roman" w:hAnsi="Times New Roman" w:eastAsia="宋体" w:cs="Times New Roman"/>
                <w:sz w:val="21"/>
                <w:szCs w:val="21"/>
                <w:u w:val="none"/>
              </w:rPr>
            </w:pPr>
          </w:p>
        </w:tc>
        <w:tc>
          <w:tcPr>
            <w:tcW w:w="1755" w:type="pct"/>
          </w:tcPr>
          <w:p w14:paraId="3C60DF1A">
            <w:pPr>
              <w:pStyle w:val="24"/>
              <w:spacing w:before="108" w:line="360" w:lineRule="auto"/>
              <w:ind w:left="504"/>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装修用木制品</w:t>
            </w:r>
          </w:p>
        </w:tc>
        <w:tc>
          <w:tcPr>
            <w:tcW w:w="1477" w:type="pct"/>
            <w:vMerge w:val="continue"/>
            <w:vAlign w:val="center"/>
          </w:tcPr>
          <w:p w14:paraId="75DAFEDE">
            <w:pPr>
              <w:spacing w:line="360" w:lineRule="auto"/>
              <w:jc w:val="center"/>
              <w:rPr>
                <w:rFonts w:hint="default" w:ascii="Times New Roman" w:hAnsi="Times New Roman" w:eastAsia="宋体" w:cs="Times New Roman"/>
                <w:sz w:val="21"/>
                <w:szCs w:val="21"/>
                <w:u w:val="none"/>
              </w:rPr>
            </w:pPr>
          </w:p>
        </w:tc>
      </w:tr>
      <w:tr w14:paraId="6F4C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24CC9E57">
            <w:pPr>
              <w:spacing w:line="360" w:lineRule="auto"/>
              <w:jc w:val="center"/>
              <w:rPr>
                <w:rFonts w:hint="default" w:ascii="Times New Roman" w:hAnsi="Times New Roman" w:eastAsia="宋体" w:cs="Times New Roman"/>
                <w:sz w:val="21"/>
                <w:szCs w:val="21"/>
                <w:u w:val="none"/>
              </w:rPr>
            </w:pPr>
          </w:p>
        </w:tc>
        <w:tc>
          <w:tcPr>
            <w:tcW w:w="1755" w:type="pct"/>
          </w:tcPr>
          <w:p w14:paraId="40D03ADC">
            <w:pPr>
              <w:pStyle w:val="24"/>
              <w:spacing w:before="106" w:line="360" w:lineRule="auto"/>
              <w:ind w:left="504"/>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石膏装饰材料</w:t>
            </w:r>
          </w:p>
        </w:tc>
        <w:tc>
          <w:tcPr>
            <w:tcW w:w="1477" w:type="pct"/>
            <w:vMerge w:val="continue"/>
            <w:vAlign w:val="center"/>
          </w:tcPr>
          <w:p w14:paraId="792C0B84">
            <w:pPr>
              <w:spacing w:line="360" w:lineRule="auto"/>
              <w:jc w:val="center"/>
              <w:rPr>
                <w:rFonts w:hint="default" w:ascii="Times New Roman" w:hAnsi="Times New Roman" w:eastAsia="宋体" w:cs="Times New Roman"/>
                <w:sz w:val="21"/>
                <w:szCs w:val="21"/>
                <w:u w:val="none"/>
              </w:rPr>
            </w:pPr>
          </w:p>
        </w:tc>
      </w:tr>
      <w:tr w14:paraId="3192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04E3EBBC">
            <w:pPr>
              <w:spacing w:line="360" w:lineRule="auto"/>
              <w:jc w:val="center"/>
              <w:rPr>
                <w:rFonts w:hint="default" w:ascii="Times New Roman" w:hAnsi="Times New Roman" w:eastAsia="宋体" w:cs="Times New Roman"/>
                <w:sz w:val="21"/>
                <w:szCs w:val="21"/>
                <w:u w:val="none"/>
              </w:rPr>
            </w:pPr>
          </w:p>
        </w:tc>
        <w:tc>
          <w:tcPr>
            <w:tcW w:w="1755" w:type="pct"/>
          </w:tcPr>
          <w:p w14:paraId="74BCD0D7">
            <w:pPr>
              <w:pStyle w:val="24"/>
              <w:spacing w:before="107" w:line="360" w:lineRule="auto"/>
              <w:ind w:left="504"/>
              <w:jc w:val="both"/>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抗菌净化材料</w:t>
            </w:r>
          </w:p>
        </w:tc>
        <w:tc>
          <w:tcPr>
            <w:tcW w:w="1477" w:type="pct"/>
            <w:vMerge w:val="continue"/>
            <w:vAlign w:val="center"/>
          </w:tcPr>
          <w:p w14:paraId="6CE49BDC">
            <w:pPr>
              <w:spacing w:line="360" w:lineRule="auto"/>
              <w:jc w:val="center"/>
              <w:rPr>
                <w:rFonts w:hint="default" w:ascii="Times New Roman" w:hAnsi="Times New Roman" w:eastAsia="宋体" w:cs="Times New Roman"/>
                <w:sz w:val="21"/>
                <w:szCs w:val="21"/>
                <w:u w:val="none"/>
              </w:rPr>
            </w:pPr>
          </w:p>
        </w:tc>
      </w:tr>
      <w:tr w14:paraId="627B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18885DBA">
            <w:pPr>
              <w:spacing w:line="360" w:lineRule="auto"/>
              <w:jc w:val="center"/>
              <w:rPr>
                <w:rFonts w:hint="default" w:ascii="Times New Roman" w:hAnsi="Times New Roman" w:eastAsia="宋体" w:cs="Times New Roman"/>
                <w:sz w:val="21"/>
                <w:szCs w:val="21"/>
                <w:u w:val="none"/>
              </w:rPr>
            </w:pPr>
          </w:p>
        </w:tc>
        <w:tc>
          <w:tcPr>
            <w:tcW w:w="1755" w:type="pct"/>
          </w:tcPr>
          <w:p w14:paraId="1C8B5CA9">
            <w:pPr>
              <w:pStyle w:val="24"/>
              <w:spacing w:before="109" w:line="360" w:lineRule="auto"/>
              <w:ind w:left="504"/>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建筑陶瓷制品</w:t>
            </w:r>
          </w:p>
        </w:tc>
        <w:tc>
          <w:tcPr>
            <w:tcW w:w="1477" w:type="pct"/>
            <w:vMerge w:val="continue"/>
            <w:vAlign w:val="center"/>
          </w:tcPr>
          <w:p w14:paraId="7A1D0F2D">
            <w:pPr>
              <w:spacing w:line="360" w:lineRule="auto"/>
              <w:jc w:val="center"/>
              <w:rPr>
                <w:rFonts w:hint="default" w:ascii="Times New Roman" w:hAnsi="Times New Roman" w:eastAsia="宋体" w:cs="Times New Roman"/>
                <w:sz w:val="21"/>
                <w:szCs w:val="21"/>
                <w:u w:val="none"/>
              </w:rPr>
            </w:pPr>
          </w:p>
        </w:tc>
      </w:tr>
      <w:tr w14:paraId="2C4D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00186C3F">
            <w:pPr>
              <w:spacing w:line="360" w:lineRule="auto"/>
              <w:jc w:val="center"/>
              <w:rPr>
                <w:rFonts w:hint="default" w:ascii="Times New Roman" w:hAnsi="Times New Roman" w:eastAsia="宋体" w:cs="Times New Roman"/>
                <w:sz w:val="21"/>
                <w:szCs w:val="21"/>
                <w:u w:val="none"/>
              </w:rPr>
            </w:pPr>
          </w:p>
        </w:tc>
        <w:tc>
          <w:tcPr>
            <w:tcW w:w="1755" w:type="pct"/>
          </w:tcPr>
          <w:p w14:paraId="7896F1E0">
            <w:pPr>
              <w:pStyle w:val="24"/>
              <w:spacing w:before="109" w:line="360" w:lineRule="auto"/>
              <w:ind w:left="674"/>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地坪材料</w:t>
            </w:r>
          </w:p>
        </w:tc>
        <w:tc>
          <w:tcPr>
            <w:tcW w:w="1477" w:type="pct"/>
            <w:vMerge w:val="continue"/>
            <w:vAlign w:val="center"/>
          </w:tcPr>
          <w:p w14:paraId="34916C6A">
            <w:pPr>
              <w:spacing w:line="360" w:lineRule="auto"/>
              <w:jc w:val="center"/>
              <w:rPr>
                <w:rFonts w:hint="default" w:ascii="Times New Roman" w:hAnsi="Times New Roman" w:eastAsia="宋体" w:cs="Times New Roman"/>
                <w:sz w:val="21"/>
                <w:szCs w:val="21"/>
                <w:u w:val="none"/>
              </w:rPr>
            </w:pPr>
          </w:p>
        </w:tc>
      </w:tr>
      <w:tr w14:paraId="33DD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738B3C1A">
            <w:pPr>
              <w:spacing w:line="360" w:lineRule="auto"/>
              <w:jc w:val="center"/>
              <w:rPr>
                <w:rFonts w:hint="default" w:ascii="Times New Roman" w:hAnsi="Times New Roman" w:eastAsia="宋体" w:cs="Times New Roman"/>
                <w:sz w:val="21"/>
                <w:szCs w:val="21"/>
                <w:u w:val="none"/>
              </w:rPr>
            </w:pPr>
          </w:p>
        </w:tc>
        <w:tc>
          <w:tcPr>
            <w:tcW w:w="1755" w:type="pct"/>
          </w:tcPr>
          <w:p w14:paraId="30488AD6">
            <w:pPr>
              <w:pStyle w:val="24"/>
              <w:spacing w:before="111" w:line="360" w:lineRule="auto"/>
              <w:ind w:left="164"/>
              <w:jc w:val="both"/>
              <w:rPr>
                <w:rFonts w:hint="default" w:ascii="Times New Roman" w:hAnsi="Times New Roman" w:cs="Times New Roman"/>
                <w:sz w:val="21"/>
                <w:szCs w:val="21"/>
                <w:u w:val="none"/>
                <w:lang w:eastAsia="zh-CN"/>
              </w:rPr>
            </w:pPr>
            <w:r>
              <w:rPr>
                <w:rFonts w:hint="default" w:ascii="Times New Roman" w:hAnsi="Times New Roman" w:cs="Times New Roman"/>
                <w:spacing w:val="-1"/>
                <w:sz w:val="21"/>
                <w:szCs w:val="21"/>
                <w:u w:val="none"/>
                <w:lang w:eastAsia="zh-CN"/>
              </w:rPr>
              <w:t>节水型卫生洁具及其他</w:t>
            </w:r>
          </w:p>
        </w:tc>
        <w:tc>
          <w:tcPr>
            <w:tcW w:w="1477" w:type="pct"/>
            <w:vMerge w:val="continue"/>
            <w:vAlign w:val="center"/>
          </w:tcPr>
          <w:p w14:paraId="2E895AAE">
            <w:pPr>
              <w:spacing w:line="360" w:lineRule="auto"/>
              <w:jc w:val="center"/>
              <w:rPr>
                <w:rFonts w:hint="default" w:ascii="Times New Roman" w:hAnsi="Times New Roman" w:eastAsia="宋体" w:cs="Times New Roman"/>
                <w:sz w:val="21"/>
                <w:szCs w:val="21"/>
                <w:u w:val="none"/>
              </w:rPr>
            </w:pPr>
          </w:p>
        </w:tc>
      </w:tr>
      <w:tr w14:paraId="7A42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4DB2F851">
            <w:pPr>
              <w:spacing w:line="360" w:lineRule="auto"/>
              <w:jc w:val="center"/>
              <w:rPr>
                <w:rFonts w:hint="default" w:ascii="Times New Roman" w:hAnsi="Times New Roman" w:eastAsia="宋体" w:cs="Times New Roman"/>
                <w:sz w:val="21"/>
                <w:szCs w:val="21"/>
                <w:u w:val="none"/>
              </w:rPr>
            </w:pPr>
          </w:p>
        </w:tc>
        <w:tc>
          <w:tcPr>
            <w:tcW w:w="1755" w:type="pct"/>
          </w:tcPr>
          <w:p w14:paraId="197C8EBB">
            <w:pPr>
              <w:pStyle w:val="24"/>
              <w:spacing w:before="109" w:line="360" w:lineRule="auto"/>
              <w:ind w:left="164"/>
              <w:jc w:val="both"/>
              <w:rPr>
                <w:rFonts w:hint="default" w:ascii="Times New Roman" w:hAnsi="Times New Roman" w:cs="Times New Roman"/>
                <w:sz w:val="21"/>
                <w:szCs w:val="21"/>
                <w:u w:val="none"/>
                <w:lang w:eastAsia="zh-CN"/>
              </w:rPr>
            </w:pPr>
            <w:r>
              <w:rPr>
                <w:rFonts w:hint="default" w:ascii="Times New Roman" w:hAnsi="Times New Roman" w:cs="Times New Roman"/>
                <w:spacing w:val="-1"/>
                <w:sz w:val="21"/>
                <w:szCs w:val="21"/>
                <w:u w:val="none"/>
                <w:lang w:eastAsia="zh-CN"/>
              </w:rPr>
              <w:t>其他装饰装修工程用材</w:t>
            </w:r>
          </w:p>
        </w:tc>
        <w:tc>
          <w:tcPr>
            <w:tcW w:w="1477" w:type="pct"/>
            <w:vMerge w:val="continue"/>
            <w:vAlign w:val="center"/>
          </w:tcPr>
          <w:p w14:paraId="065522E1">
            <w:pPr>
              <w:spacing w:line="360" w:lineRule="auto"/>
              <w:jc w:val="center"/>
              <w:rPr>
                <w:rFonts w:hint="default" w:ascii="Times New Roman" w:hAnsi="Times New Roman" w:eastAsia="宋体" w:cs="Times New Roman"/>
                <w:sz w:val="21"/>
                <w:szCs w:val="21"/>
                <w:u w:val="none"/>
              </w:rPr>
            </w:pPr>
          </w:p>
        </w:tc>
      </w:tr>
      <w:tr w14:paraId="5CE5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restart"/>
            <w:vAlign w:val="center"/>
          </w:tcPr>
          <w:p w14:paraId="4E0C370B">
            <w:pPr>
              <w:spacing w:line="360" w:lineRule="auto"/>
              <w:jc w:val="center"/>
              <w:rPr>
                <w:rFonts w:hint="default" w:ascii="Times New Roman" w:hAnsi="Times New Roman" w:cs="Times New Roman" w:eastAsiaTheme="minorEastAsia"/>
                <w:sz w:val="21"/>
                <w:szCs w:val="21"/>
                <w:u w:val="none"/>
                <w:lang w:val="en-US" w:eastAsia="zh-CN"/>
              </w:rPr>
            </w:pPr>
            <w:r>
              <w:rPr>
                <w:rFonts w:hint="default" w:ascii="Times New Roman" w:hAnsi="Times New Roman" w:cs="Times New Roman"/>
                <w:spacing w:val="-1"/>
                <w:sz w:val="21"/>
                <w:szCs w:val="21"/>
                <w:u w:val="none"/>
              </w:rPr>
              <w:t>机电安装工程用材</w:t>
            </w:r>
            <w:r>
              <w:rPr>
                <w:rFonts w:hint="default" w:ascii="Times New Roman" w:hAnsi="Times New Roman" w:cs="Times New Roman"/>
                <w:spacing w:val="10"/>
                <w:sz w:val="21"/>
                <w:szCs w:val="21"/>
                <w:u w:val="none"/>
              </w:rPr>
              <w:t>Q</w:t>
            </w:r>
            <w:r>
              <w:rPr>
                <w:rFonts w:hint="default" w:ascii="Times New Roman" w:hAnsi="Times New Roman" w:cs="Times New Roman"/>
                <w:spacing w:val="10"/>
                <w:sz w:val="21"/>
                <w:szCs w:val="21"/>
                <w:u w:val="none"/>
                <w:vertAlign w:val="subscript"/>
                <w:lang w:val="en-US" w:eastAsia="zh-CN"/>
              </w:rPr>
              <w:t>3</w:t>
            </w:r>
          </w:p>
        </w:tc>
        <w:tc>
          <w:tcPr>
            <w:tcW w:w="1755" w:type="pct"/>
          </w:tcPr>
          <w:p w14:paraId="723AA4E4">
            <w:pPr>
              <w:pStyle w:val="24"/>
              <w:spacing w:before="109" w:line="360" w:lineRule="auto"/>
              <w:ind w:left="674"/>
              <w:jc w:val="both"/>
              <w:rPr>
                <w:rFonts w:hint="default" w:ascii="Times New Roman" w:hAnsi="Times New Roman" w:cs="Times New Roman"/>
                <w:sz w:val="21"/>
                <w:szCs w:val="21"/>
                <w:u w:val="none"/>
              </w:rPr>
            </w:pPr>
            <w:r>
              <w:rPr>
                <w:rFonts w:hint="default" w:ascii="Times New Roman" w:hAnsi="Times New Roman" w:cs="Times New Roman"/>
                <w:spacing w:val="-3"/>
                <w:sz w:val="21"/>
                <w:szCs w:val="21"/>
                <w:u w:val="none"/>
              </w:rPr>
              <w:t>管材管件</w:t>
            </w:r>
          </w:p>
        </w:tc>
        <w:tc>
          <w:tcPr>
            <w:tcW w:w="1477" w:type="pct"/>
            <w:vMerge w:val="restart"/>
            <w:vAlign w:val="center"/>
          </w:tcPr>
          <w:p w14:paraId="76A1B833">
            <w:pPr>
              <w:spacing w:line="360" w:lineRule="auto"/>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15</w:t>
            </w:r>
          </w:p>
        </w:tc>
      </w:tr>
      <w:tr w14:paraId="179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316FABA8">
            <w:pPr>
              <w:spacing w:line="360" w:lineRule="auto"/>
              <w:jc w:val="center"/>
              <w:rPr>
                <w:rFonts w:hint="default" w:ascii="Times New Roman" w:hAnsi="Times New Roman" w:eastAsia="宋体" w:cs="Times New Roman"/>
                <w:sz w:val="21"/>
                <w:szCs w:val="21"/>
                <w:u w:val="none"/>
              </w:rPr>
            </w:pPr>
          </w:p>
        </w:tc>
        <w:tc>
          <w:tcPr>
            <w:tcW w:w="1755" w:type="pct"/>
          </w:tcPr>
          <w:p w14:paraId="31A78118">
            <w:pPr>
              <w:pStyle w:val="24"/>
              <w:spacing w:before="112" w:line="360" w:lineRule="auto"/>
              <w:ind w:left="544"/>
              <w:jc w:val="both"/>
              <w:rPr>
                <w:rFonts w:hint="default" w:ascii="Times New Roman" w:hAnsi="Times New Roman" w:cs="Times New Roman"/>
                <w:sz w:val="21"/>
                <w:szCs w:val="21"/>
                <w:u w:val="none"/>
              </w:rPr>
            </w:pPr>
            <w:r>
              <w:rPr>
                <w:rFonts w:hint="default" w:ascii="Times New Roman" w:hAnsi="Times New Roman" w:cs="Times New Roman"/>
                <w:sz w:val="21"/>
                <w:szCs w:val="21"/>
                <w:u w:val="none"/>
              </w:rPr>
              <w:t>LED</w:t>
            </w:r>
            <w:r>
              <w:rPr>
                <w:rFonts w:hint="default" w:ascii="Times New Roman" w:hAnsi="Times New Roman" w:cs="Times New Roman"/>
                <w:spacing w:val="5"/>
                <w:sz w:val="21"/>
                <w:szCs w:val="21"/>
                <w:u w:val="none"/>
              </w:rPr>
              <w:t>照明产品</w:t>
            </w:r>
          </w:p>
        </w:tc>
        <w:tc>
          <w:tcPr>
            <w:tcW w:w="1477" w:type="pct"/>
            <w:vMerge w:val="continue"/>
          </w:tcPr>
          <w:p w14:paraId="3DE8592E">
            <w:pPr>
              <w:spacing w:line="360" w:lineRule="auto"/>
              <w:jc w:val="center"/>
              <w:rPr>
                <w:rFonts w:hint="default" w:ascii="Times New Roman" w:hAnsi="Times New Roman" w:eastAsia="宋体" w:cs="Times New Roman"/>
                <w:sz w:val="21"/>
                <w:szCs w:val="21"/>
                <w:u w:val="none"/>
              </w:rPr>
            </w:pPr>
          </w:p>
        </w:tc>
      </w:tr>
      <w:tr w14:paraId="33C5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25F2BB93">
            <w:pPr>
              <w:spacing w:line="360" w:lineRule="auto"/>
              <w:jc w:val="center"/>
              <w:rPr>
                <w:rFonts w:hint="default" w:ascii="Times New Roman" w:hAnsi="Times New Roman" w:eastAsia="宋体" w:cs="Times New Roman"/>
                <w:sz w:val="21"/>
                <w:szCs w:val="21"/>
                <w:u w:val="none"/>
              </w:rPr>
            </w:pPr>
          </w:p>
        </w:tc>
        <w:tc>
          <w:tcPr>
            <w:tcW w:w="1755" w:type="pct"/>
          </w:tcPr>
          <w:p w14:paraId="5D44762B">
            <w:pPr>
              <w:pStyle w:val="24"/>
              <w:spacing w:before="112" w:line="360" w:lineRule="auto"/>
              <w:ind w:left="164"/>
              <w:jc w:val="both"/>
              <w:rPr>
                <w:rFonts w:hint="default" w:ascii="Times New Roman" w:hAnsi="Times New Roman" w:cs="Times New Roman"/>
                <w:sz w:val="21"/>
                <w:szCs w:val="21"/>
                <w:u w:val="none"/>
                <w:lang w:eastAsia="zh-CN"/>
              </w:rPr>
            </w:pPr>
            <w:r>
              <w:rPr>
                <w:rFonts w:hint="default" w:ascii="Times New Roman" w:hAnsi="Times New Roman" w:cs="Times New Roman"/>
                <w:spacing w:val="-1"/>
                <w:sz w:val="21"/>
                <w:szCs w:val="21"/>
                <w:u w:val="none"/>
                <w:lang w:eastAsia="zh-CN"/>
              </w:rPr>
              <w:t>新风净化设备及其系统</w:t>
            </w:r>
          </w:p>
        </w:tc>
        <w:tc>
          <w:tcPr>
            <w:tcW w:w="1477" w:type="pct"/>
            <w:vMerge w:val="continue"/>
          </w:tcPr>
          <w:p w14:paraId="3BFA570E">
            <w:pPr>
              <w:spacing w:line="360" w:lineRule="auto"/>
              <w:jc w:val="center"/>
              <w:rPr>
                <w:rFonts w:hint="default" w:ascii="Times New Roman" w:hAnsi="Times New Roman" w:eastAsia="宋体" w:cs="Times New Roman"/>
                <w:sz w:val="21"/>
                <w:szCs w:val="21"/>
                <w:u w:val="none"/>
              </w:rPr>
            </w:pPr>
          </w:p>
        </w:tc>
      </w:tr>
      <w:tr w14:paraId="78FC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7C09E34C">
            <w:pPr>
              <w:spacing w:line="360" w:lineRule="auto"/>
              <w:jc w:val="center"/>
              <w:rPr>
                <w:rFonts w:hint="default" w:ascii="Times New Roman" w:hAnsi="Times New Roman" w:eastAsia="宋体" w:cs="Times New Roman"/>
                <w:sz w:val="21"/>
                <w:szCs w:val="21"/>
                <w:u w:val="none"/>
              </w:rPr>
            </w:pPr>
          </w:p>
        </w:tc>
        <w:tc>
          <w:tcPr>
            <w:tcW w:w="1755" w:type="pct"/>
          </w:tcPr>
          <w:p w14:paraId="1041842E">
            <w:pPr>
              <w:pStyle w:val="24"/>
              <w:spacing w:before="112" w:line="360" w:lineRule="auto"/>
              <w:ind w:left="164"/>
              <w:jc w:val="both"/>
              <w:rPr>
                <w:rFonts w:hint="default" w:ascii="Times New Roman" w:hAnsi="Times New Roman" w:cs="Times New Roman"/>
                <w:sz w:val="21"/>
                <w:szCs w:val="21"/>
                <w:u w:val="none"/>
                <w:lang w:eastAsia="zh-CN"/>
              </w:rPr>
            </w:pPr>
            <w:r>
              <w:rPr>
                <w:rFonts w:hint="default" w:ascii="Times New Roman" w:hAnsi="Times New Roman" w:cs="Times New Roman"/>
                <w:spacing w:val="-1"/>
                <w:sz w:val="21"/>
                <w:szCs w:val="21"/>
                <w:u w:val="none"/>
                <w:lang w:eastAsia="zh-CN"/>
              </w:rPr>
              <w:t>供暖空调设备及其系统</w:t>
            </w:r>
          </w:p>
        </w:tc>
        <w:tc>
          <w:tcPr>
            <w:tcW w:w="1477" w:type="pct"/>
            <w:vMerge w:val="continue"/>
          </w:tcPr>
          <w:p w14:paraId="412B64CF">
            <w:pPr>
              <w:spacing w:line="360" w:lineRule="auto"/>
              <w:jc w:val="center"/>
              <w:rPr>
                <w:rFonts w:hint="default" w:ascii="Times New Roman" w:hAnsi="Times New Roman" w:eastAsia="宋体" w:cs="Times New Roman"/>
                <w:sz w:val="21"/>
                <w:szCs w:val="21"/>
                <w:u w:val="none"/>
              </w:rPr>
            </w:pPr>
          </w:p>
        </w:tc>
      </w:tr>
      <w:tr w14:paraId="077B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53F6A66E">
            <w:pPr>
              <w:spacing w:line="360" w:lineRule="auto"/>
              <w:jc w:val="center"/>
              <w:rPr>
                <w:rFonts w:hint="default" w:ascii="Times New Roman" w:hAnsi="Times New Roman" w:eastAsia="宋体" w:cs="Times New Roman"/>
                <w:sz w:val="21"/>
                <w:szCs w:val="21"/>
                <w:u w:val="none"/>
              </w:rPr>
            </w:pPr>
          </w:p>
        </w:tc>
        <w:tc>
          <w:tcPr>
            <w:tcW w:w="1755" w:type="pct"/>
          </w:tcPr>
          <w:p w14:paraId="0E4026A3">
            <w:pPr>
              <w:pStyle w:val="24"/>
              <w:spacing w:before="113" w:line="360" w:lineRule="auto"/>
              <w:ind w:left="333"/>
              <w:jc w:val="both"/>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热泵产品及其系统</w:t>
            </w:r>
          </w:p>
        </w:tc>
        <w:tc>
          <w:tcPr>
            <w:tcW w:w="1477" w:type="pct"/>
            <w:vMerge w:val="continue"/>
          </w:tcPr>
          <w:p w14:paraId="5252453C">
            <w:pPr>
              <w:spacing w:line="360" w:lineRule="auto"/>
              <w:jc w:val="center"/>
              <w:rPr>
                <w:rFonts w:hint="default" w:ascii="Times New Roman" w:hAnsi="Times New Roman" w:eastAsia="宋体" w:cs="Times New Roman"/>
                <w:sz w:val="21"/>
                <w:szCs w:val="21"/>
                <w:u w:val="none"/>
              </w:rPr>
            </w:pPr>
          </w:p>
        </w:tc>
      </w:tr>
      <w:tr w14:paraId="3B2F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351E8EFA">
            <w:pPr>
              <w:spacing w:line="360" w:lineRule="auto"/>
              <w:jc w:val="center"/>
              <w:rPr>
                <w:rFonts w:hint="default" w:ascii="Times New Roman" w:hAnsi="Times New Roman" w:eastAsia="宋体" w:cs="Times New Roman"/>
                <w:sz w:val="21"/>
                <w:szCs w:val="21"/>
                <w:u w:val="none"/>
              </w:rPr>
            </w:pPr>
          </w:p>
        </w:tc>
        <w:tc>
          <w:tcPr>
            <w:tcW w:w="1755" w:type="pct"/>
          </w:tcPr>
          <w:p w14:paraId="25EC9D85">
            <w:pPr>
              <w:pStyle w:val="24"/>
              <w:spacing w:before="113" w:line="360" w:lineRule="auto"/>
              <w:ind w:right="104"/>
              <w:jc w:val="center"/>
              <w:rPr>
                <w:rFonts w:hint="default" w:ascii="Times New Roman" w:hAnsi="Times New Roman" w:cs="Times New Roman"/>
                <w:sz w:val="21"/>
                <w:szCs w:val="21"/>
                <w:u w:val="none"/>
                <w:lang w:eastAsia="zh-CN"/>
              </w:rPr>
            </w:pPr>
            <w:r>
              <w:rPr>
                <w:rFonts w:hint="default" w:ascii="Times New Roman" w:hAnsi="Times New Roman" w:cs="Times New Roman"/>
                <w:spacing w:val="-2"/>
                <w:sz w:val="21"/>
                <w:szCs w:val="21"/>
                <w:u w:val="none"/>
                <w:lang w:eastAsia="zh-CN"/>
              </w:rPr>
              <w:t>辐射供暖供冷设备及其系统</w:t>
            </w:r>
          </w:p>
        </w:tc>
        <w:tc>
          <w:tcPr>
            <w:tcW w:w="1477" w:type="pct"/>
            <w:vMerge w:val="continue"/>
          </w:tcPr>
          <w:p w14:paraId="234A9F22">
            <w:pPr>
              <w:spacing w:line="360" w:lineRule="auto"/>
              <w:jc w:val="center"/>
              <w:rPr>
                <w:rFonts w:hint="default" w:ascii="Times New Roman" w:hAnsi="Times New Roman" w:eastAsia="宋体" w:cs="Times New Roman"/>
                <w:sz w:val="21"/>
                <w:szCs w:val="21"/>
                <w:u w:val="none"/>
              </w:rPr>
            </w:pPr>
          </w:p>
        </w:tc>
      </w:tr>
      <w:tr w14:paraId="007E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57F08C95">
            <w:pPr>
              <w:spacing w:line="360" w:lineRule="auto"/>
              <w:jc w:val="center"/>
              <w:rPr>
                <w:rFonts w:hint="default" w:ascii="Times New Roman" w:hAnsi="Times New Roman" w:eastAsia="宋体" w:cs="Times New Roman"/>
                <w:sz w:val="21"/>
                <w:szCs w:val="21"/>
                <w:u w:val="none"/>
              </w:rPr>
            </w:pPr>
          </w:p>
        </w:tc>
        <w:tc>
          <w:tcPr>
            <w:tcW w:w="1755" w:type="pct"/>
          </w:tcPr>
          <w:p w14:paraId="19BD1349">
            <w:pPr>
              <w:pStyle w:val="24"/>
              <w:spacing w:before="113" w:line="360" w:lineRule="auto"/>
              <w:ind w:left="164"/>
              <w:jc w:val="both"/>
              <w:rPr>
                <w:rFonts w:hint="default" w:ascii="Times New Roman" w:hAnsi="Times New Roman" w:cs="Times New Roman"/>
                <w:sz w:val="21"/>
                <w:szCs w:val="21"/>
                <w:u w:val="none"/>
                <w:lang w:eastAsia="zh-CN"/>
              </w:rPr>
            </w:pPr>
            <w:r>
              <w:rPr>
                <w:rFonts w:hint="default" w:ascii="Times New Roman" w:hAnsi="Times New Roman" w:cs="Times New Roman"/>
                <w:spacing w:val="-1"/>
                <w:sz w:val="21"/>
                <w:szCs w:val="21"/>
                <w:u w:val="none"/>
                <w:lang w:eastAsia="zh-CN"/>
              </w:rPr>
              <w:t>其他机电安装工程用材</w:t>
            </w:r>
          </w:p>
        </w:tc>
        <w:tc>
          <w:tcPr>
            <w:tcW w:w="1477" w:type="pct"/>
            <w:vMerge w:val="continue"/>
          </w:tcPr>
          <w:p w14:paraId="57036FF7">
            <w:pPr>
              <w:spacing w:line="360" w:lineRule="auto"/>
              <w:jc w:val="center"/>
              <w:rPr>
                <w:rFonts w:hint="default" w:ascii="Times New Roman" w:hAnsi="Times New Roman" w:eastAsia="宋体" w:cs="Times New Roman"/>
                <w:sz w:val="21"/>
                <w:szCs w:val="21"/>
                <w:u w:val="none"/>
              </w:rPr>
            </w:pPr>
          </w:p>
        </w:tc>
      </w:tr>
      <w:tr w14:paraId="5ACA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restart"/>
            <w:vAlign w:val="center"/>
          </w:tcPr>
          <w:p w14:paraId="4F1310D4">
            <w:pPr>
              <w:spacing w:line="360" w:lineRule="auto"/>
              <w:jc w:val="center"/>
              <w:rPr>
                <w:rFonts w:hint="default" w:ascii="Times New Roman" w:hAnsi="Times New Roman" w:cs="Times New Roman" w:eastAsiaTheme="minorEastAsia"/>
                <w:sz w:val="21"/>
                <w:szCs w:val="21"/>
                <w:u w:val="none"/>
                <w:lang w:val="en-US" w:eastAsia="zh-CN"/>
              </w:rPr>
            </w:pPr>
            <w:r>
              <w:rPr>
                <w:rFonts w:hint="default" w:ascii="Times New Roman" w:hAnsi="Times New Roman" w:cs="Times New Roman"/>
                <w:spacing w:val="-2"/>
                <w:sz w:val="21"/>
                <w:szCs w:val="21"/>
                <w:u w:val="none"/>
              </w:rPr>
              <w:t>室外工程用材</w:t>
            </w:r>
            <w:r>
              <w:rPr>
                <w:rFonts w:hint="default" w:ascii="Times New Roman" w:hAnsi="Times New Roman" w:cs="Times New Roman"/>
                <w:spacing w:val="10"/>
                <w:sz w:val="21"/>
                <w:szCs w:val="21"/>
                <w:u w:val="none"/>
              </w:rPr>
              <w:t>Q</w:t>
            </w:r>
            <w:r>
              <w:rPr>
                <w:rFonts w:hint="default" w:ascii="Times New Roman" w:hAnsi="Times New Roman" w:cs="Times New Roman"/>
                <w:spacing w:val="10"/>
                <w:sz w:val="21"/>
                <w:szCs w:val="21"/>
                <w:u w:val="none"/>
                <w:vertAlign w:val="subscript"/>
                <w:lang w:val="en-US" w:eastAsia="zh-CN"/>
              </w:rPr>
              <w:t>4</w:t>
            </w:r>
          </w:p>
        </w:tc>
        <w:tc>
          <w:tcPr>
            <w:tcW w:w="1755" w:type="pct"/>
          </w:tcPr>
          <w:p w14:paraId="39E51A74">
            <w:pPr>
              <w:pStyle w:val="24"/>
              <w:spacing w:before="115" w:line="360" w:lineRule="auto"/>
              <w:ind w:left="333"/>
              <w:jc w:val="both"/>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雨水收集回用系统</w:t>
            </w:r>
          </w:p>
        </w:tc>
        <w:tc>
          <w:tcPr>
            <w:tcW w:w="1477" w:type="pct"/>
            <w:vMerge w:val="restart"/>
            <w:vAlign w:val="center"/>
          </w:tcPr>
          <w:p w14:paraId="6773B35F">
            <w:pPr>
              <w:spacing w:line="360" w:lineRule="auto"/>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5</w:t>
            </w:r>
          </w:p>
        </w:tc>
      </w:tr>
      <w:tr w14:paraId="1FBB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1544237E">
            <w:pPr>
              <w:spacing w:line="360" w:lineRule="auto"/>
              <w:jc w:val="center"/>
              <w:rPr>
                <w:rFonts w:hint="default" w:ascii="Times New Roman" w:hAnsi="Times New Roman" w:eastAsia="宋体" w:cs="Times New Roman"/>
                <w:sz w:val="21"/>
                <w:szCs w:val="21"/>
                <w:u w:val="none"/>
              </w:rPr>
            </w:pPr>
          </w:p>
        </w:tc>
        <w:tc>
          <w:tcPr>
            <w:tcW w:w="1755" w:type="pct"/>
          </w:tcPr>
          <w:p w14:paraId="36786069">
            <w:pPr>
              <w:pStyle w:val="24"/>
              <w:spacing w:before="114" w:line="360" w:lineRule="auto"/>
              <w:ind w:left="504"/>
              <w:jc w:val="both"/>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透水铺装材料</w:t>
            </w:r>
          </w:p>
        </w:tc>
        <w:tc>
          <w:tcPr>
            <w:tcW w:w="1477" w:type="pct"/>
            <w:vMerge w:val="continue"/>
            <w:vAlign w:val="center"/>
          </w:tcPr>
          <w:p w14:paraId="5729CF89">
            <w:pPr>
              <w:spacing w:line="360" w:lineRule="auto"/>
              <w:jc w:val="center"/>
              <w:rPr>
                <w:rFonts w:hint="default" w:ascii="Times New Roman" w:hAnsi="Times New Roman" w:eastAsia="宋体" w:cs="Times New Roman"/>
                <w:sz w:val="21"/>
                <w:szCs w:val="21"/>
                <w:u w:val="none"/>
              </w:rPr>
            </w:pPr>
          </w:p>
        </w:tc>
      </w:tr>
      <w:tr w14:paraId="3730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7" w:type="pct"/>
            <w:vMerge w:val="continue"/>
          </w:tcPr>
          <w:p w14:paraId="32BD27D0">
            <w:pPr>
              <w:spacing w:line="360" w:lineRule="auto"/>
              <w:jc w:val="center"/>
              <w:rPr>
                <w:rFonts w:hint="default" w:ascii="Times New Roman" w:hAnsi="Times New Roman" w:eastAsia="宋体" w:cs="Times New Roman"/>
                <w:sz w:val="21"/>
                <w:szCs w:val="21"/>
                <w:u w:val="none"/>
              </w:rPr>
            </w:pPr>
          </w:p>
        </w:tc>
        <w:tc>
          <w:tcPr>
            <w:tcW w:w="1755" w:type="pct"/>
          </w:tcPr>
          <w:p w14:paraId="234127D1">
            <w:pPr>
              <w:pStyle w:val="24"/>
              <w:spacing w:before="116" w:line="360" w:lineRule="auto"/>
              <w:ind w:left="333"/>
              <w:jc w:val="both"/>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其他室外工程用材</w:t>
            </w:r>
          </w:p>
        </w:tc>
        <w:tc>
          <w:tcPr>
            <w:tcW w:w="1477" w:type="pct"/>
            <w:vMerge w:val="continue"/>
            <w:vAlign w:val="center"/>
          </w:tcPr>
          <w:p w14:paraId="4DD82EC2">
            <w:pPr>
              <w:spacing w:line="360" w:lineRule="auto"/>
              <w:jc w:val="center"/>
              <w:rPr>
                <w:rFonts w:hint="default" w:ascii="Times New Roman" w:hAnsi="Times New Roman" w:eastAsia="宋体" w:cs="Times New Roman"/>
                <w:sz w:val="21"/>
                <w:szCs w:val="21"/>
                <w:u w:val="none"/>
              </w:rPr>
            </w:pPr>
          </w:p>
        </w:tc>
      </w:tr>
    </w:tbl>
    <w:p w14:paraId="6755529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本条中的绿色建材须通过绿色建材产品认证，或满足财政部、住房城乡建设部、工业和信息化部发布的《绿色建筑和绿色建材政府采购需求标准》</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且每个二级指标的绿色建材用量应达 到相应品类总量的80%方可得分。考虑到绿色建材的不断发展，如果具体工程项目使用了新增表4二级指标列出的各类建筑材料之外的其他建材</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即各类二级指标最后一项其他用材</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且该类建材列入了国家、各省市政府采购要求或通过了绿色建材产品认证，可在计算绿色建材应用比例时将各类二级指标N和N</w:t>
      </w:r>
      <w:r>
        <w:rPr>
          <w:rFonts w:hint="default" w:ascii="Times New Roman" w:hAnsi="Times New Roman" w:eastAsia="宋体" w:cs="Times New Roman"/>
          <w:color w:val="000000" w:themeColor="text1"/>
          <w:spacing w:val="-8"/>
          <w:sz w:val="24"/>
          <w:szCs w:val="24"/>
          <w:u w:val="none"/>
          <w:vertAlign w:val="subscript"/>
          <w14:textFill>
            <w14:solidFill>
              <w14:schemeClr w14:val="tx1"/>
            </w14:solidFill>
          </w14:textFill>
        </w:rPr>
        <w:t>绿</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同时增加此类其他建材的对应品类数量。</w:t>
      </w:r>
    </w:p>
    <w:p w14:paraId="303E4CA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工程概预算清单、绿色建材应用比例计算分析报告；评价查阅相关竣工图购销合同及材料用量清单、符合绿色建材政府采购需求标准证明材料、绿色建材评价认证证书、绿色建材使用说明及第三方检测 报告、绿色建材应用比例计算分析报告。</w:t>
      </w:r>
    </w:p>
    <w:p w14:paraId="11545627">
      <w:pPr>
        <w:spacing w:before="99" w:line="360" w:lineRule="auto"/>
        <w:ind w:right="58" w:firstLine="419"/>
        <w:rPr>
          <w:rFonts w:hint="default" w:ascii="Times New Roman" w:hAnsi="Times New Roman" w:eastAsia="宋体" w:cs="Times New Roman"/>
          <w:spacing w:val="-7"/>
          <w:sz w:val="24"/>
          <w:szCs w:val="24"/>
          <w:u w:val="none"/>
        </w:rPr>
      </w:pPr>
      <w:r>
        <w:rPr>
          <w:rFonts w:hint="default" w:ascii="Times New Roman" w:hAnsi="Times New Roman" w:eastAsia="宋体" w:cs="Times New Roman"/>
          <w:spacing w:val="-7"/>
          <w:sz w:val="24"/>
          <w:szCs w:val="24"/>
          <w:u w:val="none"/>
        </w:rPr>
        <w:br w:type="page"/>
      </w:r>
    </w:p>
    <w:p w14:paraId="4A294ECE">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211" w:name="_Toc204247768"/>
      <w:bookmarkStart w:id="212" w:name="_Toc21340"/>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8 环境宜居</w:t>
      </w:r>
      <w:bookmarkEnd w:id="211"/>
      <w:bookmarkEnd w:id="212"/>
    </w:p>
    <w:p w14:paraId="26EA0391">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213" w:name="_Toc204247769"/>
      <w:bookmarkStart w:id="214" w:name="_Toc32289"/>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8.1 控制项</w:t>
      </w:r>
      <w:bookmarkEnd w:id="213"/>
      <w:bookmarkEnd w:id="214"/>
    </w:p>
    <w:p w14:paraId="3236DD41">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8.1.1</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4F156DA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我国对住宅建筑以及幼儿园、医院、疗养院等公共建筑都有日照的要求，相关标准包括国家现行标准《城市居住区规划设计标准》GB 50180、《中小学校设计规范》GB 50099、《托儿所、幼儿园建筑 设计规范》JGJ 39等。建筑在布局与设计时需要充分考虑上述标准要求，若没有相应标准要求，符合城乡规划的要求即为达标。采用日照的模拟分析时，应执行现行国家标准《建筑日照计算参数标准》GB/T 50947中的相关规定。</w:t>
      </w:r>
    </w:p>
    <w:p w14:paraId="4DFC8C2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除满足日照相关标准要求外，本条要求建筑布局还应兼顾周边，减少对相邻的住宅、幼儿园生活用房等有日照标准要求的建筑产生不利的日照遮挡。条文中的</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不得降低周边建筑的日照标准</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是指：①对于新建项目的建设，应满足周边建筑有关日照标 准的要求。②对于改造项目分两种情况：周边建筑改造前满足日照标准的，应保证其改造后仍符合相关日照标准的要求；周边建筑改造前未满足日照标准的，改造后不可再降低其原有的日照水平。</w:t>
      </w:r>
    </w:p>
    <w:p w14:paraId="02CDBDF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周边建筑，现行标准对其日照标准有量化要求的，可以通过模拟计算报告来判定达标；对于周边的非住宅建筑，若现行设计标准对其日照标准没有量化的要求，则可以不进行日照的模拟计算，只要其满足控制性详规即可判定达标。</w:t>
      </w:r>
    </w:p>
    <w:p w14:paraId="46F0D80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本条的评价方法为：预评价查阅相关设计文件、日照分析报告；评价查阅相关竣工图、日照分析报告。</w:t>
      </w:r>
    </w:p>
    <w:p w14:paraId="25A34FB5">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8.1.2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327EF3C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建筑环境质量与场地热环境密切相关，热环境直接影响人们户外活动的热安全性和热舒适度。建筑室外热环境</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场地热环境</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不但影响到建筑室内环境质量，而且关系到人们在户外活动 或停留时的热安全性和热舒适度。工程建设过程中往往忽视建筑 室外热环境的营造，导致建筑投入使用后，人们在夏季无法长时间在室外活动或停留，影响人们对绿色建筑的体验感。</w:t>
      </w:r>
    </w:p>
    <w:p w14:paraId="1448803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对于住宅建筑，现行行业标准《城市居住区热环境设计标准》JGJ 286对居住区详细规划阶段的热环境设计进行了规定，给出了设计方法、指标、参数。住宅建筑在项目规划设计时，应充分考虑场地内热环境的舒适度，采取有效措施改善场地通风不良、遮阳不足、绿量不够、渗透不强等一系列的问题，降低热岛强度，提高环境舒适度。因《住宅项目规范》GB 55038-2025发布的同时废止《城市居住区热环境设计标准》JGJ 286-2013第4.1.1、4.1.2条，本次修订只要求住宅建筑项目按现行行业标准《城市居住区热环境设计标准》JGJ 286 进行热环境设计并满足相关要求即可，迎风面积比和户外活动场地的遮阳覆盖率不强制满足该标准的规定。城市居住区是指城市中住宅建筑相对集中布局的地区，简称居住区。</w:t>
      </w:r>
    </w:p>
    <w:p w14:paraId="0DCFED8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公共建筑，经常会出现人员主动或被动地在室外场地长时间停留或活动的情况。例如，交通客运站、博物馆、体育场馆、购物中心、城市综合体等的室外场地，人们经常会在室外广场等候入场或临时休息。场地在夏季完全处于暴晒状态时，其热环境恶劣，热安全性低，人员停留或活动时体感极不舒适，甚至会出现中暑、晕倒等现象。部分公共建筑的室外场地结合其景观，设置了活动的</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临时的</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或固定的遮阳设施，布置了喷雾降温或风扇调风装置等，在夏季营造出了较舒适的热环境。</w:t>
      </w:r>
    </w:p>
    <w:p w14:paraId="7855B6E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本次局部修订，要求公共建筑室外相关场所采取必要的防热措施，满足热安全要求。防热措施可以是永久的</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固定的</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也可以是临时的或活动的。例如，种植乔木、设置遮阳设施、路面自动洒水装置、环境喷雾或风扇调风装置等。</w:t>
      </w:r>
    </w:p>
    <w:p w14:paraId="5B14DB6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住宅建筑查阅住区热环境设计报告，公共建筑查阅设计文件、核对户外防热措施；评价查阅相关竣工图，住宅建筑查阅住区热环境设计报告，公共建筑查阅夏季防热措施。</w:t>
      </w:r>
    </w:p>
    <w:p w14:paraId="2F10CAFB">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8.1.3</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28A30D0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绿化是城市环境建设的重要内容。本条规定要根据居住人口规模等因素提出配建绿地的控制要求。大面积的草坪不但维护费用昂贵，其生态效益也远远小于灌木、乔木。因此，合理搭配乔木、灌木和草坪，以乔木为主，能够提高绿地的空间利用率、增加绿量，使有限的绿地发挥更大的生态效益和景观效益。乔、灌、草组合配置，就是以乔木为主，灌木填补林下空间，地面栽花种草的种植模式，垂直面上形成乔、灌、草空间互补和重叠的效果。根据植物的不同特性</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如高矮、冠幅大小、光及空间需求等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差异而取长补短，相互兼容，进行立体多层次种植，以求在单位面积内充分利用土地、阳光、空间、水分、养分而达到最大生长量。</w:t>
      </w:r>
    </w:p>
    <w:p w14:paraId="37D3143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植物配置应充分体现本地区植物资源的特点，突出地方特色。因此在苗木的选择上，要保证绿植无毒无害，保证绿化环境安全和健康。合理的植物物种选择和搭配会对绿地植被的生长起到促进作用。种植区域的覆土深度应满足乔、灌、草自然生长的需要，一般来说，满足植物生长需求的覆土深度为：乔木大于1.2m</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深根系乔木大于1. 5m</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灌木大于0 . 5m</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草坪大于 0.3m。种植区域的覆土深度应满足申报项目所在地园林主管部门对覆土深度的要求。鼓励各类公共建筑进行屋顶绿化和墙面垂直绿化，既能增加绿化面积，又可以改善屋顶和墙壁的保温隔热效果，还可有效滞留雨水。</w:t>
      </w:r>
    </w:p>
    <w:p w14:paraId="4A9DA22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本条的评价方法为：预评价查阅规划批复文件、相关设计文件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苗木表、覆土深度、排水设计</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；评价查阅规划批复文件、相关</w:t>
      </w:r>
      <w:bookmarkStart w:id="215" w:name="bookmark118"/>
      <w:bookmarkEnd w:id="215"/>
      <w:bookmarkStart w:id="216" w:name="bookmark120"/>
      <w:bookmarkEnd w:id="216"/>
      <w:bookmarkStart w:id="217" w:name="bookmark119"/>
      <w:bookmarkEnd w:id="217"/>
      <w:r>
        <w:rPr>
          <w:rFonts w:hint="default" w:ascii="Times New Roman" w:hAnsi="Times New Roman" w:eastAsia="宋体" w:cs="Times New Roman"/>
          <w:color w:val="000000" w:themeColor="text1"/>
          <w:spacing w:val="-8"/>
          <w:sz w:val="24"/>
          <w:szCs w:val="24"/>
          <w:u w:val="none"/>
          <w14:textFill>
            <w14:solidFill>
              <w14:schemeClr w14:val="tx1"/>
            </w14:solidFill>
          </w14:textFill>
        </w:rPr>
        <w:t>竣工图、绿地计算书、苗木采购清单。</w:t>
      </w:r>
    </w:p>
    <w:p w14:paraId="4C820FA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8.1.4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0E3FA27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国务院办公厅2015年10月印发的《关于推进海绵城市建设的指导意见》指出，建设海绵城市，统筹发挥自然生态功能和人工干预功能，有效控制雨水径流，实现自然积存、自然渗透、自然净化的城市发展方式，有利于修复城市水生态、涵养水资源，增强城市防涝能力，扩大公共产品有效投资，提高新型城镇化质量，促进人与自然和谐发展。建海绵城市就要有</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海绵体</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。城市</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海绵体</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既包括河、湖、池塘等水系，也包括绿地、花园、可渗透  路面这样的城市配套设施。雨水通过这些</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海绵体</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下渗、滞  蓄、净化、回用，最后剩余部分径流通过管网、泵站外排，缓减城市内涝的压力。</w:t>
      </w:r>
    </w:p>
    <w:p w14:paraId="4FF07B3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需要说明的是，本条作为控制项，在执行时要正确理解其要求：①无论是在水资源丰富的地区还是在水资源贫乏的地区，进行建设场地的竖向设计的目的之一是防止因降雨导致场地积水或内涝。现行行业标准《城乡建设用地竖向规划规范》CJJ 83 对  此也是有明确要求。② 竖向设计应有利于场地雨水重力自流进入绿色生态设施，应避免或减少采用雨水蓄水池等灰色设施，应合理设计径流途径，充分利用绿地和场地空间实施入渗；至于雨水是否收集回用或者调蓄排放，应根据项目的具体情况和当地海绵城市建设的规划要求，通过技术经济可行性研究确定。③无论是年降雨量丰富的地区还是较少的地区，都应通过场地竖向设计，创造有利于雨水下渗、滞蓄或收集回用的条件。</w:t>
      </w:r>
    </w:p>
    <w:p w14:paraId="429BD85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对大于10hm²的场地，应进行雨水控制与利用专项设计，避免实际工程中针对某个子系统</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雨水利用、径流减排、污染控制等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进行独立设计所带来的诸多资源配置和统筹衔接不当的问题。具体评价时，场地占地面积大于10hm²的项目，应提供雨水专项设计文件；小于10hm²的项目可不做雨水专项设计，但也应根据场地条件合理采取雨水控制利用措施，编制场地雨水综合控制利用方案。</w:t>
      </w:r>
    </w:p>
    <w:p w14:paraId="78DE36E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场地竖向设计图、室外雨水排水平面图等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、年径流总量控制率计算书、设计控制雨量计算书、场地雨水综合利用方案或专项设计文件；评价查阅相关竣工图、年径流总量控制率计算书、设计控制雨量计算书、场地雨水综合利用方案或专项设计文件。</w:t>
      </w:r>
    </w:p>
    <w:p w14:paraId="225872C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8.1.5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39FA817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设置便于识别和使用的标识系统，包括导向标识和定位标识 等，能够为建筑使用者带来便捷的使用体验。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公共建筑的标识系统应当执行现行国家标准《公共建筑标识系统技术规范》GB/T 51223</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住宅建筑可以参照执行。</w:t>
      </w:r>
    </w:p>
    <w:p w14:paraId="70CF312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在标识系统设计和设置时，应考虑建筑使用者的识别习惯，通过色彩、形式、字体、符号等整体进行设计，形成统一性和可辨识度。并考虑老年人、残障人士、儿童等不同人群对于标识的识别和感知的方式，例如，老年人由于视觉能力下降，需要采用较大的文字、较易识别的色彩系统等，儿童由于身高较低、识字量不够等，需要采用高度适合、色彩与图形化结合等方式的识别系统等。因此，提出根据不同使用人群特点设置适宜的标识引导系统，体现出对不同人群的关爱。</w:t>
      </w:r>
    </w:p>
    <w:p w14:paraId="634D6D2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同时，为便于标识识别，应在场地内显著位置上设置标识，标识应反映一定区域范围内的建筑与设施分布情况，并提示当前位置等。建筑及场地的标识应沿通行路径布置，构成完整和连续的引导系统。</w:t>
      </w:r>
    </w:p>
    <w:p w14:paraId="7462489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标识系统设计文件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w:t>
      </w:r>
    </w:p>
    <w:p w14:paraId="27D6C6B6">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8.1.6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7584B61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场地内不应存在未达标排放或者超标排放的气态、液态或固态的污染源，例如：易产生噪声的运动和营业场所，油烟未达标排放的厨房，煤气或工业废气超标排放的燃煤锅炉房，污染物排放超标的垃圾堆等。若有污染源应积极采取相应的治理措施并达到无超标污染物排放的要求。需说明的是，建设时场地内及周边不能存在污染源，既有的污染源必须经治理合格；建成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不能产生新的排放超标污染源。</w:t>
      </w:r>
    </w:p>
    <w:p w14:paraId="1EE8FCC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本条的评价方法为：预评价查阅环评报告、治理措施分析报告；评价查阅环评报告、治理措施分析报告、必要的检测报告。</w:t>
      </w:r>
    </w:p>
    <w:p w14:paraId="6674B1A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8.1.7</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36C80F7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建筑设计时应合理规划和设置垃圾收集设施，评价时应制定垃圾分类收集管理制度。</w:t>
      </w:r>
    </w:p>
    <w:p w14:paraId="7581B3B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本条要求根据垃圾产生量和种类合理设置垃圾分类收集设施，其中有害垃圾必须单独收集、单独清运。垃圾收集设施规格 和位置应符合国家有关标准的规定，其数量、外观色彩及标志应 符合垃圾分类收集的要求，并置于隐蔽、避风处，与周围景观相协调。垃圾收集设施应坚固耐用，防止垃圾无序倾倒和露天堆放。</w:t>
      </w:r>
    </w:p>
    <w:p w14:paraId="1C869F1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生活垃圾一般分四类，包括有害垃圾、易腐垃圾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厨余垃圾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、可回收垃圾和其他垃圾。有害垃圾主要包括：废电池</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镉镍电池、氧化汞电池、铅蓄电池等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废荧光灯管</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日光灯管、节能灯等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废温度计，废血压计，废药品及其包装物，废油漆、溶剂及其包装物，废杀虫剂、消毒剂及其包装物，废胶片及废相纸等。易腐垃圾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厨余垃圾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括剩菜剩饭、骨头、菜根菜叶、果皮等可腐烂有机物。可回收垃圾主要包括：废纸，废塑料，废金属，废包装物，废旧纺织物，废弃电器电子产品，废玻璃，废纸塑铝复合包装，大件垃圾等。有害垃圾、易腐垃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厨余垃圾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、可回收垃圾应分别收集。</w:t>
      </w:r>
    </w:p>
    <w:p w14:paraId="6310440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同时，在垃圾容器和收集点布置时，重视垃圾容器和收集点的环境卫生与景观美化问题，做到密闭并相对位置固定，如果按规划需配垃圾收集站，应能具备定期冲洗、消杀条件，并能及时做到密闭清运。</w:t>
      </w:r>
    </w:p>
    <w:p w14:paraId="40B441D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本条的评价方法为：预评价查阅相关设计文件、垃圾收集设施布置图；评价查阅相关竣工图、垃圾收集设施布置图，投入使用的项目尚应查阅相关管理制度。</w:t>
      </w:r>
    </w:p>
    <w:p w14:paraId="37ED585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8.1.8</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w:t>
      </w:r>
    </w:p>
    <w:p w14:paraId="3656EBF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本章从场地生态与景观、室外物理环境等方面提出了评价要求，环境宜居相关技术要求还应符合现行强制性工程建设规范《建筑环境通用规范》GB 55016、《市容环卫工程项目规范》GB 55013、《园林绿化工程项目规范》GB 55014、《建筑给水排水与节水通用规范》GB 55020、《住宅项目规范》GB 55038等的规定。</w:t>
      </w:r>
    </w:p>
    <w:p w14:paraId="6C8C1F3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w:t>
      </w:r>
    </w:p>
    <w:p w14:paraId="6EBC3AC6">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218" w:name="_Toc21087"/>
      <w:bookmarkStart w:id="219" w:name="_Toc204247770"/>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8.2 评分项</w:t>
      </w:r>
      <w:bookmarkEnd w:id="218"/>
      <w:bookmarkEnd w:id="219"/>
    </w:p>
    <w:p w14:paraId="1697FB9A">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220" w:name="_Toc204247771"/>
      <w:bookmarkStart w:id="221" w:name="_Toc26801"/>
      <w:r>
        <w:rPr>
          <w:rFonts w:hint="default" w:ascii="Times New Roman" w:hAnsi="Times New Roman" w:cs="Times New Roman"/>
          <w:color w:val="000000" w:themeColor="text1"/>
          <w:sz w:val="24"/>
          <w:szCs w:val="24"/>
          <w:u w:val="none"/>
          <w:lang w:eastAsia="zh-CN"/>
          <w14:textFill>
            <w14:solidFill>
              <w14:schemeClr w14:val="tx1"/>
            </w14:solidFill>
          </w14:textFill>
        </w:rPr>
        <w:t>I 场地生态与景观</w:t>
      </w:r>
      <w:bookmarkEnd w:id="220"/>
      <w:bookmarkEnd w:id="221"/>
    </w:p>
    <w:p w14:paraId="7A36A4A9">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8.2.1</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2CC98C5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建设项目应对场地的地形和场地内可利用的资源进行勘察，充分利用原有地形地貌进行场地设计以及建筑、生态景观的布局，尽量减少土石方量，减少开发建设过程对场地及周边环境生态系统的改变，包括原有植被、水体、山体、地表行泄通道、滞蓄洪坑塘洼地等。在建设过程中确需改造场地内的地形、 地貌、水体、植被等时，应在工程结束后及时采取生态复原措施，减少对原场地环境的改变和破坏。场地内外生态系统保持衔接，形成连贯的生态系统更有利于生态建设和保护。</w:t>
      </w:r>
    </w:p>
    <w:p w14:paraId="2EFBAC9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第2款，表层土含有丰富的有机质、矿物质和微量元素，适合植物和微生物的生长，有利于生态环境的恢复。对于场地内未受污染的净地表层土进行保护和回收利用是土壤资源保护、维持 生物多样性的重要方法。</w:t>
      </w:r>
    </w:p>
    <w:p w14:paraId="29026C4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第3款，基于场地资源与生态诊断的科学规划设计，在开发建设的同时采取符合场地实际的技术措施，并提供足够证据表明 该技术措施可有效实现生态恢复或生态补偿，可参与评审。比如，在场地内规划设计多样化的生态体系，如湿地系统、乔灌 草复合绿化体系、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要申请方能够提供足够相关证明文件即可认为满足得分要求。</w:t>
      </w:r>
    </w:p>
    <w:p w14:paraId="1734768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本条给出了三种得分措施，满足其中任一款即可得到10分。需要强调的是，当项目具备前两款的实施条件时，应当优先按前两款去实施。只有当前两款的得分条件均不具备条件时，才可适用第3款。</w:t>
      </w:r>
    </w:p>
    <w:p w14:paraId="6010C89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本条的评价方法为：预评价查阅场地原地形图、相关设计文件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带地形的规划设计图、总平面图、竖向设计图、景观设计总 平面图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；评价查阅相关竣工图、生态补偿方案</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植被保护方案及记录、水面保留方案、表层土利用相关图纸或说明文件等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施工记录、影像材料。</w:t>
      </w:r>
    </w:p>
    <w:p w14:paraId="58968100">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8.2.2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6A5C376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年径流总量控制率定义为：通过自然和人工强化的入渗、滞蓄、调蓄和收集回用，场地内累计一年得到控制的雨水量占全年总降雨量的比例。</w:t>
      </w:r>
    </w:p>
    <w:p w14:paraId="306BD41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外排总量控制包括径流减排、污染控制、雨水调节和收集回用等，应依据场地的实际情况，遵循绿色设施优先、灰色设施优化的原则，通过合理的技术经济比较，来确定最优方案。</w:t>
      </w:r>
    </w:p>
    <w:p w14:paraId="5E60B30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设计时应根据年径流总量控制率对应的设计控制雨量来计算 控制容积，并确定源头减排设施的规模、布局和最终方案，源头减排设施的规模、布局和径流组织应确保服务范围内的径流能进入相应的设施。有条件时，可通过相关雨水控制利用模型进行设计计算；也可采用简单计算方法，通过设计控制雨量、汇水面积 来确定控制容积，再分别计算入渗、滞蓄、调蓄和收集回用等措施实现的控制容积，达到设计控制雨量对应的控制规模要求，即判定得分。</w:t>
      </w:r>
    </w:p>
    <w:p w14:paraId="1F76BA1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需要注意的是：计算年径流总量控制率时，应按源头减排设施或雨水排口的数量划分汇水分区，当存在两个及以上汇水分区时，应分别计算各汇水分区的年径流总量控制率，再按面积加权计算总的年径流总量控制率。</w:t>
      </w:r>
    </w:p>
    <w:p w14:paraId="273CBD2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对于地质、气候等自然条件特殊的地区，如湿陷性黄土地区等，应根据当地相关规定实施雨水控制利用。</w:t>
      </w:r>
    </w:p>
    <w:p w14:paraId="3DDC6DB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本条的评价方法为：预评价查阅相关设计文件、室外雨水排水平面图</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含汇水分区、源头减排设施规模、布局、场地设施标高、道路雨水口、溢流雨水口接管、市政雨水排口等内容</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年径流总量控制率计算书、设计控制雨量计算书、场地雨水综合利用 方案或专项设计文件；评价查阅相关竣工图、年径流总量控制率计算书、设计控制雨量计算书、场地雨水综合利用方案或专项设计文件。</w:t>
      </w:r>
    </w:p>
    <w:p w14:paraId="14A44186">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8.2.3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本条适用于各类民用建筑的预评价、评价。对于幼儿园、 中小学校、医院等建筑的绿地，本条第2款第2项，可直接得分。宿舍建筑可按照本条第2款公共建筑进行评价。</w:t>
      </w:r>
    </w:p>
    <w:p w14:paraId="60F46C1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绿地率指建设项目用地范围内各类绿地面积的总和占该项目总用地面积的比率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绿地包括建设项目用地中各类用作绿化的用地。合理设置绿地可起到改善和美化环境、调节小气候、缓解城市热岛效应等作用。绿地率以及公共绿地的数量是衡量住区环境质量的重要指标之一。根据现行国家标准《城市居住区规划设计标准》GB  50180</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集中绿地是指居住街坊配套建设、可供居民休憩、开展户外活动的绿化场地。集中绿地应满足的基本要求：宽度不小于8m</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面积不小于400m²</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集中绿地应设置供幼儿、老年人在家门口日常户外活动的场地。并应有不少于1/3的绿地面积在标准的建筑日照阴影线</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即日照标准的等时线</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范围之外，并在此区域设置供儿童、老年人户外活动场地，为老年人及儿童在家门口提供日常游憩及游戏活动场所。</w:t>
      </w:r>
    </w:p>
    <w:p w14:paraId="7FEE706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为保障城市公共空间的品质、提高服务质量，每个城市对城 市中不同地段或不同性质的公共设施建设项目，都制定有相应的绿地管理控制要求。本条鼓励公共建筑项目优化建筑布局，提供 更多的绿化用地或绿化广场，创造更加宜人的公共空间；鼓励绿地或绿化广场设置休憩、娱乐等设施并全时或定时向社会公众免费开放，以提供更多的公共活动空间。宿舍建筑可以按公共建筑进行评价。</w:t>
      </w:r>
    </w:p>
    <w:p w14:paraId="58BCAE59">
      <w:pPr>
        <w:spacing w:line="360" w:lineRule="auto"/>
        <w:ind w:firstLine="448" w:firstLineChars="200"/>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需要说明的是，有些公共建筑的规划批复文件中没有对绿地提出定量的指标要求，但项目又设置了一定规模的绿地，此时无法依据第2款第1项进行绿地率提高比例的计算。对于这类公共建筑项目可以按下列规则进行得分评判</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p>
    <w:p w14:paraId="433C58F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1 当绿地率达到10%及以上时，可以得10分。</w:t>
      </w:r>
    </w:p>
    <w:p w14:paraId="73332E5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2 当绿地率低于10%时，可以按绿地规模进行评分并累计。单块绿地宽度不小于8m、面积不少于64㎡且总绿地面积达到400㎡时可得2分，每增100㎡，再得1分，满分为5分。屋顶绿化和垂直绿化是否计人绿地面积，可以按项目所在地主管部门的规定执行。</w:t>
      </w:r>
    </w:p>
    <w:p w14:paraId="2D8C12B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本条的评价方法为：预评价查阅规划许可的设计条件、相关设计文件、日照分析报告、绿地率计算书；评价查阅相关竣工图，绿地率计算书。</w:t>
      </w:r>
    </w:p>
    <w:p w14:paraId="4183531C">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8.2.4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对于幼儿园、中小学校，室外不设置吸烟区并且在显著位置设置禁烟标志，直接判定本条得分。对于其他类型建筑，如果场地也不适宜设置吸烟区，并且能提供证明的，也可以判定本条直接得分，但需要在室外显著位置设置禁烟标志。</w:t>
      </w:r>
    </w:p>
    <w:p w14:paraId="673B0AA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本标准第5.1.1条规定了室内禁止吸烟，同时需要设置专门 的室外吸烟区，有效地引导有吸烟习惯的人群，走出室内，在规 定的合理范围内吸烟，做到</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疏堵结合</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。室外吸烟区的选择还须避免人员密集区、建筑出入口、雨篷等半开敞的空间、可开启窗户、建筑新风引入口、儿童和老年人活动区域等位置，吸烟区内须配置垃圾筒和吸烟有害健康的警示标识。</w:t>
      </w:r>
    </w:p>
    <w:p w14:paraId="0A99BE8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 关竣工图、影像资料、场地不适宜设立吸烟区的证明文件。</w:t>
      </w:r>
    </w:p>
    <w:p w14:paraId="2F1DC28A">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8.2.5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0269356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场地开发应遵循低影响开发原则，合理利用场地空间设置绿色雨水基础设施。绿色雨水基础设施有雨水花园、下凹式绿地、屋顶  绿化、植被浅沟、截污设施、渗透设施、雨水塘、雨水湿地、生态景观水体等。绿色雨水基础设施有别于传统的灰色雨水设施</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雨水口、雨水管道、调蓄池等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能够以自然的方式削减雨水径流、控制径流污染、保护生态水环境。方案比选时，应遵循绿色设施优先、灰色设施优化的原则，充分利用场地空间条件，设置绿色雨水基础设施，如：透水铺装、下凹式绿地、雨水花园、生物滞留设施等，通过场地竖向设计，有效组织场地地表径流进入绿色设施，实现场地雨水就地入渗。源头减排设施的规模、布局和径流组织应确保服务范围内的 径流能进入相应的设施。</w:t>
      </w:r>
    </w:p>
    <w:p w14:paraId="6686748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第1款，利用场地内的水塘、湿地、低洼地等作为雨水调蓄设施，或利用场地内设计景观</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如景观绿地、旱溪和景观水体</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来调蓄雨水，可实现有限土地资源综合利用发挥更大效能的目标。能调蓄雨水的景观绿地包括下凹式绿地、雨水花园、树池、 于塘等。绿地面积为计入绿地率的绿地的面积，涉及面积折算时 应遵循当地规划和园林部门的规定。下凹式绿地、雨水花园等雨水渗滞设施应设置溢流雨水口，溢流口标高应根据设施的雨水控制容积经计算确定，溢流雨水口和管道的排水能力应按设施收纳 雨水的汇水面积和场地雨水设计重现期计算确定。</w:t>
      </w:r>
    </w:p>
    <w:p w14:paraId="1109188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3款，屋面雨水和道路雨水是建筑场地产生径流的重要源头，易被污染并形成污染源，故宜合理引导其进入绿色雨水基础设施进行调蓄、下渗和利用，如：下凹式绿地、植草沟、树池等，通过植物截流、土壤过滤滞留处理小流量径流雨水，达到控制径流污染的目的。生活污废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如洗衣废水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不得排入雨水管，若通过雨水管排入绿地，将危害植物的生长，物业应定期检查并杜绝阳台洗衣废水接入雨水管的情况发生。</w:t>
      </w:r>
    </w:p>
    <w:p w14:paraId="2B4522E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 4 款 ，通过透水铺装实现雨水下渗，是消减径流和径流污染、涵养地下水的重要途径之一。</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硬质铺装地面</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指场地中停车场、道路和室外活动场地等，不包括建筑占地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屋面</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、绿地、水面、有大荷载要求的消防车道、展览馆的室外展区等。</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透水铺装</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指既能满足路用及铺地强度和耐久性要求，又能使雨水通过本身与铺装下基层相通的渗水路径直接渗入下部土壤的地面铺 装系统，包括采用透水铺装方式或使用植草砖、透水沥青、透水混凝土、透水地砖等透水铺装材料，当透水铺装下为地下室顶板时，若地下室顶板设有疏水板及导水管等可将渗透雨水导入与地下室顶板接壤的实土，或地下室顶板上覆土深度能满足当地园林绿化部门要求时，仍可认定其为透水铺装地面，但覆土深度不得小于600mm。评价时以场地硬质铺装地面中透水铺装所占的面 积比例为依据。申报材料中应提供场地铺装图，要求明确透水铺装地面位置、面积、铺装材料和透水铺装方式。</w:t>
      </w:r>
    </w:p>
    <w:p w14:paraId="337F8D0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含总平面图、景观设计图、室外雨水排水平面图、汇水分区平面图等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计算书</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含设施的规模、汇入雨水量、设施滞蓄和入渗雨水的能力，下凹式绿地等的比例、屋面、场地雨水进入地面生态设施的比例、透水铺装面积比例等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；评价查阅相关竣工图、计算书。</w:t>
      </w:r>
    </w:p>
    <w:p w14:paraId="7A1301B2">
      <w:pPr>
        <w:pStyle w:val="4"/>
        <w:spacing w:before="62" w:beforeLines="20" w:after="62" w:afterLines="20" w:line="360" w:lineRule="auto"/>
        <w:jc w:val="center"/>
        <w:rPr>
          <w:rFonts w:hint="default" w:ascii="Times New Roman" w:hAnsi="Times New Roman" w:cs="Times New Roman"/>
          <w:color w:val="000000" w:themeColor="text1"/>
          <w:sz w:val="24"/>
          <w:szCs w:val="24"/>
          <w:u w:val="none"/>
          <w:lang w:eastAsia="zh-CN"/>
          <w14:textFill>
            <w14:solidFill>
              <w14:schemeClr w14:val="tx1"/>
            </w14:solidFill>
          </w14:textFill>
        </w:rPr>
      </w:pPr>
      <w:bookmarkStart w:id="222" w:name="_Toc31370"/>
      <w:bookmarkStart w:id="223" w:name="_Toc204247772"/>
      <w:r>
        <w:rPr>
          <w:rFonts w:hint="default" w:ascii="Times New Roman" w:hAnsi="Times New Roman" w:cs="Times New Roman"/>
          <w:color w:val="000000" w:themeColor="text1"/>
          <w:sz w:val="24"/>
          <w:szCs w:val="24"/>
          <w:u w:val="none"/>
          <w:lang w:eastAsia="zh-CN"/>
          <w14:textFill>
            <w14:solidFill>
              <w14:schemeClr w14:val="tx1"/>
            </w14:solidFill>
          </w14:textFill>
        </w:rPr>
        <w:t>Ⅱ 室外物理环境</w:t>
      </w:r>
      <w:bookmarkEnd w:id="222"/>
      <w:bookmarkEnd w:id="223"/>
    </w:p>
    <w:p w14:paraId="50B43B47">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8.2.6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46C6C9B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国家标准《声环境质量标准》GB3096-2008中对各类声环境功能区的环境噪声等效声级限值进行了规定，见表5。</w:t>
      </w:r>
    </w:p>
    <w:p w14:paraId="365956BD">
      <w:pPr>
        <w:spacing w:line="360" w:lineRule="auto"/>
        <w:jc w:val="center"/>
        <w:rPr>
          <w:rFonts w:hint="default" w:ascii="Times New Roman" w:hAnsi="Times New Roman" w:cs="Times New Roman" w:eastAsiaTheme="minorEastAsia"/>
          <w:b/>
          <w:color w:val="000000" w:themeColor="text1"/>
          <w:spacing w:val="-7"/>
          <w:szCs w:val="21"/>
          <w:u w:val="none"/>
          <w:lang w:eastAsia="zh-CN"/>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 xml:space="preserve">表5 </w:t>
      </w:r>
      <w:r>
        <w:rPr>
          <w:rFonts w:hint="default" w:ascii="Times New Roman" w:hAnsi="Times New Roman" w:cs="Times New Roman"/>
          <w:b/>
          <w:color w:val="000000" w:themeColor="text1"/>
          <w:spacing w:val="-7"/>
          <w:szCs w:val="21"/>
          <w:u w:val="none"/>
          <w:lang w:val="en-US" w:eastAsia="zh-CN"/>
          <w14:textFill>
            <w14:solidFill>
              <w14:schemeClr w14:val="tx1"/>
            </w14:solidFill>
          </w14:textFill>
        </w:rPr>
        <w:t xml:space="preserve"> </w:t>
      </w:r>
      <w:r>
        <w:rPr>
          <w:rFonts w:hint="default" w:ascii="Times New Roman" w:hAnsi="Times New Roman" w:cs="Times New Roman"/>
          <w:b/>
          <w:color w:val="000000" w:themeColor="text1"/>
          <w:spacing w:val="-7"/>
          <w:szCs w:val="21"/>
          <w:u w:val="none"/>
          <w14:textFill>
            <w14:solidFill>
              <w14:schemeClr w14:val="tx1"/>
            </w14:solidFill>
          </w14:textFill>
        </w:rPr>
        <w:t>各类声环境功能区的环境噪声等效声级限值</w:t>
      </w:r>
      <w:r>
        <w:rPr>
          <w:rFonts w:hint="default" w:ascii="Times New Roman" w:hAnsi="Times New Roman" w:cs="Times New Roman"/>
          <w:b/>
          <w:color w:val="000000" w:themeColor="text1"/>
          <w:spacing w:val="-7"/>
          <w:szCs w:val="21"/>
          <w:u w:val="none"/>
          <w:lang w:eastAsia="zh-CN"/>
          <w14:textFill>
            <w14:solidFill>
              <w14:schemeClr w14:val="tx1"/>
            </w14:solidFill>
          </w14:textFill>
        </w:rPr>
        <w:t>（</w:t>
      </w:r>
      <w:r>
        <w:rPr>
          <w:rFonts w:hint="default" w:ascii="Times New Roman" w:hAnsi="Times New Roman" w:cs="Times New Roman"/>
          <w:b/>
          <w:color w:val="000000" w:themeColor="text1"/>
          <w:spacing w:val="-7"/>
          <w:szCs w:val="21"/>
          <w:u w:val="none"/>
          <w14:textFill>
            <w14:solidFill>
              <w14:schemeClr w14:val="tx1"/>
            </w14:solidFill>
          </w14:textFill>
        </w:rPr>
        <w:t>dB</w:t>
      </w:r>
      <w:r>
        <w:rPr>
          <w:rFonts w:hint="default" w:ascii="Times New Roman" w:hAnsi="Times New Roman" w:cs="Times New Roman"/>
          <w:b/>
          <w:color w:val="000000" w:themeColor="text1"/>
          <w:spacing w:val="-7"/>
          <w:szCs w:val="21"/>
          <w:u w:val="none"/>
          <w:lang w:eastAsia="zh-CN"/>
          <w14:textFill>
            <w14:solidFill>
              <w14:schemeClr w14:val="tx1"/>
            </w14:solidFill>
          </w14:textFill>
        </w:rPr>
        <w:t>（</w:t>
      </w:r>
      <w:r>
        <w:rPr>
          <w:rFonts w:hint="default" w:ascii="Times New Roman" w:hAnsi="Times New Roman" w:cs="Times New Roman"/>
          <w:b/>
          <w:color w:val="000000" w:themeColor="text1"/>
          <w:spacing w:val="-7"/>
          <w:szCs w:val="21"/>
          <w:u w:val="none"/>
          <w14:textFill>
            <w14:solidFill>
              <w14:schemeClr w14:val="tx1"/>
            </w14:solidFill>
          </w14:textFill>
        </w:rPr>
        <w:t>A</w:t>
      </w:r>
      <w:r>
        <w:rPr>
          <w:rFonts w:hint="default" w:ascii="Times New Roman" w:hAnsi="Times New Roman" w:cs="Times New Roman"/>
          <w:b/>
          <w:color w:val="000000" w:themeColor="text1"/>
          <w:spacing w:val="-7"/>
          <w:szCs w:val="21"/>
          <w:u w:val="none"/>
          <w:lang w:eastAsia="zh-CN"/>
          <w14:textFill>
            <w14:solidFill>
              <w14:schemeClr w14:val="tx1"/>
            </w14:solidFill>
          </w14:textFill>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CD5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0" w:type="dxa"/>
            <w:gridSpan w:val="2"/>
            <w:vMerge w:val="restart"/>
            <w:vAlign w:val="center"/>
          </w:tcPr>
          <w:p w14:paraId="0CB7300E">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cs="Times New Roman"/>
                <w:spacing w:val="1"/>
                <w:sz w:val="21"/>
                <w:szCs w:val="21"/>
                <w:u w:val="none"/>
              </w:rPr>
              <w:t>声环境功能区类别</w:t>
            </w:r>
          </w:p>
        </w:tc>
        <w:tc>
          <w:tcPr>
            <w:tcW w:w="4420" w:type="dxa"/>
            <w:gridSpan w:val="2"/>
            <w:vAlign w:val="center"/>
          </w:tcPr>
          <w:p w14:paraId="6038B83B">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时段</w:t>
            </w:r>
          </w:p>
        </w:tc>
      </w:tr>
      <w:tr w14:paraId="5019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0" w:type="dxa"/>
            <w:gridSpan w:val="2"/>
            <w:vMerge w:val="continue"/>
            <w:vAlign w:val="center"/>
          </w:tcPr>
          <w:p w14:paraId="111501EE">
            <w:pPr>
              <w:spacing w:before="64" w:line="360" w:lineRule="auto"/>
              <w:ind w:right="80"/>
              <w:jc w:val="center"/>
              <w:rPr>
                <w:rFonts w:hint="default" w:ascii="Times New Roman" w:hAnsi="Times New Roman" w:eastAsia="宋体" w:cs="Times New Roman"/>
                <w:spacing w:val="-12"/>
                <w:sz w:val="21"/>
                <w:szCs w:val="21"/>
                <w:u w:val="none"/>
              </w:rPr>
            </w:pPr>
          </w:p>
        </w:tc>
        <w:tc>
          <w:tcPr>
            <w:tcW w:w="2210" w:type="dxa"/>
            <w:vAlign w:val="center"/>
          </w:tcPr>
          <w:p w14:paraId="5CAA004E">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昼间</w:t>
            </w:r>
          </w:p>
        </w:tc>
        <w:tc>
          <w:tcPr>
            <w:tcW w:w="2210" w:type="dxa"/>
            <w:vAlign w:val="center"/>
          </w:tcPr>
          <w:p w14:paraId="3547E0CB">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夜间</w:t>
            </w:r>
          </w:p>
        </w:tc>
      </w:tr>
      <w:tr w14:paraId="353D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0" w:type="dxa"/>
            <w:gridSpan w:val="2"/>
            <w:vAlign w:val="center"/>
          </w:tcPr>
          <w:p w14:paraId="4E16EC10">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0类</w:t>
            </w:r>
          </w:p>
        </w:tc>
        <w:tc>
          <w:tcPr>
            <w:tcW w:w="2210" w:type="dxa"/>
            <w:vAlign w:val="center"/>
          </w:tcPr>
          <w:p w14:paraId="67789866">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50</w:t>
            </w:r>
          </w:p>
        </w:tc>
        <w:tc>
          <w:tcPr>
            <w:tcW w:w="2210" w:type="dxa"/>
            <w:vAlign w:val="center"/>
          </w:tcPr>
          <w:p w14:paraId="53E0B7D5">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40</w:t>
            </w:r>
          </w:p>
        </w:tc>
      </w:tr>
      <w:tr w14:paraId="7A7C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0" w:type="dxa"/>
            <w:gridSpan w:val="2"/>
            <w:vAlign w:val="center"/>
          </w:tcPr>
          <w:p w14:paraId="0A9896F3">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1类</w:t>
            </w:r>
          </w:p>
        </w:tc>
        <w:tc>
          <w:tcPr>
            <w:tcW w:w="2210" w:type="dxa"/>
            <w:vAlign w:val="center"/>
          </w:tcPr>
          <w:p w14:paraId="4BC9A205">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55</w:t>
            </w:r>
          </w:p>
        </w:tc>
        <w:tc>
          <w:tcPr>
            <w:tcW w:w="2210" w:type="dxa"/>
            <w:vAlign w:val="center"/>
          </w:tcPr>
          <w:p w14:paraId="118CADC6">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45</w:t>
            </w:r>
          </w:p>
        </w:tc>
      </w:tr>
      <w:tr w14:paraId="14C3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0" w:type="dxa"/>
            <w:gridSpan w:val="2"/>
            <w:vAlign w:val="center"/>
          </w:tcPr>
          <w:p w14:paraId="523A6A08">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2类</w:t>
            </w:r>
          </w:p>
        </w:tc>
        <w:tc>
          <w:tcPr>
            <w:tcW w:w="2210" w:type="dxa"/>
            <w:vAlign w:val="center"/>
          </w:tcPr>
          <w:p w14:paraId="709C08F4">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60</w:t>
            </w:r>
          </w:p>
        </w:tc>
        <w:tc>
          <w:tcPr>
            <w:tcW w:w="2210" w:type="dxa"/>
            <w:vAlign w:val="center"/>
          </w:tcPr>
          <w:p w14:paraId="3DF78EEC">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50</w:t>
            </w:r>
          </w:p>
        </w:tc>
      </w:tr>
      <w:tr w14:paraId="1AB1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0" w:type="dxa"/>
            <w:gridSpan w:val="2"/>
            <w:vAlign w:val="center"/>
          </w:tcPr>
          <w:p w14:paraId="711485B8">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3类</w:t>
            </w:r>
          </w:p>
        </w:tc>
        <w:tc>
          <w:tcPr>
            <w:tcW w:w="2210" w:type="dxa"/>
            <w:vAlign w:val="center"/>
          </w:tcPr>
          <w:p w14:paraId="333FC601">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65</w:t>
            </w:r>
          </w:p>
        </w:tc>
        <w:tc>
          <w:tcPr>
            <w:tcW w:w="2210" w:type="dxa"/>
            <w:vAlign w:val="center"/>
          </w:tcPr>
          <w:p w14:paraId="636E03BC">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55</w:t>
            </w:r>
          </w:p>
        </w:tc>
      </w:tr>
      <w:tr w14:paraId="14C7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Merge w:val="restart"/>
            <w:vAlign w:val="center"/>
          </w:tcPr>
          <w:p w14:paraId="609D55C2">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4类</w:t>
            </w:r>
          </w:p>
        </w:tc>
        <w:tc>
          <w:tcPr>
            <w:tcW w:w="2210" w:type="dxa"/>
            <w:vAlign w:val="center"/>
          </w:tcPr>
          <w:p w14:paraId="1D2F7075">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4a类</w:t>
            </w:r>
          </w:p>
        </w:tc>
        <w:tc>
          <w:tcPr>
            <w:tcW w:w="2210" w:type="dxa"/>
            <w:vAlign w:val="center"/>
          </w:tcPr>
          <w:p w14:paraId="13443B3D">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70</w:t>
            </w:r>
          </w:p>
        </w:tc>
        <w:tc>
          <w:tcPr>
            <w:tcW w:w="2210" w:type="dxa"/>
            <w:vAlign w:val="center"/>
          </w:tcPr>
          <w:p w14:paraId="6447ED3A">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55</w:t>
            </w:r>
          </w:p>
        </w:tc>
      </w:tr>
      <w:tr w14:paraId="2BCC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Merge w:val="continue"/>
            <w:vAlign w:val="center"/>
          </w:tcPr>
          <w:p w14:paraId="5782DA0D">
            <w:pPr>
              <w:spacing w:before="64" w:line="360" w:lineRule="auto"/>
              <w:ind w:right="80"/>
              <w:jc w:val="center"/>
              <w:rPr>
                <w:rFonts w:hint="default" w:ascii="Times New Roman" w:hAnsi="Times New Roman" w:eastAsia="宋体" w:cs="Times New Roman"/>
                <w:spacing w:val="-12"/>
                <w:sz w:val="21"/>
                <w:szCs w:val="21"/>
                <w:u w:val="none"/>
              </w:rPr>
            </w:pPr>
          </w:p>
        </w:tc>
        <w:tc>
          <w:tcPr>
            <w:tcW w:w="2210" w:type="dxa"/>
            <w:vAlign w:val="center"/>
          </w:tcPr>
          <w:p w14:paraId="1A1C652D">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4b类</w:t>
            </w:r>
          </w:p>
        </w:tc>
        <w:tc>
          <w:tcPr>
            <w:tcW w:w="2210" w:type="dxa"/>
            <w:vAlign w:val="center"/>
          </w:tcPr>
          <w:p w14:paraId="69313BA8">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70</w:t>
            </w:r>
          </w:p>
        </w:tc>
        <w:tc>
          <w:tcPr>
            <w:tcW w:w="2210" w:type="dxa"/>
            <w:vAlign w:val="center"/>
          </w:tcPr>
          <w:p w14:paraId="764B3AAD">
            <w:pPr>
              <w:spacing w:before="64" w:line="360" w:lineRule="auto"/>
              <w:ind w:right="80"/>
              <w:jc w:val="center"/>
              <w:rPr>
                <w:rFonts w:hint="default" w:ascii="Times New Roman" w:hAnsi="Times New Roman" w:eastAsia="宋体" w:cs="Times New Roman"/>
                <w:spacing w:val="-12"/>
                <w:sz w:val="21"/>
                <w:szCs w:val="21"/>
                <w:u w:val="none"/>
              </w:rPr>
            </w:pPr>
            <w:r>
              <w:rPr>
                <w:rFonts w:hint="default" w:ascii="Times New Roman" w:hAnsi="Times New Roman" w:eastAsia="宋体" w:cs="Times New Roman"/>
                <w:spacing w:val="-12"/>
                <w:sz w:val="21"/>
                <w:szCs w:val="21"/>
                <w:u w:val="none"/>
              </w:rPr>
              <w:t>60</w:t>
            </w:r>
          </w:p>
        </w:tc>
      </w:tr>
    </w:tbl>
    <w:p w14:paraId="60EF6CF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本条的得分取决于两方面，一是建设场地所处的声功能环境区类别，二是项目建成后的场地环境噪声。若建成后的场地声环 境噪声不高于原本所处声环境功能区限值，那么按所处功能区类别进行评分；若建成后的场地声环境噪声高于原本的声环境功能 区限值，那么本条不得分。举例说明：</w:t>
      </w:r>
    </w:p>
    <w:p w14:paraId="5FCB344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假如项目场地原本处于1类声环境功能区，如果项目建成后的场地环境噪声昼间大于55dB</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或夜间实测值大于 45dB</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那么即使满足本条第2款的要求，也只能得0分。对于原本处于2类声环境功能区的项目场地，亦按此原则进行评分。即对于处于1类和2类声环境功能区的场地，其环境噪声评分，要么是10分，要么是0分。 </w:t>
      </w:r>
    </w:p>
    <w:p w14:paraId="41C1DC9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2</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假如项目场地原本处于3类和4类声环境功能区，若项目建成后的场地环境噪声值昼间不大于60dB</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且夜间不大 于50dB</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本条可得10分；若昼间不大于65dB</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且夜间不大于55 dB</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本条可得5分。  </w:t>
      </w:r>
    </w:p>
    <w:p w14:paraId="02C6FEB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本条可以通过合理选址规划来实现高分值的评分，也可以通过设置隔声屏障、植物防护等方式进行降噪处理，从而得到相应分值。有研究表明，10m左右宽的乔木林可实现噪声5dB</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的降低。</w:t>
      </w:r>
    </w:p>
    <w:p w14:paraId="6D7A487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本条的评价方法为：预评价查阅环评报告</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含有噪声检测及预测评价或独立的环境噪声影响测试评估报告</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、相关设计文件、声环境优化报告；评价查阅相关竣工图、声环境检测报告。</w:t>
      </w:r>
    </w:p>
    <w:p w14:paraId="016B8909">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8.2.7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本条适用于各类民用建筑的预评价、评价。对于未设置室外照明及室外显示屏的建筑项目或者相邻建筑为非住宅建筑的项目，第1款直接得分；未设置室外显示屏的建筑项目，第2 款直接得分。</w:t>
      </w:r>
    </w:p>
    <w:p w14:paraId="787C95F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强制性工程建设规范《建筑环境通用规范》GB 55016-2021的第3.4节对室外照明作出了规定。参评建筑项目在满足该规范的基础上，若在室外照明和室外显示屏等方面达到更好的结果，那么就可以获得相应的得分。</w:t>
      </w:r>
    </w:p>
    <w:p w14:paraId="4ABFF32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条文中的环境区域划分依据国家标准《室外照明于扰光限制 规范》GB/T 35626-2017和行业标准《城市夜景照明设计规 范》JGJ/T 163-2008</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具体见新增表5。</w:t>
      </w:r>
    </w:p>
    <w:p w14:paraId="2BC5383E">
      <w:pPr>
        <w:spacing w:line="360" w:lineRule="auto"/>
        <w:jc w:val="center"/>
        <w:rPr>
          <w:rFonts w:hint="default" w:ascii="Times New Roman" w:hAnsi="Times New Roman" w:cs="Times New Roman"/>
          <w:b/>
          <w:color w:val="000000" w:themeColor="text1"/>
          <w:spacing w:val="-7"/>
          <w:szCs w:val="21"/>
          <w:u w:val="none"/>
          <w14:textFill>
            <w14:solidFill>
              <w14:schemeClr w14:val="tx1"/>
            </w14:solidFill>
          </w14:textFill>
        </w:rPr>
      </w:pPr>
      <w:r>
        <w:rPr>
          <w:rFonts w:hint="default" w:ascii="Times New Roman" w:hAnsi="Times New Roman" w:cs="Times New Roman"/>
          <w:b/>
          <w:color w:val="000000" w:themeColor="text1"/>
          <w:spacing w:val="-7"/>
          <w:szCs w:val="21"/>
          <w:u w:val="none"/>
          <w14:textFill>
            <w14:solidFill>
              <w14:schemeClr w14:val="tx1"/>
            </w14:solidFill>
          </w14:textFill>
        </w:rPr>
        <w:t>新增表5</w:t>
      </w:r>
      <w:r>
        <w:rPr>
          <w:rFonts w:hint="default" w:ascii="Times New Roman" w:hAnsi="Times New Roman" w:cs="Times New Roman"/>
          <w:b/>
          <w:color w:val="000000" w:themeColor="text1"/>
          <w:spacing w:val="-7"/>
          <w:szCs w:val="21"/>
          <w:u w:val="none"/>
          <w:lang w:val="en-US" w:eastAsia="zh-CN"/>
          <w14:textFill>
            <w14:solidFill>
              <w14:schemeClr w14:val="tx1"/>
            </w14:solidFill>
          </w14:textFill>
        </w:rPr>
        <w:t xml:space="preserve">  </w:t>
      </w:r>
      <w:r>
        <w:rPr>
          <w:rFonts w:hint="default" w:ascii="Times New Roman" w:hAnsi="Times New Roman" w:cs="Times New Roman"/>
          <w:b/>
          <w:color w:val="000000" w:themeColor="text1"/>
          <w:spacing w:val="-7"/>
          <w:szCs w:val="21"/>
          <w:u w:val="none"/>
          <w14:textFill>
            <w14:solidFill>
              <w14:schemeClr w14:val="tx1"/>
            </w14:solidFill>
          </w14:textFill>
        </w:rPr>
        <w:t>城市环境亮度的区域划分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12"/>
        <w:gridCol w:w="1696"/>
        <w:gridCol w:w="1708"/>
        <w:gridCol w:w="1703"/>
      </w:tblGrid>
      <w:tr w14:paraId="6122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center"/>
          </w:tcPr>
          <w:p w14:paraId="1CDCF276">
            <w:pPr>
              <w:spacing w:line="360" w:lineRule="auto"/>
              <w:ind w:right="143"/>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环境高度类型</w:t>
            </w:r>
          </w:p>
        </w:tc>
        <w:tc>
          <w:tcPr>
            <w:tcW w:w="1768" w:type="dxa"/>
            <w:vAlign w:val="center"/>
          </w:tcPr>
          <w:p w14:paraId="2E22396C">
            <w:pPr>
              <w:spacing w:line="360" w:lineRule="auto"/>
              <w:ind w:right="143"/>
              <w:jc w:val="center"/>
              <w:rPr>
                <w:rFonts w:hint="default" w:ascii="Times New Roman" w:hAnsi="Times New Roman" w:eastAsia="宋体" w:cs="Times New Roman"/>
                <w:sz w:val="21"/>
                <w:szCs w:val="21"/>
                <w:u w:val="none"/>
              </w:rPr>
            </w:pPr>
            <w:r>
              <w:rPr>
                <w:rFonts w:hint="default" w:ascii="Times New Roman" w:hAnsi="Times New Roman" w:cs="Times New Roman"/>
                <w:spacing w:val="-1"/>
                <w:sz w:val="21"/>
                <w:szCs w:val="21"/>
                <w:u w:val="none"/>
              </w:rPr>
              <w:t>严格控制照明区域</w:t>
            </w:r>
          </w:p>
        </w:tc>
        <w:tc>
          <w:tcPr>
            <w:tcW w:w="1768" w:type="dxa"/>
            <w:vAlign w:val="center"/>
          </w:tcPr>
          <w:p w14:paraId="351BE3BB">
            <w:pPr>
              <w:pStyle w:val="24"/>
              <w:spacing w:before="71"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低亮度区域</w:t>
            </w:r>
          </w:p>
        </w:tc>
        <w:tc>
          <w:tcPr>
            <w:tcW w:w="1768" w:type="dxa"/>
            <w:vAlign w:val="center"/>
          </w:tcPr>
          <w:p w14:paraId="6E669CEB">
            <w:pPr>
              <w:pStyle w:val="24"/>
              <w:spacing w:before="71"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中等亮度区域</w:t>
            </w:r>
          </w:p>
        </w:tc>
        <w:tc>
          <w:tcPr>
            <w:tcW w:w="1768" w:type="dxa"/>
            <w:vAlign w:val="center"/>
          </w:tcPr>
          <w:p w14:paraId="72071E58">
            <w:pPr>
              <w:pStyle w:val="24"/>
              <w:spacing w:before="71"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高亮度区域</w:t>
            </w:r>
          </w:p>
        </w:tc>
      </w:tr>
      <w:tr w14:paraId="0DD5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center"/>
          </w:tcPr>
          <w:p w14:paraId="7878F92D">
            <w:pPr>
              <w:spacing w:line="360" w:lineRule="auto"/>
              <w:ind w:right="143"/>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区域代号</w:t>
            </w:r>
          </w:p>
        </w:tc>
        <w:tc>
          <w:tcPr>
            <w:tcW w:w="1768" w:type="dxa"/>
            <w:vAlign w:val="center"/>
          </w:tcPr>
          <w:p w14:paraId="324E940D">
            <w:pPr>
              <w:pStyle w:val="24"/>
              <w:spacing w:before="119"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E1</w:t>
            </w:r>
          </w:p>
        </w:tc>
        <w:tc>
          <w:tcPr>
            <w:tcW w:w="1768" w:type="dxa"/>
            <w:vAlign w:val="center"/>
          </w:tcPr>
          <w:p w14:paraId="53AEB677">
            <w:pPr>
              <w:pStyle w:val="24"/>
              <w:spacing w:before="120"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E2</w:t>
            </w:r>
          </w:p>
        </w:tc>
        <w:tc>
          <w:tcPr>
            <w:tcW w:w="1768" w:type="dxa"/>
            <w:vAlign w:val="center"/>
          </w:tcPr>
          <w:p w14:paraId="40C78A0F">
            <w:pPr>
              <w:pStyle w:val="24"/>
              <w:spacing w:before="120"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E3</w:t>
            </w:r>
          </w:p>
        </w:tc>
        <w:tc>
          <w:tcPr>
            <w:tcW w:w="1768" w:type="dxa"/>
            <w:vAlign w:val="center"/>
          </w:tcPr>
          <w:p w14:paraId="3A8E56C6">
            <w:pPr>
              <w:pStyle w:val="24"/>
              <w:spacing w:before="120" w:line="360" w:lineRule="auto"/>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E4</w:t>
            </w:r>
          </w:p>
        </w:tc>
      </w:tr>
      <w:tr w14:paraId="1AC9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center"/>
          </w:tcPr>
          <w:p w14:paraId="7831AB8E">
            <w:pPr>
              <w:spacing w:line="360" w:lineRule="auto"/>
              <w:ind w:right="143"/>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对应区域</w:t>
            </w:r>
          </w:p>
        </w:tc>
        <w:tc>
          <w:tcPr>
            <w:tcW w:w="1768" w:type="dxa"/>
            <w:vAlign w:val="center"/>
          </w:tcPr>
          <w:p w14:paraId="502B52EC">
            <w:pPr>
              <w:pStyle w:val="24"/>
              <w:spacing w:before="101" w:line="360" w:lineRule="auto"/>
              <w:ind w:right="301"/>
              <w:jc w:val="center"/>
              <w:rPr>
                <w:rFonts w:hint="default" w:ascii="Times New Roman" w:hAnsi="Times New Roman" w:cs="Times New Roman"/>
                <w:sz w:val="21"/>
                <w:szCs w:val="21"/>
                <w:u w:val="none"/>
              </w:rPr>
            </w:pPr>
            <w:r>
              <w:rPr>
                <w:rFonts w:hint="default" w:ascii="Times New Roman" w:hAnsi="Times New Roman" w:cs="Times New Roman"/>
                <w:spacing w:val="3"/>
                <w:sz w:val="21"/>
                <w:szCs w:val="21"/>
                <w:u w:val="none"/>
              </w:rPr>
              <w:t>森林公园</w:t>
            </w:r>
            <w:r>
              <w:rPr>
                <w:rFonts w:hint="default" w:ascii="Times New Roman" w:hAnsi="Times New Roman" w:cs="Times New Roman"/>
                <w:spacing w:val="2"/>
                <w:sz w:val="21"/>
                <w:szCs w:val="21"/>
                <w:u w:val="none"/>
              </w:rPr>
              <w:t>自然保护区</w:t>
            </w:r>
          </w:p>
        </w:tc>
        <w:tc>
          <w:tcPr>
            <w:tcW w:w="1768" w:type="dxa"/>
            <w:vAlign w:val="center"/>
          </w:tcPr>
          <w:p w14:paraId="1C17FD13">
            <w:pPr>
              <w:pStyle w:val="24"/>
              <w:spacing w:before="242" w:line="360" w:lineRule="auto"/>
              <w:jc w:val="center"/>
              <w:rPr>
                <w:rFonts w:hint="default" w:ascii="Times New Roman" w:hAnsi="Times New Roman" w:cs="Times New Roman"/>
                <w:sz w:val="21"/>
                <w:szCs w:val="21"/>
                <w:u w:val="none"/>
              </w:rPr>
            </w:pPr>
            <w:r>
              <w:rPr>
                <w:rFonts w:hint="default" w:ascii="Times New Roman" w:hAnsi="Times New Roman" w:cs="Times New Roman"/>
                <w:spacing w:val="-1"/>
                <w:sz w:val="21"/>
                <w:szCs w:val="21"/>
                <w:u w:val="none"/>
              </w:rPr>
              <w:t>城郊居住区</w:t>
            </w:r>
          </w:p>
        </w:tc>
        <w:tc>
          <w:tcPr>
            <w:tcW w:w="1768" w:type="dxa"/>
            <w:vAlign w:val="center"/>
          </w:tcPr>
          <w:p w14:paraId="7853CEEA">
            <w:pPr>
              <w:pStyle w:val="24"/>
              <w:spacing w:before="101" w:line="360" w:lineRule="auto"/>
              <w:ind w:left="155" w:right="77" w:hanging="79"/>
              <w:jc w:val="center"/>
              <w:rPr>
                <w:rFonts w:hint="default" w:ascii="Times New Roman" w:hAnsi="Times New Roman" w:cs="Times New Roman"/>
                <w:sz w:val="21"/>
                <w:szCs w:val="21"/>
                <w:u w:val="none"/>
                <w:lang w:eastAsia="zh-CN"/>
              </w:rPr>
            </w:pPr>
            <w:r>
              <w:rPr>
                <w:rFonts w:hint="default" w:ascii="Times New Roman" w:hAnsi="Times New Roman" w:cs="Times New Roman"/>
                <w:spacing w:val="-2"/>
                <w:sz w:val="21"/>
                <w:szCs w:val="21"/>
                <w:u w:val="none"/>
                <w:lang w:eastAsia="zh-CN"/>
              </w:rPr>
              <w:t>城市居住区及</w:t>
            </w:r>
            <w:r>
              <w:rPr>
                <w:rFonts w:hint="default" w:ascii="Times New Roman" w:hAnsi="Times New Roman" w:cs="Times New Roman"/>
                <w:spacing w:val="4"/>
                <w:sz w:val="21"/>
                <w:szCs w:val="21"/>
                <w:u w:val="none"/>
                <w:lang w:eastAsia="zh-CN"/>
              </w:rPr>
              <w:t xml:space="preserve"> </w:t>
            </w:r>
            <w:r>
              <w:rPr>
                <w:rFonts w:hint="default" w:ascii="Times New Roman" w:hAnsi="Times New Roman" w:cs="Times New Roman"/>
                <w:spacing w:val="2"/>
                <w:sz w:val="21"/>
                <w:szCs w:val="21"/>
                <w:u w:val="none"/>
                <w:lang w:eastAsia="zh-CN"/>
              </w:rPr>
              <w:t>一般公共区</w:t>
            </w:r>
          </w:p>
        </w:tc>
        <w:tc>
          <w:tcPr>
            <w:tcW w:w="1768" w:type="dxa"/>
            <w:vAlign w:val="center"/>
          </w:tcPr>
          <w:p w14:paraId="3FE5BAB4">
            <w:pPr>
              <w:pStyle w:val="24"/>
              <w:spacing w:before="101" w:line="360" w:lineRule="auto"/>
              <w:ind w:right="120"/>
              <w:jc w:val="center"/>
              <w:rPr>
                <w:rFonts w:hint="default" w:ascii="Times New Roman" w:hAnsi="Times New Roman" w:cs="Times New Roman"/>
                <w:sz w:val="21"/>
                <w:szCs w:val="21"/>
                <w:u w:val="none"/>
              </w:rPr>
            </w:pPr>
            <w:r>
              <w:rPr>
                <w:rFonts w:hint="default" w:ascii="Times New Roman" w:hAnsi="Times New Roman" w:cs="Times New Roman"/>
                <w:spacing w:val="2"/>
                <w:sz w:val="21"/>
                <w:szCs w:val="21"/>
                <w:u w:val="none"/>
              </w:rPr>
              <w:t>城市中心区</w:t>
            </w:r>
            <w:r>
              <w:rPr>
                <w:rFonts w:hint="default" w:ascii="Times New Roman" w:hAnsi="Times New Roman" w:cs="Times New Roman"/>
                <w:spacing w:val="4"/>
                <w:sz w:val="21"/>
                <w:szCs w:val="21"/>
                <w:u w:val="none"/>
              </w:rPr>
              <w:t>商业区</w:t>
            </w:r>
          </w:p>
        </w:tc>
      </w:tr>
    </w:tbl>
    <w:p w14:paraId="72FCC4B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鉴于绝大部分建筑均建于E2～E4区域，因此本条在强制性工程建设规范《建筑环境通用规范》GB 55016-2021的基础上，对建于这三个区域的建筑给出了更高的得分要求。</w:t>
      </w:r>
    </w:p>
    <w:p w14:paraId="007292A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条文中的</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居住空间</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包括住宅的卧室、起居室、宿舍、旅馆的客房等。</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建筑室外</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的边界是指参评项目建设场地范围内，建设场地之外不在本条的评价范围内。</w:t>
      </w:r>
    </w:p>
    <w:p w14:paraId="3FFC742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当参评建筑为公共建筑，且其周围建筑有住宅、宿舍或旅馆时，需要评估参评建筑的室外照明及室外显示屏对周围居住空间的影响。当参评建筑为公共建筑，且其周围建筑均为公共建筑时，可直接得分。</w:t>
      </w:r>
    </w:p>
    <w:p w14:paraId="2AE7A76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当参评建筑为住宅建筑时，需要评估其室外照明及室外显示屏对自身和周边居住空间的影响。</w:t>
      </w:r>
    </w:p>
    <w:p w14:paraId="5153402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本条的评价方法为：预评价查阅相关设计文件、光污染分析报告；评价查阅相关竣工图、光污染分析报告；设有夜景照明时，查阅居住空间户外表面垂直照度检测报告；建筑室外设置显 示屏时，查询显示屏表面亮度检测报告。</w:t>
      </w:r>
    </w:p>
    <w:p w14:paraId="7924B7D7">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8.2.8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本条适用于各类民用建筑的预评价、评价。若只有一排建筑，本条第1款的第二项可直接得分。对于半下沉室外空间，本条也需要进行评价。</w:t>
      </w:r>
    </w:p>
    <w:p w14:paraId="3F39165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本条在本标准2014年版第4.2.6条基础上发展而来。本条人行区是指区域范围内功能或主要功能可供行人通行和停留的场所。冬季建筑物周围人行区距地1.5m 高处风速小于5m/s 是不影响人们正常室外活动的基本要求。建筑的迎风面与背风面风压 差不超过5Pa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可以减少冷风向室内渗透。</w:t>
      </w:r>
    </w:p>
    <w:p w14:paraId="7BB1911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夏季、过渡季通风不畅在某些区域形成无风区或涡旋区，将影响室外散热和污染物消散。外窗室内外表面的风压差达到 0.5Pa有利于建筑的自然通风。</w:t>
      </w:r>
    </w:p>
    <w:p w14:paraId="2F85AB8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利用计算流体动力学</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CFD</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手段对不同季节典型风向、风速可对建筑外风环境进行模拟，其中来流风速、风向为对应季节内出现频率最高的风向和平均风速，室外风环境模拟使用的气象参数建议依次按地方有关标准要求、现行行业标准《建筑节能气象参数标准》JGJ/T 346、现行国家标准《民用建筑供暖通风与空气调节设计规范》GB 50736、《中国建筑热环境分析专用气象数据集》的优先顺序取得风向风速资料，数据选用尽可能使用地区内的气象站过去十年内的代表性数据，也可以采用相关气象部门出具逐时气象数据，计算</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可开启外窗室内外表面的风压差</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可将建筑外窗室内表面风压默认为0Pa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可开启外窗的室外风压绝对值大于0.5Pa</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即可判定此外窗满足要求。</w:t>
      </w:r>
    </w:p>
    <w:p w14:paraId="435F4A2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室外风环境模拟应得到以下输出结果：</w:t>
      </w:r>
    </w:p>
    <w:p w14:paraId="75D65DC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1</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不同季节不同来流风速下，模拟得到场地内1.5m 高处的风速分布。</w:t>
      </w:r>
    </w:p>
    <w:p w14:paraId="3402733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2</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不同季节不同来流风速下，模拟得到冬季室外活动区的风速放大系数。</w:t>
      </w:r>
    </w:p>
    <w:p w14:paraId="263BAEF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3</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不同季节不同来流风速下，模拟得到建筑首层及以上典型楼层迎风面与背风面</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或主要开窗面</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表面的压力分布。</w:t>
      </w:r>
    </w:p>
    <w:p w14:paraId="0E4DB9C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对于不同季节，如果主导风向、风速不唯一</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可参考《实用供热空调设计手册》或当地气象局历史数据</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宜分析两种主导风向下的情况。</w:t>
      </w:r>
    </w:p>
    <w:p w14:paraId="7E9704B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本条的评价方法为：预评价查阅相关设计文件、风环境分析报告等；评价查阅相关竣工文件、风环境分析报告以及现场影像资料。</w:t>
      </w:r>
    </w:p>
    <w:p w14:paraId="1CD6311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8.2.9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64B3D60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热岛</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现象在夏季出现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不仅会使人们高温中暑的概率变大，同时还容易形成光化学烟雾污染，并增加建筑的空调能耗，给人们的生活和工作带来负面影响。室外硬质地面采用遮阴措施可有效降低室外活动场地和路面的地表温度，减少热岛效应，提高场地热舒适度。本条是对参评项目为降低热岛强度而采取的措施进行评分，不能用热岛强度模拟报告代替。</w:t>
      </w:r>
    </w:p>
    <w:p w14:paraId="796D056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第1款中的室外活动场地包括：步道、庭院、广场、游憩场 和非机动车停车场。不包括机动车道和机动车停车场，本款仅对建筑阴影区以外的户外活动场地提出要求，建筑阴影区为夏至日 8:00～16:00时段在4h 日照等时线内的区域。遮阴措施可以采用乔木以及花架、光伏车棚等。乔木遮阴面积按照成年乔木的树冠正投影面积计算；构筑物遮阴面积按照构筑物正投影面积计算。</w:t>
      </w:r>
    </w:p>
    <w:p w14:paraId="122BFF9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第2款对于建筑阴影区外的机动车道，如果种植行道树，其树冠可以起到很好的遮阴作用，从而降低热岛强度。</w:t>
      </w:r>
    </w:p>
    <w:p w14:paraId="3CF8A527">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第3款中屋面可采用高反射率涂料等面层，本款计算绿化屋面面积、设有太阳能集热板或光电板的水平投影面积、反射率高的屋面面积之和。</w:t>
      </w:r>
    </w:p>
    <w:p w14:paraId="6AE6D31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日照分析报告、场地遮阴比例计算报告、行道树遮阴路段长度计算报告、屋顶面积比例计算书；评价查阅相关竣工图、日照分析报告、场地遮阴比例计算报告、行道树遮阴路段长度计算报告、屋顶面积比例计算书、反射隔热涂料工程检测报告。</w:t>
      </w:r>
    </w:p>
    <w:p w14:paraId="2D28E3D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br w:type="page"/>
      </w:r>
    </w:p>
    <w:p w14:paraId="565176F5">
      <w:pPr>
        <w:pStyle w:val="2"/>
        <w:keepNext w:val="0"/>
        <w:keepLines w:val="0"/>
        <w:widowControl w:val="0"/>
        <w:kinsoku/>
        <w:adjustRightInd/>
        <w:snapToGrid/>
        <w:spacing w:before="156" w:beforeLines="50" w:after="156" w:afterLines="50" w:line="360" w:lineRule="auto"/>
        <w:jc w:val="center"/>
        <w:textAlignment w:val="auto"/>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pPr>
      <w:bookmarkStart w:id="224" w:name="_Toc204247773"/>
      <w:bookmarkStart w:id="225" w:name="_Toc23745"/>
      <w:r>
        <w:rPr>
          <w:rFonts w:hint="default" w:ascii="Times New Roman" w:hAnsi="Times New Roman" w:cs="Times New Roman"/>
          <w:snapToGrid/>
          <w:color w:val="000000" w:themeColor="text1"/>
          <w:kern w:val="0"/>
          <w:sz w:val="32"/>
          <w:szCs w:val="32"/>
          <w:u w:val="none"/>
          <w:lang w:val="zh-CN" w:eastAsia="zh-CN" w:bidi="zh-CN"/>
          <w14:textFill>
            <w14:solidFill>
              <w14:schemeClr w14:val="tx1"/>
            </w14:solidFill>
          </w14:textFill>
        </w:rPr>
        <w:t>9  提高与创新</w:t>
      </w:r>
      <w:bookmarkEnd w:id="224"/>
      <w:bookmarkEnd w:id="225"/>
    </w:p>
    <w:p w14:paraId="34DF874A">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226" w:name="_Toc204247774"/>
      <w:bookmarkStart w:id="227" w:name="_Toc27721"/>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9.1 一般规定</w:t>
      </w:r>
      <w:bookmarkEnd w:id="226"/>
      <w:bookmarkEnd w:id="227"/>
    </w:p>
    <w:p w14:paraId="66D4151D">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9.1.1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绿色建筑全寿命期内各环节和阶段，都有可能在技术、 产品选用和管理方式上进行性能提高和创新。为鼓励性能提高和创新，设置了相应的评价项目。比照</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控制项</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和</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评分项</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本标准中将此类评价项目称为</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加分项</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3EB1AC2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9.1.2</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加分项的评定结果为某得分值或不得分。考虑到与绿色建筑总得分要求的平衡，以及加分项对建筑绿色性能的贡献，本 标准对加分项附加得分作了不大于100分的限制。某些加分项是对前面章节中评分项的提高，符合条件时，加分项和相应评分项均可得分。</w:t>
      </w:r>
    </w:p>
    <w:p w14:paraId="7A076EDC">
      <w:pPr>
        <w:pStyle w:val="3"/>
        <w:keepNext w:val="0"/>
        <w:keepLines w:val="0"/>
        <w:widowControl w:val="0"/>
        <w:tabs>
          <w:tab w:val="left" w:pos="3731"/>
        </w:tabs>
        <w:kinsoku/>
        <w:adjustRightInd/>
        <w:snapToGrid/>
        <w:spacing w:before="156" w:beforeLines="50" w:after="0" w:line="360" w:lineRule="auto"/>
        <w:jc w:val="center"/>
        <w:textAlignment w:val="auto"/>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pPr>
      <w:bookmarkStart w:id="228" w:name="_Toc204247775"/>
      <w:bookmarkStart w:id="229" w:name="_Toc25303"/>
      <w:r>
        <w:rPr>
          <w:rFonts w:hint="default" w:ascii="Times New Roman" w:hAnsi="Times New Roman" w:cs="Times New Roman" w:eastAsiaTheme="minorEastAsia"/>
          <w:snapToGrid/>
          <w:color w:val="000000" w:themeColor="text1"/>
          <w:sz w:val="28"/>
          <w:szCs w:val="28"/>
          <w:u w:val="none"/>
          <w:lang w:val="zh-CN" w:eastAsia="zh-CN" w:bidi="zh-CN"/>
          <w14:textFill>
            <w14:solidFill>
              <w14:schemeClr w14:val="tx1"/>
            </w14:solidFill>
          </w14:textFill>
        </w:rPr>
        <w:t>9.2 加分项</w:t>
      </w:r>
      <w:bookmarkEnd w:id="228"/>
      <w:bookmarkEnd w:id="229"/>
    </w:p>
    <w:p w14:paraId="11E01BF6">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9.2.1</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356C1B2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鼓励项目根据所在地的气候、资源特点，在本标准第 7.2.4条和第7.2.8条的基础上，通过进一步提升建筑围护结构热工性能、提高供暖空调设备系统能效，以最少的供暖空调能源消耗提供舒适室内环境。本条可与本标准第7.2.4、7.2.8条同时得分。</w:t>
      </w:r>
    </w:p>
    <w:p w14:paraId="134352B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与本标准第7.2.8条类似，实际建筑供暖空调系统的能耗应与现行强制性工程建设规范《建筑节能与可再生能源利用通用规范》GB 55015的规定进行比较。对于住宅建筑，可对比强制性工程建设规范《建筑节能与可再生能源利用通用规范》GB 55015-2021附录A.0.1的供暖供冷平均能耗指标；对于类型功 能复杂、系统形式差别较大的公共建筑，则既可对比按强制性工程建设规范《建筑节能与可再生能源利用通用规范》GB 55015- 2021附录C规定的标准工况下计算参照建筑供暖供冷能耗，也可对比按现行行业标准《民用建筑绿色性能计算标准》JGJ/T 449计算的参照建筑供暖空调能耗。</w:t>
      </w:r>
    </w:p>
    <w:p w14:paraId="11A738C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围护结构施工详图、暖通空调等专业施工图及相关设计说明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、节能计算书、建筑暖通空调系统能耗节能率分析报告；评价查阅相关竣工图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围护结构施工详图、暖通空调等专业施工图及相关设计说明</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节能计算书、建筑暖通空调系统能耗节能率分析报告。</w:t>
      </w:r>
    </w:p>
    <w:p w14:paraId="45B9CDD0">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9.2.2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51A2F44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本条所指</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因地制宜</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是指在前述条文基础上，进一步传承当地建筑文化、创新利用自然环境、充分利用场地既有资源的设计。</w:t>
      </w:r>
    </w:p>
    <w:p w14:paraId="1839E93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强调对不同地域建筑的文化保护、传承与设计。建筑是一个地区传统文化同地域环境特色相结合的产物，是当地历史文脉及风俗传统的重要载体。采用具有地区特色的建筑设计原则和手法，为传承传统建筑风貌，让建筑能更好地体现地域传统建筑特色。对场地内的历史建筑和传统风貌建筑进行保护和利用，也属于本条规定的传承建筑文化的范畴。根据国家标准《历史文化名城保护规划标准》GB/T 50357-2018</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历史建筑是经城市、县人民政府确定公布的具有一定保护价值，能够反映历史风貌和地方特色的建筑物、构筑物。传统风貌建筑是除文物保护单位、历史建筑外，具有一定建成历史，对历史地段整体风貌特征形成具有价值和意义的建筑物、构筑物。应采用适度的保护利用措施，避免历史建筑价值和特征要素的损伤和改变。</w:t>
      </w:r>
    </w:p>
    <w:p w14:paraId="23B42BF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强调创新利用及融合自然场地或生态环境，充分利用气候条件和场地禀赋进行建筑布局、形式、表皮和内部空间设计，并明显提升两个方面以上的绿色性能。如依山就势设计半地下空间，既减少土方开挖，又可充分利用自然采光与通风；如通过设计将建筑与自然水体融合，既保护原有生态环境，又营造良好的微环境。如设计采用可变外墙，南方地区设计应用本土绿化植物作为外围护结构构造的外表皮——可生长植物外墙，既具有景观绿化效果，又具有遮阳隔热、降尘降噪、生态修复的作用，设计维护得当时耐久性不亚于传统外墙饰面；严寒地区，则可设计应用冰墙，入冬浇水结冰成墙，提升保温性能，天暖后冰墙融化也不影响使用；场地太阳能资源丰富的，设计采用光伏/光热外墙一体化设计；采用其他具有气候适应性的新型墙体材料。所采取的技术措施若适用于本标准其他条文且得分，本款不重复得分。</w:t>
      </w:r>
    </w:p>
    <w:p w14:paraId="2726D9E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第3款，强调对废弃场地和旧建筑的充分利用。我国城市可建设用地日趋紧缺，对废弃场地进行改造并加以利用是节约集约利用土地的重要途径之一。利用废弃场地进行绿色建筑建设，在 技术难度、建设成本方面都需要付出更多努力和代价。因此，对于优先选用废弃场地的建设理念和行为进行鼓励。绿色建筑可优先考虑合理利用废弃场地，对土壤中是否含有有毒物质进行检测与再利用评估，采取土壤污染修复、污染水体净化和循环等生态补偿措施进行改造或改良，确保场地利用不存在安全隐患，符合国家有关标准的要求。本款所指的旧建筑，是在建筑剩余工程年限内能确保安全使用的既有建筑。对于一些从技术经济分析角度不可行，但出于保护文物或体现风貌而留存的历史建筑，不在本款中得分。</w:t>
      </w:r>
    </w:p>
    <w:p w14:paraId="6009254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本条的评价方法为：预评价查阅相关设计文件；评价查阅相关竣工图。</w:t>
      </w:r>
    </w:p>
    <w:p w14:paraId="6C3E50A9">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9.2.3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本条适用于各类民用建筑的预评价和评价。</w:t>
      </w:r>
    </w:p>
    <w:p w14:paraId="6E502B6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传统电力系统采取的生产组织模式是实时的</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源随荷动</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即用一个精准实时可控的传统发电系统，去匹配一个基本可测的用电系统，并在实际运行过程中滚动调节，实现电力系统安全可靠运行。这种模式下，需求侧的波动性是影响 电网效率和质量的关键因素之一，也阻碍了电网低成本深度脱碳。建筑电力交互</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GIB</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是指应用信息通信技术和负荷调控技术，使建筑电力用户具备响应电网调峰、调频、备用等各类调度指令，实现电力供给侧与需求侧动态平衡的建筑用能管理技术，一般由建筑能耗管理系统和建筑可调节设备</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包括产能装置、储能设施、调节装置以及用电设备等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构成。通过这种方式，建筑可在用电高峰时段降低用电负荷，减轻电网压力，由于储能设施可以缓解太阳能光伏等可再生能源自身发电的间歇性给配电网带来的可靠性和稳定性问题，使得这种方式也可以支持可再生能源电力提高在电网中供电比例，实现</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荷随源动</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进而使电网具备更高的灵活性、韧性以及低碳排放。</w:t>
      </w:r>
    </w:p>
    <w:p w14:paraId="742DCE0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蓄冷蓄热蓄电、建筑设备智能调节、建筑电动汽车交互、智能微电网、虚拟电厂等技术措施均可实现建筑电力交互。判断建筑电力交互能力的关键指标是负荷调节比例，该指标考核的具体内容是在建筑用电时段2h内，建筑主动调节的用电负荷相对建 筑尖峰用电负荷的比例。因此，一般情况下，负荷调节要求的 2h就是指建筑用电尖峰时段内的2h。预评价可通过模拟分析方式确定，即在建筑电力交互设备支持下，可调节的用电负荷与设计用电负荷的比例，运行应根据过去一年能耗监测系统记录数据，统计最高日用电负荷，并分析其中已调节负荷部分的比例。</w:t>
      </w:r>
    </w:p>
    <w:p w14:paraId="269994E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设置蓄冷蓄热蓄电设施应进行技术经济性分析，投资回收期较长或无法收回投资的项目应考虑其他调节方式。此外，蓄冷蓄热蓄电设施的设计还应符合现行强制性工程建设规范《建筑防火通用规范》GB 55037的规定。</w:t>
      </w:r>
    </w:p>
    <w:p w14:paraId="29E9038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本条的评价方法：预评价查阅电气专业施工图、建筑电力交互系统相关设计文件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光伏、储能、智能化控制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、建筑用电负荷调节比例计算书；评价在预评价的基础上还要查阅电力交互系 统的运行记录、储能设施的使用与维护记录。</w:t>
      </w:r>
    </w:p>
    <w:p w14:paraId="7B838079">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9.2.4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4D752E6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叶面积是生态学中研究植物群落、结构和功能的关键性指标，它与植物生物量、固碳释氧、调节环境等功能关系密切，较高的绿容率往往代表较好的生态效益。目前常见的绿地率是十分重要的场地生态评价指标，但由于乔灌草生态效益的不同，绿地率这样 的面积型指标无法全面表征场地绿地的空间生态水平，同样的绿地率在不同的景观配置方案下代表的生态效益差异可能较大，因此，绿容率可以作为绿地率的有效补充。</w:t>
      </w:r>
    </w:p>
    <w:p w14:paraId="3FC96E48">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为了合理提高绿容率，可优先保留场地原生树种和植被，合理配置叶面积指数较高的树种，提倡立体绿化，加强绿化养护，提高植被健康水平。绿化配置时避免影响低层用户的日照和采光。</w:t>
      </w:r>
    </w:p>
    <w:p w14:paraId="3F8577E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中国各气候区植被生长情况差异较大，为便于评价，本条的绿容率可采用如下简化计算公式：绿容率=[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乔木叶面积指数×乔木投影面积×乔木株数</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十灌木占地面积×3+草地占地面积×1]/场地面积。冠层稀疏类乔木叶面积指数按2取值，冠层密集类乔木叶面积指数按4取值，乔木投影面积按苗木表数据进行计算，场地内的立体绿化均可纳入计算。</w:t>
      </w:r>
    </w:p>
    <w:p w14:paraId="6FC7A41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除以上简化计算方法外，鼓励有条件地区采用当地建设主管部门认可的常用植物叶面积调研数据进行绿容率计算；也可提供以实际测量数据为依据的绿容率测量报告，测量时间可为全年叶面积较多的季节。</w:t>
      </w:r>
    </w:p>
    <w:p w14:paraId="5C12992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绿化种植平面图、苗木表等</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、绿容率计算书；评价查阅相关竣工图、绿容率计算书或植被叶面积测量报告、相关证明材料。</w:t>
      </w:r>
    </w:p>
    <w:p w14:paraId="67D8AD77">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9.2.5</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06C33E3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钢结构、木结构及混凝土结构符合减少人工、减少消耗、提高质量、提高效率的工业化建造要求。对于混凝土结构的预制构件混凝土体积计算，无竖向立杆支撑叠合楼盖的现浇混凝土部分可按预制构件考虑，有竖向立杆支撑叠合楼盖的现浇混凝土部分可按0.8倍折算计入预制构件体积中；预制剪力墙的边缘构件现浇部分可按预制构件考虑；叠合剪力墙的现浇混凝土部分可按0.8倍折算为预制构件；模壳墙的现浇混凝土部分可按0.5倍折算为预制构件。</w:t>
      </w:r>
    </w:p>
    <w:p w14:paraId="5C901E6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本条的评价方法为：预评价查阅相关设计文件、计算书；评价查阅相关竣工图、计算书。</w:t>
      </w:r>
    </w:p>
    <w:p w14:paraId="2C8A5BB8">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9.2.6</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06436A2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建筑信息模型</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BIM</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是建筑业信息化的重要支撑技术。BIM是在 CAD技术基础上发展起来的多维模型信息集成技术。BIM 是集成了建筑工程项目各种相关信息的工程数据模型，能使设计人员和工程人员能够对各种建筑信息做出正确的应对，实现数据共 享并协同工作。</w:t>
      </w:r>
    </w:p>
    <w:p w14:paraId="414DD7C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BIM技术支持建筑工程全寿命期的信息管理和应用。在建 筑工程建设的各阶段支持基于BIM的数据交换和共享，可以极大地提升建筑工程信息化整体水平，工程建设各阶段、各专业之间的协作配合可以在更高层次上充分利用各自资源，有效地避免由于数据不通畅带来的重复性劳动，大大提高整个工程的质量和效率，并显著降低成本。因此，BIM 中至少应包含规划、建筑、 结构、给水排水、暖通、电气等6大专业相关信息。</w:t>
      </w:r>
    </w:p>
    <w:p w14:paraId="1D82949C">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《住房城乡建设部关于印发推进建筑信息模型应用指导意见的通知》</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建质函〔2015〕159号</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中明确了建筑的设计、施工、运行维护等阶段应用BIM 的工作重点内容。其中，规划设计阶段主要包括：①投资策划与规划；②设计模型建立；③分析与优化；④设计成果审核。施工阶段主要包括：①BIM 施工模型建立；②细化设计；③专业协调；④成本管理与控制；⑤施工过程管理；⑥质量安全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 至少应涉及3项重点内容应用，方可得分。</w:t>
      </w:r>
    </w:p>
    <w:p w14:paraId="65753E1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一个项目不同阶段出现多个BIM模型，无法有效解决数据信息资源共享问题，因此当在两个及以上阶段应用BIM时，应基于同一BIM模型开展，否则不认为在两个阶段应用了BIM 技术。</w:t>
      </w:r>
    </w:p>
    <w:p w14:paraId="7C4F80B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本条的评价方法为：预评价查阅相关设计文件、BIM 技术应用报告；评价查阅相关竣工图、BIM 技术应用报告。</w:t>
      </w:r>
    </w:p>
    <w:p w14:paraId="3B92BDBE">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9.2.7</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01B91E2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一般情况下，建筑运行阶段碳排放在建筑全寿命期碳排放中占比约为70%左右，降低建筑运行阶段碳排放对于降低建筑全寿命期碳排放强度至关重要，也是当前建筑部门碳排放管控的主要内容，一些地方已经将大型公共建筑作为重点用能和碳排放管控对象，碳排放管理不当导致年度实际碳排放量超过规定限值的建筑，需要缴纳相应的罚款。降低建筑运行阶段碳排放可采用低碳集成技术，具体可分为能源供给集成、建筑设备集成、运行管理集成等方面。能源供给集成应结合建筑所在地区的气候、可再生资源禀赋以及建筑用能需求，综合应用多种可再生能源，全面提高可再生能源利用率；建筑设备集成应在成本控制基础上，以低碳为目标进行空调冷热源、输配系统优化，结合照明需求和采光设计，采用高效照明技术等；运行管理集成应采用物联网、大数据、人工智能等信息技术，建立智慧化管理平台，在建筑能耗监测系统基础上建设碳排放管理系统，分析建筑运行碳排放构成，开展针对性的降碳、减碳活动。建筑运行碳降低的比较基准是现行强制性工程建设规范《建筑节能与可再生能源利用通用规范》GB 55015规定的参照建筑在运行使用过程产生的直接和间接碳排放量。</w:t>
      </w:r>
    </w:p>
    <w:p w14:paraId="05FE74F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除了建筑运行阶段碳排放，建材生产及运输阶段、建造及拆除阶段的碳排放也被称为建筑隐含碳，建筑隐含碳在建筑全寿命期内占比并不是很高，但就建筑全过程来看，建筑隐含碳具有总量大、单位时间排放强度高的特点，也是城乡建设领域碳减排工 作的重点，具体体现为低碳建材、固碳建材、装配式建筑以及绿色施工等技术的推广和应用。低碳建材是指建材碳足迹低于行业平均水平的建材，固碳建材是指在生长、制造或使用过程中，能够吸附并固化二氧化碳的建筑材料。典型的固碳建材是以树木为原材料经过简单加工的建材，此外，水泥、混凝土以及混凝土添加剂方面的固碳技术研究和应用也有进展。现行国家标准《建筑碳排放计算标准》GB/T 51366 给出了主要建材、主要能源的碳排放因子作为计算建筑隐含碳的缺省值，这样做统一并简化了计算工作，但未能体现低碳建材、固碳建材以及绿色施工、先进施工设备的减碳贡献，因此，在现行国家标准《建筑碳排放计算标准》GB/T51366采用缺省值计算的基础上，提出了进一步的要求。建筑隐含碳降低的比较基准是同类建材采用现行国家标准《建筑碳排放计算标准》GB/T 51366缺省值计算的结果，当存在固碳建材替代时，应以替代前的建材及其缺省值计算结果为基准。</w:t>
      </w:r>
    </w:p>
    <w:p w14:paraId="2579CFC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建筑全寿命期碳排放计算应包含运行碳和隐含碳，并应体现建材生产、施工建造、运行使用、报废拆除四个阶段。建筑全寿命期碳排放强度降低比例计算公式如下：</w:t>
      </w:r>
    </w:p>
    <w:p w14:paraId="60C92E6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drawing>
          <wp:anchor distT="0" distB="0" distL="0" distR="0" simplePos="0" relativeHeight="251662336" behindDoc="0" locked="0" layoutInCell="1" allowOverlap="1">
            <wp:simplePos x="0" y="0"/>
            <wp:positionH relativeFrom="column">
              <wp:posOffset>1224915</wp:posOffset>
            </wp:positionH>
            <wp:positionV relativeFrom="paragraph">
              <wp:posOffset>245745</wp:posOffset>
            </wp:positionV>
            <wp:extent cx="1346200" cy="2857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
                    <a:stretch>
                      <a:fillRect/>
                    </a:stretch>
                  </pic:blipFill>
                  <pic:spPr>
                    <a:xfrm>
                      <a:off x="0" y="0"/>
                      <a:ext cx="1346193" cy="285786"/>
                    </a:xfrm>
                    <a:prstGeom prst="rect">
                      <a:avLst/>
                    </a:prstGeom>
                  </pic:spPr>
                </pic:pic>
              </a:graphicData>
            </a:graphic>
          </wp:anchor>
        </w:drawing>
      </w:r>
    </w:p>
    <w:p w14:paraId="0E2EE9AF">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p>
    <w:p w14:paraId="5CACF914">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式中：Rc——建筑全寿命期碳排放强度降低比例</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08D0A12A">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C</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B</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——基准建筑全寿命期碳排放强度 [kgCO₂/</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m² · a</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包含建筑运行碳和</w:t>
      </w:r>
    </w:p>
    <w:p w14:paraId="52B80199">
      <w:pPr>
        <w:spacing w:line="360" w:lineRule="auto"/>
        <w:ind w:firstLine="1344" w:firstLineChars="6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建筑隐含碳；</w:t>
      </w:r>
    </w:p>
    <w:p w14:paraId="5AC77015">
      <w:pPr>
        <w:spacing w:line="360" w:lineRule="auto"/>
        <w:ind w:firstLine="672" w:firstLineChars="3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C</w:t>
      </w:r>
      <w:r>
        <w:rPr>
          <w:rFonts w:hint="default" w:ascii="Times New Roman" w:hAnsi="Times New Roman" w:eastAsia="宋体" w:cs="Times New Roman"/>
          <w:color w:val="000000" w:themeColor="text1"/>
          <w:spacing w:val="-8"/>
          <w:sz w:val="24"/>
          <w:szCs w:val="24"/>
          <w:u w:val="none"/>
          <w:vertAlign w:val="subscript"/>
          <w:lang w:val="en-US" w:eastAsia="zh-CN"/>
          <w14:textFill>
            <w14:solidFill>
              <w14:schemeClr w14:val="tx1"/>
            </w14:solidFill>
          </w14:textFill>
        </w:rPr>
        <w:t>D</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——设计建筑全寿命期碳排放强度  [kgCO₂/</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m² · a</w:t>
      </w:r>
      <w:r>
        <w:rPr>
          <w:rFonts w:hint="default" w:ascii="Times New Roman" w:hAnsi="Times New Roman" w:eastAsia="宋体" w:cs="Times New Roman"/>
          <w:color w:val="000000" w:themeColor="text1"/>
          <w:spacing w:val="-8"/>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包含建筑运行碳和</w:t>
      </w:r>
    </w:p>
    <w:p w14:paraId="4F4E8586">
      <w:pPr>
        <w:spacing w:line="360" w:lineRule="auto"/>
        <w:ind w:firstLine="1344" w:firstLineChars="6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建筑隐含碳。</w:t>
      </w:r>
    </w:p>
    <w:p w14:paraId="61C5B5FA">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本条的评价方法为：预评价查阅相关设计文件、工程量概算清单、建筑全寿命期碳排放分析报告、低碳建材碳足迹报告；评价查阅相关竣工图、工程量决算清单、建筑全寿命期碳排放分析 报告、低碳建材碳足迹报告。</w:t>
      </w:r>
    </w:p>
    <w:p w14:paraId="37AE8D1C">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9.2.8</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本条适用于各类民用建筑的评价。</w:t>
      </w:r>
    </w:p>
    <w:p w14:paraId="02935821">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第1款，电力消耗是施工阶段碳排放的主要来源之一，有效控制施工用电对于减少碳排放、推动绿色低碳施工具有重要意义。国家标准《建筑与市政工程绿色施工评价标准》GB/T 50640-2023对施工用电控制提出要求，在</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5资源节约评价指标</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章节优选项中规定</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单位工程单位面积的用电量比定额节约 10%以上</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3EFE0FC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第2款，建筑垃圾回收再利用既节约资源，又减少碳排放、 保护环境，是绿色低碳施工的重要措施。国家标准《建筑与市政工程绿色施工评价标准》GB/T50640-2023中对建筑垃圾回收再利用提出了相应要求，在</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4环境保护评价指标</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章节优选项中规定</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建筑垃圾回收利用率不低于50%</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w:t>
      </w:r>
    </w:p>
    <w:p w14:paraId="7B0510AF">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第3款，预拌混凝土损耗率控制是减少混凝土损耗、降低混 凝土消耗量的重要手段。我国各地方的工程量预算定额对预拌混 凝土损耗率提出了要求，一般规定预拌混凝土的损耗率为 1.5%。大量工程经验表明，通过合理的组织设计、精细化的管理和科学的施工方法，可以有效控制预拌混凝土的损耗率，并将损耗率降低至1.0%以下。故本款将</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预拌混凝土损耗率降低至 1.0%</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作为得分条件。</w:t>
      </w:r>
    </w:p>
    <w:p w14:paraId="729A24A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4款，钢筋是混凝土结构建筑的大宗消耗材料。钢筋浪费是建筑施工中普遍存在的问题，如设计、施工不合理都会造成钢筋浪费，因此，对钢筋损耗控制是施工中节材的重要举措。我国各地方的工程量预算定额，根据钢筋的规格不同，一般规定的损 耗率为2.5%～4.5%。大量工程经验表明，通过采取优化钢筋 配料计划、提高加工精度、加强现场管理等一系列措施，可以显 著减少现场加工钢筋的损耗，将损耗率降至1.5%以下。故本款 将</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钢筋损耗率降低至1.5%</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作为得分条件。</w:t>
      </w:r>
    </w:p>
    <w:p w14:paraId="69A89F3E">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第5款，现浇混凝土构件，施工时采用高周转率的新型模架体系，提高模架使用效率，提高混凝土成型质量，实现</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免抹灰</w:t>
      </w:r>
      <w:r>
        <w:rPr>
          <w:rFonts w:hint="eastAsia"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效果。如铝模体系等，可确保构件表面的平整度，避免二次找平粉刷，从而节约材料，降低材料消耗。</w:t>
      </w:r>
    </w:p>
    <w:p w14:paraId="75425EF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评价查阅建筑垃圾统计台账、计算文件，非实体材料进出场统计台账、计算文件，混凝土用量结算清单、预拌混凝土进货单，施工单位统计计算的预拌混凝土损耗率，现场钢筋加工的钢筋工程量清单、钢筋用量结算清单，钢筋进货单，施工单位统计计算的现场加工钢筋损耗率、铝模材料设计方案及施工日志。</w:t>
      </w:r>
    </w:p>
    <w:p w14:paraId="0DD37622">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9.2.9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6B14F1FD">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第1款和第2款，建设工程保险在国际上已经是一种较为成熟的制度，比如法国的潜在缺陷保险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IDI</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制度、日本的住宅性能保证制度等。保险一般承保工程竣工验收之日起一定年限 </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如10年</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之内因主体结构或装修设备构件存在缺陷发生工程质量事故而给消费者造成的损失，通过保险产品公司约束开发商必须对建筑质量提供一定年限的长期保证，当建筑工程出现了保证书中列明的质量问题时，通过保险机制保证消费者的权益。通过推行建设工程质量保险制度，提高建设工程质量。</w:t>
      </w:r>
    </w:p>
    <w:p w14:paraId="0BA3E69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第3款，作为绿色金融的重要组成部分，绿色建筑性能保险是建筑绿色低碳发展进程中进行风险管理的一项重要手段。绿色建筑性能保险为绿色建筑达到预期星级提供风险保障，即在项目竣工后，如果建筑项目未达到预期绿色建筑星级或出现偏差，则按保险合同约定，保险公司将提供绿色改造补偿，以确保项目最终达到预期星级标准。目前市场已具有绿色建筑性能保险产品，但其整体上仍处于起步阶段。本条通过绿色建筑保险机制，以市场化手段保证绿色建筑实现预期的星级标准和绿色性能。</w:t>
      </w:r>
    </w:p>
    <w:p w14:paraId="657F8522">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本条的评价方法为：预评价查阅保险产品投保计划；评价查阅保险产品保单，核查其约定条件和实施情况。</w:t>
      </w:r>
    </w:p>
    <w:p w14:paraId="288C9EC1">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9.2.10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p>
    <w:p w14:paraId="0E240D49">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主要是对前文未提及的其他技术和管理创新予以鼓励。目的是鼓励和引导项目采用不在本标准所列的绿色建筑评价指标范围内，但可在保护自然资源和生态环境、节约资源、降低碳排放、减少环境污染、提高健康和宜居性、智能化系统建设、传承历史文化等方面实现良好性能提升的创新技术和措施，以此提高绿色建筑技术水平。</w:t>
      </w:r>
    </w:p>
    <w:p w14:paraId="1E26C10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37316AB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本条的评价方法为：预评价查阅相关设计文件、分析论证报告及相关证明材料；评价查阅相关设计文件、分析论证报告及相关证明材料。</w:t>
      </w:r>
    </w:p>
    <w:p w14:paraId="0488F20D">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9.2.11</w:t>
      </w:r>
      <w:bookmarkStart w:id="230" w:name="OLE_LINK34"/>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本条适用于各类民用建筑的预评价、评价。</w:t>
      </w:r>
      <w:bookmarkEnd w:id="230"/>
    </w:p>
    <w:p w14:paraId="7C873BB6">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本条建筑能耗的判定依据《近零能耗建筑技术标准》或《云南省近零能耗建筑技术标准》及《零碳建筑技术标准》执行。</w:t>
      </w:r>
    </w:p>
    <w:p w14:paraId="50A47765">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bookmarkStart w:id="231" w:name="OLE_LINK37"/>
      <w:bookmarkStart w:id="232" w:name="OLE_LINK36"/>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本条的评价方法为：预评价查阅相关设计文件、分析论证报告及相关证明材料；评价查阅相关设计文件、分析论证报告及相关检测数据材料。</w:t>
      </w:r>
      <w:bookmarkEnd w:id="231"/>
      <w:bookmarkEnd w:id="232"/>
    </w:p>
    <w:p w14:paraId="51325851">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bookmarkStart w:id="233" w:name="OLE_LINK35"/>
      <w:r>
        <w:rPr>
          <w:rFonts w:hint="default" w:ascii="Times New Roman" w:hAnsi="Times New Roman" w:cs="Times New Roman"/>
          <w:b/>
          <w:color w:val="000000" w:themeColor="text1"/>
          <w:spacing w:val="-12"/>
          <w:sz w:val="24"/>
          <w:szCs w:val="24"/>
          <w:u w:val="none"/>
          <w14:textFill>
            <w14:solidFill>
              <w14:schemeClr w14:val="tx1"/>
            </w14:solidFill>
          </w14:textFill>
        </w:rPr>
        <w:t>9.2.1</w:t>
      </w:r>
      <w:bookmarkEnd w:id="233"/>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2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本条适用于各类民用建筑的评价。</w:t>
      </w:r>
    </w:p>
    <w:p w14:paraId="71DE9DC0">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为更好地支持云南省能耗双控工作，新建建筑通过标准化数据接口，实现建筑能耗管理系统的实时数据上传与省级监管平台的互联互通。</w:t>
      </w:r>
    </w:p>
    <w:p w14:paraId="76633CF3">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本条的评价方法为：评价查阅相关设计文件、分析论证报告及相关系统运营数据材料。</w:t>
      </w:r>
    </w:p>
    <w:p w14:paraId="12E43E1B">
      <w:pPr>
        <w:spacing w:line="360" w:lineRule="auto"/>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b/>
          <w:color w:val="000000" w:themeColor="text1"/>
          <w:spacing w:val="-12"/>
          <w:sz w:val="24"/>
          <w:szCs w:val="24"/>
          <w:u w:val="none"/>
          <w14:textFill>
            <w14:solidFill>
              <w14:schemeClr w14:val="tx1"/>
            </w14:solidFill>
          </w14:textFill>
        </w:rPr>
        <w:t xml:space="preserve">9.2.13 </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 xml:space="preserve">  本条适用于各类民用建筑的预评价和评价。</w:t>
      </w:r>
    </w:p>
    <w:p w14:paraId="0705AFD4">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为更好地支持云南省建筑能效测评工作，建筑能耗及能源系统效率等性能指标需符合《云南省民用建筑能效测评标识技术导则》</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试行</w:t>
      </w:r>
      <w:r>
        <w:rPr>
          <w:rFonts w:hint="default" w:ascii="Times New Roman" w:hAnsi="Times New Roman" w:eastAsia="宋体" w:cs="Times New Roman"/>
          <w:color w:val="000000" w:themeColor="text1"/>
          <w:spacing w:val="-8"/>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4"/>
          <w:szCs w:val="24"/>
          <w:u w:val="none"/>
          <w14:textFill>
            <w14:solidFill>
              <w14:schemeClr w14:val="tx1"/>
            </w14:solidFill>
          </w14:textFill>
        </w:rPr>
        <w:t>的规定。</w:t>
      </w:r>
    </w:p>
    <w:p w14:paraId="2807B3AB">
      <w:pPr>
        <w:spacing w:line="360" w:lineRule="auto"/>
        <w:ind w:firstLine="448" w:firstLineChars="200"/>
        <w:rPr>
          <w:rFonts w:hint="default" w:ascii="Times New Roman" w:hAnsi="Times New Roman" w:eastAsia="宋体" w:cs="Times New Roman"/>
          <w:color w:val="000000" w:themeColor="text1"/>
          <w:spacing w:val="-8"/>
          <w:sz w:val="24"/>
          <w:szCs w:val="24"/>
          <w:u w:val="none"/>
          <w14:textFill>
            <w14:solidFill>
              <w14:schemeClr w14:val="tx1"/>
            </w14:solidFill>
          </w14:textFill>
        </w:rPr>
      </w:pPr>
      <w:r>
        <w:rPr>
          <w:rFonts w:hint="default" w:ascii="Times New Roman" w:hAnsi="Times New Roman" w:eastAsia="宋体" w:cs="Times New Roman"/>
          <w:color w:val="000000" w:themeColor="text1"/>
          <w:spacing w:val="-8"/>
          <w:sz w:val="24"/>
          <w:szCs w:val="24"/>
          <w:u w:val="none"/>
          <w14:textFill>
            <w14:solidFill>
              <w14:schemeClr w14:val="tx1"/>
            </w14:solidFill>
          </w14:textFill>
        </w:rPr>
        <w:t>本条的评价方法为：预评价查阅相关设计文件、分析论证报告及相关证明材料；评价查阅相关设计文件、分析论证报告及相关检测数据材料。</w:t>
      </w:r>
    </w:p>
    <w:p w14:paraId="711E2552">
      <w:pPr>
        <w:spacing w:before="41" w:line="360" w:lineRule="auto"/>
        <w:ind w:left="110" w:right="196" w:firstLine="420"/>
        <w:rPr>
          <w:rFonts w:hint="default" w:ascii="Times New Roman" w:hAnsi="Times New Roman" w:eastAsia="宋体" w:cs="Times New Roman"/>
          <w:spacing w:val="-8"/>
          <w:sz w:val="24"/>
          <w:szCs w:val="24"/>
          <w:u w:val="none"/>
        </w:rPr>
      </w:pPr>
    </w:p>
    <w:p w14:paraId="37FC0A30">
      <w:pPr>
        <w:spacing w:before="99" w:line="360" w:lineRule="auto"/>
        <w:ind w:right="58" w:firstLine="419"/>
        <w:rPr>
          <w:rFonts w:hint="default" w:ascii="Times New Roman" w:hAnsi="Times New Roman" w:eastAsia="宋体" w:cs="Times New Roman"/>
          <w:spacing w:val="-7"/>
          <w:sz w:val="24"/>
          <w:szCs w:val="24"/>
          <w:u w:val="none"/>
        </w:rPr>
      </w:pPr>
    </w:p>
    <w:p w14:paraId="2F6DC259">
      <w:pPr>
        <w:spacing w:before="99" w:line="360" w:lineRule="auto"/>
        <w:ind w:right="58" w:firstLine="419"/>
        <w:rPr>
          <w:rFonts w:hint="default" w:ascii="Times New Roman" w:hAnsi="Times New Roman" w:eastAsia="宋体" w:cs="Times New Roman"/>
          <w:sz w:val="24"/>
          <w:szCs w:val="24"/>
          <w:u w:val="none"/>
        </w:rPr>
      </w:pPr>
    </w:p>
    <w:p w14:paraId="085F77B2">
      <w:pPr>
        <w:rPr>
          <w:rFonts w:hint="default" w:ascii="Times New Roman" w:hAnsi="Times New Roman" w:cs="Times New Roman"/>
          <w:color w:val="000000" w:themeColor="text1"/>
          <w:sz w:val="24"/>
          <w:szCs w:val="24"/>
          <w:u w:val="none"/>
          <w14:textFill>
            <w14:solidFill>
              <w14:schemeClr w14:val="tx1"/>
            </w14:solidFill>
          </w14:textFill>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442809"/>
      <w:showingPlcHdr/>
      <w:docPartObj>
        <w:docPartGallery w:val="autotext"/>
      </w:docPartObj>
    </w:sdtPr>
    <w:sdtContent>
      <w:p w14:paraId="6A19D8AC">
        <w:pPr>
          <w:pStyle w:val="10"/>
          <w:jc w:val="center"/>
        </w:pPr>
        <w:r>
          <w:rPr>
            <w:rFonts w:hint="eastAsia"/>
            <w:lang w:eastAsia="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CE12">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724"/>
      <w:showingPlcHdr/>
      <w:docPartObj>
        <w:docPartGallery w:val="autotext"/>
      </w:docPartObj>
    </w:sdtPr>
    <w:sdtContent>
      <w:p w14:paraId="7E1EBB40">
        <w:pPr>
          <w:pStyle w:val="10"/>
          <w:jc w:val="center"/>
        </w:pPr>
        <w:r>
          <w:rPr>
            <w:rFonts w:hint="eastAsia"/>
            <w:lang w:eastAsia="zh-CN"/>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F03E">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F1243">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0F1243">
                    <w:pPr>
                      <w:pStyle w:val="10"/>
                    </w:pPr>
                    <w:r>
                      <w:fldChar w:fldCharType="begin"/>
                    </w:r>
                    <w:r>
                      <w:instrText xml:space="preserve"> PAGE  \* MERGEFORMAT </w:instrText>
                    </w:r>
                    <w:r>
                      <w:fldChar w:fldCharType="separate"/>
                    </w:r>
                    <w:r>
                      <w:t>6</w:t>
                    </w:r>
                    <w:r>
                      <w:fldChar w:fldCharType="end"/>
                    </w:r>
                  </w:p>
                </w:txbxContent>
              </v:textbox>
            </v:shape>
          </w:pict>
        </mc:Fallback>
      </mc:AlternateContent>
    </w:r>
    <w:sdt>
      <w:sdtPr>
        <w:id w:val="147466838"/>
        <w:showingPlcHdr/>
        <w:docPartObj>
          <w:docPartGallery w:val="autotext"/>
        </w:docPartObj>
      </w:sdtPr>
      <w:sdtContent>
        <w:r>
          <w:rPr>
            <w:rFonts w:hint="eastAsia"/>
            <w:lang w:eastAsia="zh-CN"/>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E796">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492"/>
                            <w:docPartObj>
                              <w:docPartGallery w:val="autotext"/>
                            </w:docPartObj>
                          </w:sdtPr>
                          <w:sdtContent>
                            <w:p w14:paraId="7069BA74">
                              <w:pPr>
                                <w:pStyle w:val="10"/>
                                <w:jc w:val="center"/>
                              </w:pPr>
                              <w:r>
                                <w:fldChar w:fldCharType="begin"/>
                              </w:r>
                              <w:r>
                                <w:instrText xml:space="preserve">PAGE   \* MERGEFORMAT</w:instrText>
                              </w:r>
                              <w:r>
                                <w:fldChar w:fldCharType="separate"/>
                              </w:r>
                              <w:r>
                                <w:t>123</w:t>
                              </w:r>
                              <w:r>
                                <w:fldChar w:fldCharType="end"/>
                              </w:r>
                            </w:p>
                          </w:sdtContent>
                        </w:sdt>
                        <w:p w14:paraId="6574E8A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7492"/>
                      <w:docPartObj>
                        <w:docPartGallery w:val="autotext"/>
                      </w:docPartObj>
                    </w:sdtPr>
                    <w:sdtContent>
                      <w:p w14:paraId="7069BA74">
                        <w:pPr>
                          <w:pStyle w:val="10"/>
                          <w:jc w:val="center"/>
                        </w:pPr>
                        <w:r>
                          <w:fldChar w:fldCharType="begin"/>
                        </w:r>
                        <w:r>
                          <w:instrText xml:space="preserve">PAGE   \* MERGEFORMAT</w:instrText>
                        </w:r>
                        <w:r>
                          <w:fldChar w:fldCharType="separate"/>
                        </w:r>
                        <w:r>
                          <w:t>123</w:t>
                        </w:r>
                        <w:r>
                          <w:fldChar w:fldCharType="end"/>
                        </w:r>
                      </w:p>
                    </w:sdtContent>
                  </w:sdt>
                  <w:p w14:paraId="6574E8A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3767">
    <w:pPr>
      <w:pStyle w:val="11"/>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8E"/>
    <w:rsid w:val="00005E91"/>
    <w:rsid w:val="00024895"/>
    <w:rsid w:val="000260F0"/>
    <w:rsid w:val="00037104"/>
    <w:rsid w:val="00037DD9"/>
    <w:rsid w:val="00040B25"/>
    <w:rsid w:val="00083F85"/>
    <w:rsid w:val="000E098F"/>
    <w:rsid w:val="00106215"/>
    <w:rsid w:val="001220B4"/>
    <w:rsid w:val="001813B5"/>
    <w:rsid w:val="001E5F85"/>
    <w:rsid w:val="00220A5B"/>
    <w:rsid w:val="002324E4"/>
    <w:rsid w:val="002429E2"/>
    <w:rsid w:val="002471EF"/>
    <w:rsid w:val="00262C63"/>
    <w:rsid w:val="00284A47"/>
    <w:rsid w:val="002958DB"/>
    <w:rsid w:val="002B0277"/>
    <w:rsid w:val="002D3624"/>
    <w:rsid w:val="00301661"/>
    <w:rsid w:val="0033717E"/>
    <w:rsid w:val="00354010"/>
    <w:rsid w:val="0040341A"/>
    <w:rsid w:val="004157F8"/>
    <w:rsid w:val="0042348A"/>
    <w:rsid w:val="0047213D"/>
    <w:rsid w:val="00486FED"/>
    <w:rsid w:val="004D2DAC"/>
    <w:rsid w:val="004F7F7F"/>
    <w:rsid w:val="005528EE"/>
    <w:rsid w:val="005571EC"/>
    <w:rsid w:val="005A5027"/>
    <w:rsid w:val="005C7F59"/>
    <w:rsid w:val="005D0303"/>
    <w:rsid w:val="005D0B20"/>
    <w:rsid w:val="006006D1"/>
    <w:rsid w:val="006510D9"/>
    <w:rsid w:val="00697BDC"/>
    <w:rsid w:val="0071362F"/>
    <w:rsid w:val="00781700"/>
    <w:rsid w:val="007A7F2E"/>
    <w:rsid w:val="007F3270"/>
    <w:rsid w:val="00802383"/>
    <w:rsid w:val="008225E4"/>
    <w:rsid w:val="008845D8"/>
    <w:rsid w:val="0089696B"/>
    <w:rsid w:val="008D0167"/>
    <w:rsid w:val="008E3067"/>
    <w:rsid w:val="009963F5"/>
    <w:rsid w:val="009A093B"/>
    <w:rsid w:val="00A15BA6"/>
    <w:rsid w:val="00A4186E"/>
    <w:rsid w:val="00A4785F"/>
    <w:rsid w:val="00AC68EA"/>
    <w:rsid w:val="00AE4E64"/>
    <w:rsid w:val="00B5359B"/>
    <w:rsid w:val="00B97B4F"/>
    <w:rsid w:val="00C45C4E"/>
    <w:rsid w:val="00C507CB"/>
    <w:rsid w:val="00CA6B9E"/>
    <w:rsid w:val="00D83749"/>
    <w:rsid w:val="00D94439"/>
    <w:rsid w:val="00DA23D4"/>
    <w:rsid w:val="00E1624F"/>
    <w:rsid w:val="00E25BEE"/>
    <w:rsid w:val="00E3078E"/>
    <w:rsid w:val="00E33995"/>
    <w:rsid w:val="00E74FC1"/>
    <w:rsid w:val="00E7566C"/>
    <w:rsid w:val="00ED6887"/>
    <w:rsid w:val="00EF685F"/>
    <w:rsid w:val="00F507F4"/>
    <w:rsid w:val="00F8153E"/>
    <w:rsid w:val="00FA69FC"/>
    <w:rsid w:val="036A7DEB"/>
    <w:rsid w:val="09AE29DE"/>
    <w:rsid w:val="0DC1741B"/>
    <w:rsid w:val="1001390A"/>
    <w:rsid w:val="1DBD7B0E"/>
    <w:rsid w:val="204C64A4"/>
    <w:rsid w:val="243C45F7"/>
    <w:rsid w:val="306F78B6"/>
    <w:rsid w:val="31D27A5D"/>
    <w:rsid w:val="339064C2"/>
    <w:rsid w:val="38670970"/>
    <w:rsid w:val="3CF11D7F"/>
    <w:rsid w:val="43E34164"/>
    <w:rsid w:val="442B7EC9"/>
    <w:rsid w:val="46D51F01"/>
    <w:rsid w:val="46DF672B"/>
    <w:rsid w:val="47325493"/>
    <w:rsid w:val="493E414E"/>
    <w:rsid w:val="4E9D2E65"/>
    <w:rsid w:val="5B6049ED"/>
    <w:rsid w:val="5F741A71"/>
    <w:rsid w:val="635352C0"/>
    <w:rsid w:val="66611EAB"/>
    <w:rsid w:val="67675742"/>
    <w:rsid w:val="6F856A28"/>
    <w:rsid w:val="70F029A9"/>
    <w:rsid w:val="72D07957"/>
    <w:rsid w:val="7B2F091B"/>
    <w:rsid w:val="7D56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1"/>
    <w:pPr>
      <w:keepNext/>
      <w:keepLines/>
      <w:widowControl/>
      <w:kinsoku w:val="0"/>
      <w:autoSpaceDE w:val="0"/>
      <w:autoSpaceDN w:val="0"/>
      <w:adjustRightInd w:val="0"/>
      <w:snapToGrid w:val="0"/>
      <w:spacing w:before="340" w:after="330" w:line="578" w:lineRule="auto"/>
      <w:jc w:val="left"/>
      <w:textAlignment w:val="baseline"/>
      <w:outlineLvl w:val="0"/>
    </w:pPr>
    <w:rPr>
      <w:rFonts w:ascii="Arial" w:hAnsi="Arial" w:cs="Arial"/>
      <w:b/>
      <w:bCs/>
      <w:snapToGrid w:val="0"/>
      <w:color w:val="000000"/>
      <w:kern w:val="44"/>
      <w:sz w:val="44"/>
      <w:szCs w:val="44"/>
      <w:lang w:eastAsia="en-US"/>
    </w:rPr>
  </w:style>
  <w:style w:type="paragraph" w:styleId="3">
    <w:name w:val="heading 2"/>
    <w:basedOn w:val="1"/>
    <w:next w:val="1"/>
    <w:link w:val="21"/>
    <w:unhideWhenUsed/>
    <w:qFormat/>
    <w:uiPriority w:val="9"/>
    <w:pPr>
      <w:keepNext/>
      <w:keepLines/>
      <w:widowControl/>
      <w:kinsoku w:val="0"/>
      <w:autoSpaceDE w:val="0"/>
      <w:autoSpaceDN w:val="0"/>
      <w:adjustRightInd w:val="0"/>
      <w:snapToGrid w:val="0"/>
      <w:spacing w:before="260" w:after="260" w:line="416" w:lineRule="auto"/>
      <w:jc w:val="left"/>
      <w:textAlignment w:val="baseline"/>
      <w:outlineLvl w:val="1"/>
    </w:pPr>
    <w:rPr>
      <w:rFonts w:asciiTheme="majorHAnsi" w:hAnsiTheme="majorHAnsi" w:eastAsiaTheme="majorEastAsia" w:cstheme="majorBidi"/>
      <w:b/>
      <w:bCs/>
      <w:snapToGrid w:val="0"/>
      <w:color w:val="000000"/>
      <w:kern w:val="0"/>
      <w:sz w:val="32"/>
      <w:szCs w:val="32"/>
      <w:lang w:eastAsia="en-US"/>
    </w:rPr>
  </w:style>
  <w:style w:type="paragraph" w:styleId="4">
    <w:name w:val="heading 3"/>
    <w:basedOn w:val="1"/>
    <w:next w:val="1"/>
    <w:link w:val="25"/>
    <w:unhideWhenUsed/>
    <w:qFormat/>
    <w:uiPriority w:val="9"/>
    <w:pPr>
      <w:keepNext/>
      <w:keepLines/>
      <w:widowControl/>
      <w:kinsoku w:val="0"/>
      <w:autoSpaceDE w:val="0"/>
      <w:autoSpaceDN w:val="0"/>
      <w:adjustRightInd w:val="0"/>
      <w:snapToGrid w:val="0"/>
      <w:spacing w:before="260" w:after="260" w:line="416" w:lineRule="auto"/>
      <w:jc w:val="left"/>
      <w:textAlignment w:val="baseline"/>
      <w:outlineLvl w:val="2"/>
    </w:pPr>
    <w:rPr>
      <w:rFonts w:ascii="Arial" w:hAnsi="Arial" w:cs="Arial"/>
      <w:b/>
      <w:bCs/>
      <w:snapToGrid w:val="0"/>
      <w:color w:val="000000"/>
      <w:kern w:val="0"/>
      <w:sz w:val="32"/>
      <w:szCs w:val="32"/>
      <w:lang w:eastAsia="en-US"/>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8"/>
    <w:unhideWhenUsed/>
    <w:uiPriority w:val="99"/>
    <w:pPr>
      <w:widowControl/>
      <w:kinsoku w:val="0"/>
      <w:autoSpaceDE w:val="0"/>
      <w:autoSpaceDN w:val="0"/>
      <w:adjustRightInd w:val="0"/>
      <w:snapToGrid w:val="0"/>
      <w:jc w:val="left"/>
      <w:textAlignment w:val="baseline"/>
    </w:pPr>
    <w:rPr>
      <w:rFonts w:ascii="Arial" w:hAnsi="Arial" w:cs="Arial"/>
      <w:snapToGrid w:val="0"/>
      <w:color w:val="000000"/>
      <w:kern w:val="0"/>
      <w:szCs w:val="21"/>
      <w:lang w:eastAsia="en-US"/>
    </w:rPr>
  </w:style>
  <w:style w:type="paragraph" w:styleId="6">
    <w:name w:val="Body Text"/>
    <w:basedOn w:val="1"/>
    <w:link w:val="22"/>
    <w:semiHidden/>
    <w:qFormat/>
    <w:uiPriority w:val="0"/>
    <w:pPr>
      <w:widowControl/>
      <w:kinsoku w:val="0"/>
      <w:autoSpaceDE w:val="0"/>
      <w:autoSpaceDN w:val="0"/>
      <w:adjustRightInd w:val="0"/>
      <w:snapToGrid w:val="0"/>
      <w:jc w:val="left"/>
      <w:textAlignment w:val="baseline"/>
    </w:pPr>
    <w:rPr>
      <w:rFonts w:ascii="黑体" w:hAnsi="黑体" w:eastAsia="黑体" w:cs="黑体"/>
      <w:snapToGrid w:val="0"/>
      <w:color w:val="000000"/>
      <w:kern w:val="0"/>
      <w:sz w:val="30"/>
      <w:szCs w:val="30"/>
      <w:lang w:eastAsia="en-US"/>
    </w:rPr>
  </w:style>
  <w:style w:type="paragraph" w:styleId="7">
    <w:name w:val="toc 3"/>
    <w:basedOn w:val="1"/>
    <w:next w:val="1"/>
    <w:semiHidden/>
    <w:unhideWhenUsed/>
    <w:uiPriority w:val="39"/>
    <w:pPr>
      <w:ind w:left="840" w:leftChars="400"/>
    </w:pPr>
  </w:style>
  <w:style w:type="paragraph" w:styleId="8">
    <w:name w:val="Date"/>
    <w:basedOn w:val="1"/>
    <w:next w:val="1"/>
    <w:link w:val="29"/>
    <w:semiHidden/>
    <w:unhideWhenUsed/>
    <w:uiPriority w:val="99"/>
    <w:pPr>
      <w:widowControl/>
      <w:kinsoku w:val="0"/>
      <w:autoSpaceDE w:val="0"/>
      <w:autoSpaceDN w:val="0"/>
      <w:adjustRightInd w:val="0"/>
      <w:snapToGrid w:val="0"/>
      <w:ind w:left="100" w:leftChars="2500"/>
      <w:jc w:val="left"/>
      <w:textAlignment w:val="baseline"/>
    </w:pPr>
    <w:rPr>
      <w:rFonts w:ascii="Arial" w:hAnsi="Arial" w:cs="Arial"/>
      <w:snapToGrid w:val="0"/>
      <w:color w:val="000000"/>
      <w:kern w:val="0"/>
      <w:szCs w:val="21"/>
      <w:lang w:eastAsia="en-US"/>
    </w:rPr>
  </w:style>
  <w:style w:type="paragraph" w:styleId="9">
    <w:name w:val="Balloon Text"/>
    <w:basedOn w:val="1"/>
    <w:link w:val="23"/>
    <w:semiHidden/>
    <w:unhideWhenUsed/>
    <w:uiPriority w:val="99"/>
    <w:pPr>
      <w:widowControl/>
      <w:kinsoku w:val="0"/>
      <w:autoSpaceDE w:val="0"/>
      <w:autoSpaceDN w:val="0"/>
      <w:adjustRightInd w:val="0"/>
      <w:snapToGrid w:val="0"/>
      <w:jc w:val="left"/>
      <w:textAlignment w:val="baseline"/>
    </w:pPr>
    <w:rPr>
      <w:rFonts w:ascii="Arial" w:hAnsi="Arial" w:cs="Arial"/>
      <w:snapToGrid w:val="0"/>
      <w:color w:val="000000"/>
      <w:kern w:val="0"/>
      <w:sz w:val="18"/>
      <w:szCs w:val="18"/>
      <w:lang w:eastAsia="en-US"/>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uiPriority w:val="39"/>
  </w:style>
  <w:style w:type="paragraph" w:styleId="13">
    <w:name w:val="toc 2"/>
    <w:basedOn w:val="1"/>
    <w:next w:val="1"/>
    <w:semiHidden/>
    <w:unhideWhenUsed/>
    <w:uiPriority w:val="39"/>
    <w:pPr>
      <w:ind w:left="420" w:leftChars="200"/>
    </w:p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Char"/>
    <w:basedOn w:val="16"/>
    <w:link w:val="11"/>
    <w:qFormat/>
    <w:uiPriority w:val="99"/>
    <w:rPr>
      <w:sz w:val="18"/>
      <w:szCs w:val="18"/>
    </w:rPr>
  </w:style>
  <w:style w:type="character" w:customStyle="1" w:styleId="18">
    <w:name w:val="页脚 Char"/>
    <w:basedOn w:val="16"/>
    <w:link w:val="10"/>
    <w:qFormat/>
    <w:uiPriority w:val="99"/>
    <w:rPr>
      <w:sz w:val="18"/>
      <w:szCs w:val="18"/>
    </w:rPr>
  </w:style>
  <w:style w:type="paragraph" w:customStyle="1" w:styleId="19">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0">
    <w:name w:val="标题 1 Char"/>
    <w:basedOn w:val="16"/>
    <w:link w:val="2"/>
    <w:uiPriority w:val="1"/>
    <w:rPr>
      <w:rFonts w:ascii="Arial" w:hAnsi="Arial" w:cs="Arial"/>
      <w:b/>
      <w:bCs/>
      <w:snapToGrid w:val="0"/>
      <w:color w:val="000000"/>
      <w:kern w:val="44"/>
      <w:sz w:val="44"/>
      <w:szCs w:val="44"/>
      <w:lang w:eastAsia="en-US"/>
    </w:rPr>
  </w:style>
  <w:style w:type="character" w:customStyle="1" w:styleId="21">
    <w:name w:val="标题 2 Char"/>
    <w:basedOn w:val="16"/>
    <w:link w:val="3"/>
    <w:uiPriority w:val="9"/>
    <w:rPr>
      <w:rFonts w:asciiTheme="majorHAnsi" w:hAnsiTheme="majorHAnsi" w:eastAsiaTheme="majorEastAsia" w:cstheme="majorBidi"/>
      <w:b/>
      <w:bCs/>
      <w:snapToGrid w:val="0"/>
      <w:color w:val="000000"/>
      <w:kern w:val="0"/>
      <w:sz w:val="32"/>
      <w:szCs w:val="32"/>
      <w:lang w:eastAsia="en-US"/>
    </w:rPr>
  </w:style>
  <w:style w:type="character" w:customStyle="1" w:styleId="22">
    <w:name w:val="正文文本 Char"/>
    <w:basedOn w:val="16"/>
    <w:link w:val="6"/>
    <w:semiHidden/>
    <w:uiPriority w:val="0"/>
    <w:rPr>
      <w:rFonts w:ascii="黑体" w:hAnsi="黑体" w:eastAsia="黑体" w:cs="黑体"/>
      <w:snapToGrid w:val="0"/>
      <w:color w:val="000000"/>
      <w:kern w:val="0"/>
      <w:sz w:val="30"/>
      <w:szCs w:val="30"/>
      <w:lang w:eastAsia="en-US"/>
    </w:rPr>
  </w:style>
  <w:style w:type="character" w:customStyle="1" w:styleId="23">
    <w:name w:val="批注框文本 Char"/>
    <w:basedOn w:val="16"/>
    <w:link w:val="9"/>
    <w:semiHidden/>
    <w:uiPriority w:val="99"/>
    <w:rPr>
      <w:rFonts w:ascii="Arial" w:hAnsi="Arial" w:cs="Arial"/>
      <w:snapToGrid w:val="0"/>
      <w:color w:val="000000"/>
      <w:kern w:val="0"/>
      <w:sz w:val="18"/>
      <w:szCs w:val="18"/>
      <w:lang w:eastAsia="en-US"/>
    </w:rPr>
  </w:style>
  <w:style w:type="paragraph" w:customStyle="1" w:styleId="24">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6"/>
      <w:szCs w:val="16"/>
      <w:lang w:eastAsia="en-US"/>
    </w:rPr>
  </w:style>
  <w:style w:type="character" w:customStyle="1" w:styleId="25">
    <w:name w:val="标题 3 Char"/>
    <w:basedOn w:val="16"/>
    <w:link w:val="4"/>
    <w:uiPriority w:val="9"/>
    <w:rPr>
      <w:rFonts w:ascii="Arial" w:hAnsi="Arial" w:cs="Arial"/>
      <w:b/>
      <w:bCs/>
      <w:snapToGrid w:val="0"/>
      <w:color w:val="000000"/>
      <w:kern w:val="0"/>
      <w:sz w:val="32"/>
      <w:szCs w:val="32"/>
      <w:lang w:eastAsia="en-US"/>
    </w:rPr>
  </w:style>
  <w:style w:type="paragraph" w:customStyle="1" w:styleId="26">
    <w:name w:val="段落正文"/>
    <w:basedOn w:val="1"/>
    <w:uiPriority w:val="0"/>
    <w:pPr>
      <w:kinsoku w:val="0"/>
      <w:autoSpaceDE w:val="0"/>
      <w:autoSpaceDN w:val="0"/>
      <w:adjustRightInd w:val="0"/>
      <w:snapToGrid w:val="0"/>
      <w:spacing w:line="300" w:lineRule="auto"/>
      <w:ind w:firstLine="482" w:firstLineChars="200"/>
      <w:textAlignment w:val="baseline"/>
    </w:pPr>
    <w:rPr>
      <w:rFonts w:ascii="Times New Roman" w:hAnsi="Times New Roman" w:eastAsia="宋体" w:cs="Times New Roman"/>
      <w:snapToGrid w:val="0"/>
      <w:color w:val="000000"/>
      <w:sz w:val="24"/>
      <w:szCs w:val="24"/>
    </w:rPr>
  </w:style>
  <w:style w:type="table" w:customStyle="1" w:styleId="27">
    <w:name w:val="Table Normal"/>
    <w:semiHidden/>
    <w:unhideWhenUsed/>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28">
    <w:name w:val="批注文字 Char"/>
    <w:basedOn w:val="16"/>
    <w:link w:val="5"/>
    <w:qFormat/>
    <w:uiPriority w:val="99"/>
    <w:rPr>
      <w:rFonts w:ascii="Arial" w:hAnsi="Arial" w:cs="Arial"/>
      <w:snapToGrid w:val="0"/>
      <w:color w:val="000000"/>
      <w:kern w:val="0"/>
      <w:szCs w:val="21"/>
      <w:lang w:eastAsia="en-US"/>
    </w:rPr>
  </w:style>
  <w:style w:type="character" w:customStyle="1" w:styleId="29">
    <w:name w:val="日期 Char"/>
    <w:basedOn w:val="16"/>
    <w:link w:val="8"/>
    <w:semiHidden/>
    <w:uiPriority w:val="99"/>
    <w:rPr>
      <w:rFonts w:ascii="Arial" w:hAnsi="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31534-4467-403F-B372-C00B18E61C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140</Pages>
  <Words>961</Words>
  <Characters>1218</Characters>
  <Lines>775</Lines>
  <Paragraphs>218</Paragraphs>
  <TotalTime>27</TotalTime>
  <ScaleCrop>false</ScaleCrop>
  <LinksUpToDate>false</LinksUpToDate>
  <CharactersWithSpaces>1525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2025-07-24T03:46:00Z</dcterms:created>
  <dc:creator>Administrator</dc:creator>
  <cp:lastModifiedBy>刘晓娟</cp:lastModifiedBy>
  <dcterms:modified xsi:type="dcterms:W3CDTF">2025-07-28T02:49:01Z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eyJoZGlkIjoiZTZiNDFkYjFhNmE4NWRkYWUxZjdkMDg5YmJjMWU2MTEiLCJ1c2VySWQiOiI3MjQ0ODIzMTAifQ==</vt:lpwstr>
  </property>
  <property fmtid="{D5CDD505-2E9C-101B-9397-08002B2CF9AE}" pid="3" name="KSOProductBuildVer">
    <vt:lpwstr>2052-12.1.0.21915</vt:lpwstr>
  </property>
  <property fmtid="{D5CDD505-2E9C-101B-9397-08002B2CF9AE}" pid="4" name="ICV">
    <vt:lpwstr>4EC8AF16516D42B5B345FF4773D9ACF0_13</vt:lpwstr>
  </property>
</Properties>
</file>