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84F35">
      <w:pPr>
        <w:rPr>
          <w:color w:val="auto"/>
          <w:highlight w:val="none"/>
        </w:rPr>
      </w:pPr>
    </w:p>
    <w:p w14:paraId="0007479A">
      <w:pPr>
        <w:pStyle w:val="15"/>
        <w:snapToGrid/>
        <w:jc w:val="center"/>
        <w:rPr>
          <w:rFonts w:eastAsia="黑体"/>
          <w:color w:val="auto"/>
          <w:sz w:val="26"/>
          <w:highlight w:val="none"/>
        </w:rPr>
      </w:pPr>
    </w:p>
    <w:p w14:paraId="5730911F">
      <w:pPr>
        <w:pStyle w:val="15"/>
        <w:snapToGrid/>
        <w:jc w:val="center"/>
        <w:rPr>
          <w:rFonts w:eastAsia="黑体"/>
          <w:color w:val="auto"/>
          <w:sz w:val="26"/>
          <w:highlight w:val="none"/>
        </w:rPr>
      </w:pPr>
    </w:p>
    <w:p w14:paraId="6B0E7C6B">
      <w:pPr>
        <w:jc w:val="center"/>
        <w:rPr>
          <w:rFonts w:eastAsia="黑体"/>
          <w:color w:val="auto"/>
          <w:sz w:val="26"/>
          <w:szCs w:val="36"/>
          <w:highlight w:val="none"/>
        </w:rPr>
      </w:pPr>
    </w:p>
    <w:p w14:paraId="56B0621E">
      <w:pPr>
        <w:widowControl/>
        <w:jc w:val="center"/>
        <w:outlineLvl w:val="0"/>
        <w:rPr>
          <w:rFonts w:eastAsia="方正小标宋简体"/>
          <w:color w:val="auto"/>
          <w:sz w:val="52"/>
          <w:szCs w:val="52"/>
          <w:highlight w:val="none"/>
        </w:rPr>
      </w:pPr>
      <w:bookmarkStart w:id="0" w:name="_Toc25475"/>
      <w:bookmarkStart w:id="1" w:name="_Toc18246"/>
      <w:bookmarkStart w:id="2" w:name="_Toc18329"/>
      <w:bookmarkStart w:id="3" w:name="_Toc26910"/>
      <w:r>
        <w:rPr>
          <w:rFonts w:eastAsia="方正小标宋简体"/>
          <w:color w:val="auto"/>
          <w:sz w:val="52"/>
          <w:szCs w:val="52"/>
          <w:highlight w:val="none"/>
        </w:rPr>
        <w:t>城市轨道交通工程投资估算编制办法</w:t>
      </w:r>
      <w:bookmarkEnd w:id="0"/>
      <w:bookmarkEnd w:id="1"/>
      <w:bookmarkEnd w:id="2"/>
      <w:bookmarkEnd w:id="3"/>
    </w:p>
    <w:p w14:paraId="2505E715">
      <w:pPr>
        <w:widowControl/>
        <w:jc w:val="center"/>
        <w:rPr>
          <w:rFonts w:eastAsia="方正小标宋简体"/>
          <w:color w:val="auto"/>
          <w:sz w:val="32"/>
          <w:szCs w:val="32"/>
          <w:highlight w:val="none"/>
        </w:rPr>
      </w:pPr>
    </w:p>
    <w:p w14:paraId="58DE4957">
      <w:pPr>
        <w:widowControl/>
        <w:jc w:val="center"/>
        <w:rPr>
          <w:rFonts w:eastAsia="方正小标宋简体"/>
          <w:color w:val="auto"/>
          <w:sz w:val="32"/>
          <w:szCs w:val="32"/>
          <w:highlight w:val="none"/>
        </w:rPr>
      </w:pPr>
    </w:p>
    <w:p w14:paraId="06AA45B6">
      <w:pPr>
        <w:widowControl/>
        <w:jc w:val="center"/>
        <w:rPr>
          <w:rFonts w:eastAsia="方正小标宋简体"/>
          <w:color w:val="auto"/>
          <w:sz w:val="32"/>
          <w:szCs w:val="32"/>
          <w:highlight w:val="none"/>
        </w:rPr>
      </w:pPr>
    </w:p>
    <w:p w14:paraId="4EA4A08D">
      <w:pPr>
        <w:widowControl/>
        <w:jc w:val="center"/>
        <w:rPr>
          <w:rFonts w:eastAsia="方正小标宋简体"/>
          <w:color w:val="auto"/>
          <w:sz w:val="32"/>
          <w:szCs w:val="32"/>
          <w:highlight w:val="none"/>
        </w:rPr>
      </w:pPr>
    </w:p>
    <w:p w14:paraId="33BD01D4">
      <w:pPr>
        <w:widowControl/>
        <w:jc w:val="center"/>
        <w:rPr>
          <w:rFonts w:eastAsia="方正小标宋简体"/>
          <w:color w:val="auto"/>
          <w:sz w:val="32"/>
          <w:szCs w:val="32"/>
          <w:highlight w:val="none"/>
        </w:rPr>
      </w:pPr>
    </w:p>
    <w:p w14:paraId="0AA3BD87">
      <w:pPr>
        <w:widowControl/>
        <w:jc w:val="center"/>
        <w:rPr>
          <w:rFonts w:eastAsia="方正小标宋简体"/>
          <w:color w:val="auto"/>
          <w:sz w:val="32"/>
          <w:szCs w:val="32"/>
          <w:highlight w:val="none"/>
        </w:rPr>
      </w:pPr>
    </w:p>
    <w:p w14:paraId="54CFA9D9">
      <w:pPr>
        <w:widowControl/>
        <w:jc w:val="center"/>
        <w:rPr>
          <w:rFonts w:eastAsia="方正小标宋简体"/>
          <w:color w:val="auto"/>
          <w:sz w:val="32"/>
          <w:szCs w:val="32"/>
          <w:highlight w:val="none"/>
        </w:rPr>
      </w:pPr>
    </w:p>
    <w:p w14:paraId="3AFEF0DC">
      <w:pPr>
        <w:widowControl/>
        <w:jc w:val="center"/>
        <w:rPr>
          <w:rFonts w:eastAsia="方正小标宋简体"/>
          <w:color w:val="auto"/>
          <w:sz w:val="32"/>
          <w:szCs w:val="32"/>
          <w:highlight w:val="none"/>
        </w:rPr>
      </w:pPr>
      <w:r>
        <w:rPr>
          <w:rFonts w:eastAsia="方正小标宋简体"/>
          <w:color w:val="auto"/>
          <w:sz w:val="32"/>
          <w:szCs w:val="32"/>
          <w:highlight w:val="none"/>
        </w:rPr>
        <w:t>征求意见稿</w:t>
      </w:r>
    </w:p>
    <w:p w14:paraId="39DA6422">
      <w:pPr>
        <w:pStyle w:val="15"/>
        <w:snapToGrid/>
        <w:jc w:val="center"/>
        <w:rPr>
          <w:rFonts w:eastAsia="黑体"/>
          <w:color w:val="auto"/>
          <w:sz w:val="26"/>
          <w:highlight w:val="none"/>
        </w:rPr>
      </w:pPr>
    </w:p>
    <w:p w14:paraId="68030176">
      <w:pPr>
        <w:pStyle w:val="15"/>
        <w:snapToGrid/>
        <w:jc w:val="center"/>
        <w:rPr>
          <w:rFonts w:eastAsia="黑体"/>
          <w:color w:val="auto"/>
          <w:sz w:val="26"/>
          <w:highlight w:val="none"/>
        </w:rPr>
      </w:pPr>
    </w:p>
    <w:p w14:paraId="787A18D0">
      <w:pPr>
        <w:jc w:val="center"/>
        <w:rPr>
          <w:rFonts w:eastAsia="黑体"/>
          <w:color w:val="auto"/>
          <w:sz w:val="26"/>
          <w:szCs w:val="44"/>
          <w:highlight w:val="none"/>
        </w:rPr>
      </w:pPr>
    </w:p>
    <w:p w14:paraId="71CCC209">
      <w:pPr>
        <w:pStyle w:val="15"/>
        <w:snapToGrid/>
        <w:jc w:val="center"/>
        <w:rPr>
          <w:rFonts w:eastAsia="黑体"/>
          <w:color w:val="auto"/>
          <w:sz w:val="26"/>
          <w:highlight w:val="none"/>
        </w:rPr>
      </w:pPr>
    </w:p>
    <w:p w14:paraId="17C6359C">
      <w:pPr>
        <w:pStyle w:val="15"/>
        <w:snapToGrid/>
        <w:jc w:val="center"/>
        <w:rPr>
          <w:rFonts w:eastAsia="黑体"/>
          <w:color w:val="auto"/>
          <w:sz w:val="26"/>
          <w:highlight w:val="none"/>
        </w:rPr>
      </w:pPr>
    </w:p>
    <w:p w14:paraId="71808E8A">
      <w:pPr>
        <w:pStyle w:val="15"/>
        <w:snapToGrid/>
        <w:jc w:val="center"/>
        <w:rPr>
          <w:rFonts w:eastAsia="黑体"/>
          <w:color w:val="auto"/>
          <w:sz w:val="26"/>
          <w:highlight w:val="none"/>
        </w:rPr>
      </w:pPr>
    </w:p>
    <w:p w14:paraId="71B36199">
      <w:pPr>
        <w:pStyle w:val="15"/>
        <w:snapToGrid/>
        <w:jc w:val="center"/>
        <w:rPr>
          <w:rFonts w:eastAsia="黑体"/>
          <w:color w:val="auto"/>
          <w:sz w:val="26"/>
          <w:highlight w:val="none"/>
        </w:rPr>
      </w:pPr>
    </w:p>
    <w:p w14:paraId="6D8E66E9">
      <w:pPr>
        <w:pStyle w:val="15"/>
        <w:snapToGrid/>
        <w:jc w:val="center"/>
        <w:rPr>
          <w:rFonts w:eastAsia="黑体"/>
          <w:color w:val="auto"/>
          <w:sz w:val="26"/>
          <w:highlight w:val="none"/>
        </w:rPr>
      </w:pPr>
    </w:p>
    <w:p w14:paraId="086050A9">
      <w:pPr>
        <w:pStyle w:val="15"/>
        <w:snapToGrid/>
        <w:jc w:val="center"/>
        <w:rPr>
          <w:rFonts w:eastAsia="黑体"/>
          <w:color w:val="auto"/>
          <w:sz w:val="26"/>
          <w:highlight w:val="none"/>
        </w:rPr>
      </w:pPr>
    </w:p>
    <w:p w14:paraId="0F13E0E0">
      <w:pPr>
        <w:jc w:val="center"/>
        <w:outlineLvl w:val="0"/>
        <w:rPr>
          <w:rFonts w:eastAsia="方正小标宋简体"/>
          <w:color w:val="auto"/>
          <w:sz w:val="32"/>
          <w:szCs w:val="32"/>
          <w:highlight w:val="none"/>
        </w:rPr>
      </w:pPr>
      <w:bookmarkStart w:id="4" w:name="_Toc4803"/>
      <w:bookmarkStart w:id="5" w:name="_Toc4360"/>
      <w:bookmarkStart w:id="6" w:name="_Toc18188"/>
      <w:bookmarkStart w:id="7" w:name="_Toc13570"/>
      <w:r>
        <w:rPr>
          <w:rFonts w:eastAsia="方正小标宋简体"/>
          <w:color w:val="auto"/>
          <w:sz w:val="32"/>
          <w:szCs w:val="32"/>
          <w:highlight w:val="none"/>
        </w:rPr>
        <w:t>住房和城乡建设部标准定额研究所</w:t>
      </w:r>
      <w:bookmarkEnd w:id="4"/>
      <w:bookmarkEnd w:id="5"/>
      <w:bookmarkEnd w:id="6"/>
      <w:bookmarkEnd w:id="7"/>
    </w:p>
    <w:p w14:paraId="352613CD">
      <w:pPr>
        <w:jc w:val="center"/>
        <w:rPr>
          <w:rFonts w:eastAsia="方正小标宋简体"/>
          <w:color w:val="auto"/>
          <w:sz w:val="32"/>
          <w:szCs w:val="32"/>
          <w:highlight w:val="none"/>
        </w:rPr>
      </w:pPr>
      <w:r>
        <w:rPr>
          <w:rFonts w:eastAsia="方正小标宋简体"/>
          <w:color w:val="auto"/>
          <w:sz w:val="32"/>
          <w:szCs w:val="32"/>
          <w:highlight w:val="none"/>
        </w:rPr>
        <w:t>2024年7月</w:t>
      </w:r>
    </w:p>
    <w:p w14:paraId="2D8FB4A5">
      <w:pPr>
        <w:jc w:val="center"/>
        <w:rPr>
          <w:rFonts w:eastAsia="方正小标宋简体"/>
          <w:color w:val="auto"/>
          <w:sz w:val="32"/>
          <w:szCs w:val="32"/>
          <w:highlight w:val="none"/>
        </w:rPr>
      </w:pPr>
    </w:p>
    <w:p w14:paraId="13F5D2C1">
      <w:pPr>
        <w:jc w:val="center"/>
        <w:rPr>
          <w:rFonts w:eastAsia="方正小标宋简体"/>
          <w:color w:val="auto"/>
          <w:sz w:val="32"/>
          <w:szCs w:val="32"/>
          <w:highlight w:val="none"/>
        </w:rPr>
      </w:pPr>
    </w:p>
    <w:p w14:paraId="38D5CDB4">
      <w:pPr>
        <w:jc w:val="center"/>
        <w:rPr>
          <w:rFonts w:eastAsia="方正小标宋简体"/>
          <w:color w:val="auto"/>
          <w:sz w:val="32"/>
          <w:szCs w:val="32"/>
          <w:highlight w:val="none"/>
        </w:rPr>
      </w:pPr>
      <w:bookmarkStart w:id="202" w:name="_GoBack"/>
      <w:bookmarkEnd w:id="202"/>
    </w:p>
    <w:sdt>
      <w:sdtPr>
        <w:rPr>
          <w:rFonts w:asciiTheme="majorHAnsi" w:hAnsiTheme="majorHAnsi" w:eastAsiaTheme="majorEastAsia" w:cstheme="majorBidi"/>
          <w:color w:val="auto"/>
          <w:kern w:val="0"/>
          <w:sz w:val="36"/>
          <w:szCs w:val="36"/>
          <w:highlight w:val="none"/>
        </w:rPr>
        <w:id w:val="147470702"/>
        <w15:color w:val="DBDBDB"/>
        <w:docPartObj>
          <w:docPartGallery w:val="Table of Contents"/>
          <w:docPartUnique/>
        </w:docPartObj>
      </w:sdtPr>
      <w:sdtEndPr>
        <w:rPr>
          <w:rFonts w:asciiTheme="majorHAnsi" w:hAnsiTheme="majorHAnsi" w:eastAsiaTheme="majorEastAsia" w:cstheme="majorBidi"/>
          <w:b/>
          <w:color w:val="auto"/>
          <w:kern w:val="0"/>
          <w:sz w:val="21"/>
          <w:szCs w:val="36"/>
          <w:highlight w:val="none"/>
        </w:rPr>
      </w:sdtEndPr>
      <w:sdtContent>
        <w:p w14:paraId="20CA6FEB">
          <w:pPr>
            <w:pStyle w:val="15"/>
            <w:snapToGrid/>
            <w:jc w:val="center"/>
            <w:rPr>
              <w:b/>
              <w:color w:val="auto"/>
              <w:sz w:val="28"/>
              <w:szCs w:val="28"/>
              <w:highlight w:val="none"/>
            </w:rPr>
          </w:pPr>
          <w:r>
            <w:rPr>
              <w:b/>
              <w:bCs/>
              <w:color w:val="auto"/>
              <w:sz w:val="36"/>
              <w:szCs w:val="36"/>
              <w:highlight w:val="none"/>
            </w:rPr>
            <w:t>目  录</w:t>
          </w:r>
          <w:r>
            <w:rPr>
              <w:color w:val="auto"/>
              <w:sz w:val="28"/>
              <w:szCs w:val="28"/>
              <w:highlight w:val="none"/>
            </w:rPr>
            <w:fldChar w:fldCharType="begin"/>
          </w:r>
          <w:r>
            <w:rPr>
              <w:color w:val="auto"/>
              <w:sz w:val="28"/>
              <w:szCs w:val="28"/>
              <w:highlight w:val="none"/>
            </w:rPr>
            <w:instrText xml:space="preserve">TOC \o "1-2" \h \u </w:instrText>
          </w:r>
          <w:r>
            <w:rPr>
              <w:color w:val="auto"/>
              <w:sz w:val="28"/>
              <w:szCs w:val="28"/>
              <w:highlight w:val="none"/>
            </w:rPr>
            <w:fldChar w:fldCharType="separate"/>
          </w:r>
        </w:p>
        <w:p w14:paraId="3272CEE1">
          <w:pPr>
            <w:rPr>
              <w:color w:val="auto"/>
              <w:highlight w:val="none"/>
            </w:rPr>
          </w:pPr>
        </w:p>
        <w:p w14:paraId="6D18DF5B">
          <w:pPr>
            <w:pStyle w:val="17"/>
            <w:tabs>
              <w:tab w:val="right" w:leader="dot" w:pos="9072"/>
              <w:tab w:val="clear" w:pos="9071"/>
            </w:tabs>
            <w:rPr>
              <w:szCs w:val="28"/>
              <w:highlight w:val="none"/>
            </w:rPr>
          </w:pPr>
          <w:r>
            <w:rPr>
              <w:highlight w:val="none"/>
            </w:rPr>
            <w:fldChar w:fldCharType="begin"/>
          </w:r>
          <w:r>
            <w:rPr>
              <w:highlight w:val="none"/>
            </w:rPr>
            <w:instrText xml:space="preserve"> HYPERLINK \l "_Toc9087" </w:instrText>
          </w:r>
          <w:r>
            <w:rPr>
              <w:highlight w:val="none"/>
            </w:rPr>
            <w:fldChar w:fldCharType="separate"/>
          </w:r>
          <w:r>
            <w:rPr>
              <w:szCs w:val="28"/>
              <w:highlight w:val="none"/>
            </w:rPr>
            <w:t>第一章　总则</w:t>
          </w:r>
          <w:r>
            <w:rPr>
              <w:szCs w:val="28"/>
              <w:highlight w:val="none"/>
            </w:rPr>
            <w:tab/>
          </w:r>
          <w:r>
            <w:rPr>
              <w:szCs w:val="28"/>
              <w:highlight w:val="none"/>
            </w:rPr>
            <w:fldChar w:fldCharType="begin"/>
          </w:r>
          <w:r>
            <w:rPr>
              <w:szCs w:val="28"/>
              <w:highlight w:val="none"/>
            </w:rPr>
            <w:instrText xml:space="preserve"> PAGEREF _Toc9087 \h </w:instrText>
          </w:r>
          <w:r>
            <w:rPr>
              <w:szCs w:val="28"/>
              <w:highlight w:val="none"/>
            </w:rPr>
            <w:fldChar w:fldCharType="separate"/>
          </w:r>
          <w:r>
            <w:rPr>
              <w:szCs w:val="28"/>
              <w:highlight w:val="none"/>
            </w:rPr>
            <w:t>1</w:t>
          </w:r>
          <w:r>
            <w:rPr>
              <w:szCs w:val="28"/>
              <w:highlight w:val="none"/>
            </w:rPr>
            <w:fldChar w:fldCharType="end"/>
          </w:r>
          <w:r>
            <w:rPr>
              <w:szCs w:val="28"/>
              <w:highlight w:val="none"/>
            </w:rPr>
            <w:fldChar w:fldCharType="end"/>
          </w:r>
        </w:p>
        <w:p w14:paraId="56A7F59D">
          <w:pPr>
            <w:pStyle w:val="17"/>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"_Toc21088" </w:instrText>
          </w:r>
          <w:r>
            <w:rPr>
              <w:highlight w:val="none"/>
            </w:rPr>
            <w:fldChar w:fldCharType="separate"/>
          </w:r>
          <w:r>
            <w:rPr>
              <w:szCs w:val="28"/>
              <w:highlight w:val="none"/>
            </w:rPr>
            <w:t>第二章　估算文件组成</w:t>
          </w:r>
          <w:r>
            <w:rPr>
              <w:szCs w:val="28"/>
              <w:highlight w:val="none"/>
            </w:rPr>
            <w:tab/>
          </w:r>
          <w:r>
            <w:rPr>
              <w:szCs w:val="28"/>
              <w:highlight w:val="none"/>
            </w:rPr>
            <w:fldChar w:fldCharType="begin"/>
          </w:r>
          <w:r>
            <w:rPr>
              <w:szCs w:val="28"/>
              <w:highlight w:val="none"/>
            </w:rPr>
            <w:instrText xml:space="preserve"> PAGEREF _Toc21088 \h </w:instrText>
          </w:r>
          <w:r>
            <w:rPr>
              <w:szCs w:val="28"/>
              <w:highlight w:val="none"/>
            </w:rPr>
            <w:fldChar w:fldCharType="separate"/>
          </w:r>
          <w:r>
            <w:rPr>
              <w:szCs w:val="28"/>
              <w:highlight w:val="none"/>
            </w:rPr>
            <w:t>3</w:t>
          </w:r>
          <w:r>
            <w:rPr>
              <w:szCs w:val="28"/>
              <w:highlight w:val="none"/>
            </w:rPr>
            <w:fldChar w:fldCharType="end"/>
          </w:r>
          <w:r>
            <w:rPr>
              <w:szCs w:val="28"/>
              <w:highlight w:val="none"/>
            </w:rPr>
            <w:fldChar w:fldCharType="end"/>
          </w:r>
        </w:p>
        <w:p w14:paraId="53F922DF">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"_Toc17474" </w:instrText>
          </w:r>
          <w:r>
            <w:rPr>
              <w:highlight w:val="none"/>
            </w:rPr>
            <w:fldChar w:fldCharType="separate"/>
          </w:r>
          <w:r>
            <w:rPr>
              <w:rFonts w:eastAsia="宋体"/>
              <w:szCs w:val="28"/>
              <w:highlight w:val="none"/>
            </w:rPr>
            <w:t>第一节 编制说明</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_Toc17474 \h </w:instrText>
          </w:r>
          <w:r>
            <w:rPr>
              <w:rFonts w:eastAsia="宋体"/>
              <w:szCs w:val="28"/>
              <w:highlight w:val="none"/>
            </w:rPr>
            <w:fldChar w:fldCharType="separate"/>
          </w:r>
          <w:r>
            <w:rPr>
              <w:rFonts w:eastAsia="宋体"/>
              <w:szCs w:val="28"/>
              <w:highlight w:val="none"/>
            </w:rPr>
            <w:t>3</w:t>
          </w:r>
          <w:r>
            <w:rPr>
              <w:rFonts w:eastAsia="宋体"/>
              <w:szCs w:val="28"/>
              <w:highlight w:val="none"/>
            </w:rPr>
            <w:fldChar w:fldCharType="end"/>
          </w:r>
          <w:r>
            <w:rPr>
              <w:rFonts w:eastAsia="宋体"/>
              <w:szCs w:val="28"/>
              <w:highlight w:val="none"/>
            </w:rPr>
            <w:fldChar w:fldCharType="end"/>
          </w:r>
        </w:p>
        <w:p w14:paraId="5C5E787A">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"_Toc20860" </w:instrText>
          </w:r>
          <w:r>
            <w:rPr>
              <w:highlight w:val="none"/>
            </w:rPr>
            <w:fldChar w:fldCharType="separate"/>
          </w:r>
          <w:r>
            <w:rPr>
              <w:rFonts w:eastAsia="宋体"/>
              <w:szCs w:val="28"/>
              <w:highlight w:val="none"/>
            </w:rPr>
            <w:t>第二节 基本表格及附件</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_Toc20860 \h </w:instrText>
          </w:r>
          <w:r>
            <w:rPr>
              <w:rFonts w:eastAsia="宋体"/>
              <w:szCs w:val="28"/>
              <w:highlight w:val="none"/>
            </w:rPr>
            <w:fldChar w:fldCharType="separate"/>
          </w:r>
          <w:r>
            <w:rPr>
              <w:rFonts w:eastAsia="宋体"/>
              <w:szCs w:val="28"/>
              <w:highlight w:val="none"/>
            </w:rPr>
            <w:t>7</w:t>
          </w:r>
          <w:r>
            <w:rPr>
              <w:rFonts w:eastAsia="宋体"/>
              <w:szCs w:val="28"/>
              <w:highlight w:val="none"/>
            </w:rPr>
            <w:fldChar w:fldCharType="end"/>
          </w:r>
          <w:r>
            <w:rPr>
              <w:rFonts w:eastAsia="宋体"/>
              <w:szCs w:val="28"/>
              <w:highlight w:val="none"/>
            </w:rPr>
            <w:fldChar w:fldCharType="end"/>
          </w:r>
        </w:p>
        <w:p w14:paraId="03A20776">
          <w:pPr>
            <w:pStyle w:val="17"/>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"_Toc9691" </w:instrText>
          </w:r>
          <w:r>
            <w:rPr>
              <w:highlight w:val="none"/>
            </w:rPr>
            <w:fldChar w:fldCharType="separate"/>
          </w:r>
          <w:r>
            <w:rPr>
              <w:szCs w:val="28"/>
              <w:highlight w:val="none"/>
            </w:rPr>
            <w:t>第三章　估算编制办法</w:t>
          </w:r>
          <w:r>
            <w:rPr>
              <w:szCs w:val="28"/>
              <w:highlight w:val="none"/>
            </w:rPr>
            <w:tab/>
          </w:r>
          <w:r>
            <w:rPr>
              <w:szCs w:val="28"/>
              <w:highlight w:val="none"/>
            </w:rPr>
            <w:fldChar w:fldCharType="begin"/>
          </w:r>
          <w:r>
            <w:rPr>
              <w:szCs w:val="28"/>
              <w:highlight w:val="none"/>
            </w:rPr>
            <w:instrText xml:space="preserve"> PAGEREF _Toc9691 \h </w:instrText>
          </w:r>
          <w:r>
            <w:rPr>
              <w:szCs w:val="28"/>
              <w:highlight w:val="none"/>
            </w:rPr>
            <w:fldChar w:fldCharType="separate"/>
          </w:r>
          <w:r>
            <w:rPr>
              <w:szCs w:val="28"/>
              <w:highlight w:val="none"/>
            </w:rPr>
            <w:t>9</w:t>
          </w:r>
          <w:r>
            <w:rPr>
              <w:szCs w:val="28"/>
              <w:highlight w:val="none"/>
            </w:rPr>
            <w:fldChar w:fldCharType="end"/>
          </w:r>
          <w:r>
            <w:rPr>
              <w:szCs w:val="28"/>
              <w:highlight w:val="none"/>
            </w:rPr>
            <w:fldChar w:fldCharType="end"/>
          </w:r>
        </w:p>
        <w:p w14:paraId="3DDB60D5">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"_Toc1676" </w:instrText>
          </w:r>
          <w:r>
            <w:rPr>
              <w:highlight w:val="none"/>
            </w:rPr>
            <w:fldChar w:fldCharType="separate"/>
          </w:r>
          <w:r>
            <w:rPr>
              <w:rFonts w:eastAsia="宋体"/>
              <w:szCs w:val="28"/>
              <w:highlight w:val="none"/>
            </w:rPr>
            <w:t>第一节　估算编制层次</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_Toc1676 \h </w:instrText>
          </w:r>
          <w:r>
            <w:rPr>
              <w:rFonts w:eastAsia="宋体"/>
              <w:szCs w:val="28"/>
              <w:highlight w:val="none"/>
            </w:rPr>
            <w:fldChar w:fldCharType="separate"/>
          </w:r>
          <w:r>
            <w:rPr>
              <w:rFonts w:eastAsia="宋体"/>
              <w:szCs w:val="28"/>
              <w:highlight w:val="none"/>
            </w:rPr>
            <w:t>9</w:t>
          </w:r>
          <w:r>
            <w:rPr>
              <w:rFonts w:eastAsia="宋体"/>
              <w:szCs w:val="28"/>
              <w:highlight w:val="none"/>
            </w:rPr>
            <w:fldChar w:fldCharType="end"/>
          </w:r>
          <w:r>
            <w:rPr>
              <w:rFonts w:eastAsia="宋体"/>
              <w:szCs w:val="28"/>
              <w:highlight w:val="none"/>
            </w:rPr>
            <w:fldChar w:fldCharType="end"/>
          </w:r>
        </w:p>
        <w:p w14:paraId="1B961970">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"_Toc5442" </w:instrText>
          </w:r>
          <w:r>
            <w:rPr>
              <w:highlight w:val="none"/>
            </w:rPr>
            <w:fldChar w:fldCharType="separate"/>
          </w:r>
          <w:r>
            <w:rPr>
              <w:rFonts w:eastAsia="宋体"/>
              <w:szCs w:val="28"/>
              <w:highlight w:val="none"/>
            </w:rPr>
            <w:t>第二节　估算章节划分</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_Toc5442 \h </w:instrText>
          </w:r>
          <w:r>
            <w:rPr>
              <w:rFonts w:eastAsia="宋体"/>
              <w:szCs w:val="28"/>
              <w:highlight w:val="none"/>
            </w:rPr>
            <w:fldChar w:fldCharType="separate"/>
          </w:r>
          <w:r>
            <w:rPr>
              <w:rFonts w:eastAsia="宋体"/>
              <w:szCs w:val="28"/>
              <w:highlight w:val="none"/>
            </w:rPr>
            <w:t>9</w:t>
          </w:r>
          <w:r>
            <w:rPr>
              <w:rFonts w:eastAsia="宋体"/>
              <w:szCs w:val="28"/>
              <w:highlight w:val="none"/>
            </w:rPr>
            <w:fldChar w:fldCharType="end"/>
          </w:r>
          <w:r>
            <w:rPr>
              <w:rFonts w:eastAsia="宋体"/>
              <w:szCs w:val="28"/>
              <w:highlight w:val="none"/>
            </w:rPr>
            <w:fldChar w:fldCharType="end"/>
          </w:r>
        </w:p>
        <w:p w14:paraId="4CD63F12">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"_Toc14386" </w:instrText>
          </w:r>
          <w:r>
            <w:rPr>
              <w:highlight w:val="none"/>
            </w:rPr>
            <w:fldChar w:fldCharType="separate"/>
          </w:r>
          <w:r>
            <w:rPr>
              <w:rFonts w:eastAsia="宋体"/>
              <w:szCs w:val="28"/>
              <w:highlight w:val="none"/>
            </w:rPr>
            <w:t>第三节　计价依据与费用标准</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_Toc14386 \h </w:instrText>
          </w:r>
          <w:r>
            <w:rPr>
              <w:rFonts w:eastAsia="宋体"/>
              <w:szCs w:val="28"/>
              <w:highlight w:val="none"/>
            </w:rPr>
            <w:fldChar w:fldCharType="separate"/>
          </w:r>
          <w:r>
            <w:rPr>
              <w:rFonts w:eastAsia="宋体"/>
              <w:szCs w:val="28"/>
              <w:highlight w:val="none"/>
            </w:rPr>
            <w:t>10</w:t>
          </w:r>
          <w:r>
            <w:rPr>
              <w:rFonts w:eastAsia="宋体"/>
              <w:szCs w:val="28"/>
              <w:highlight w:val="none"/>
            </w:rPr>
            <w:fldChar w:fldCharType="end"/>
          </w:r>
          <w:r>
            <w:rPr>
              <w:rFonts w:eastAsia="宋体"/>
              <w:szCs w:val="28"/>
              <w:highlight w:val="none"/>
            </w:rPr>
            <w:fldChar w:fldCharType="end"/>
          </w:r>
        </w:p>
        <w:p w14:paraId="40438BB3">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"_Toc32217" </w:instrText>
          </w:r>
          <w:r>
            <w:rPr>
              <w:highlight w:val="none"/>
            </w:rPr>
            <w:fldChar w:fldCharType="separate"/>
          </w:r>
          <w:r>
            <w:rPr>
              <w:rFonts w:eastAsia="宋体"/>
              <w:szCs w:val="28"/>
              <w:highlight w:val="none"/>
            </w:rPr>
            <w:t>第四节　估算费用种类</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_Toc32217 \h </w:instrText>
          </w:r>
          <w:r>
            <w:rPr>
              <w:rFonts w:eastAsia="宋体"/>
              <w:szCs w:val="28"/>
              <w:highlight w:val="none"/>
            </w:rPr>
            <w:fldChar w:fldCharType="separate"/>
          </w:r>
          <w:r>
            <w:rPr>
              <w:rFonts w:eastAsia="宋体"/>
              <w:szCs w:val="28"/>
              <w:highlight w:val="none"/>
            </w:rPr>
            <w:t>11</w:t>
          </w:r>
          <w:r>
            <w:rPr>
              <w:rFonts w:eastAsia="宋体"/>
              <w:szCs w:val="28"/>
              <w:highlight w:val="none"/>
            </w:rPr>
            <w:fldChar w:fldCharType="end"/>
          </w:r>
          <w:r>
            <w:rPr>
              <w:rFonts w:eastAsia="宋体"/>
              <w:szCs w:val="28"/>
              <w:highlight w:val="none"/>
            </w:rPr>
            <w:fldChar w:fldCharType="end"/>
          </w:r>
        </w:p>
        <w:p w14:paraId="711F5320">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"_Toc3696" </w:instrText>
          </w:r>
          <w:r>
            <w:rPr>
              <w:highlight w:val="none"/>
            </w:rPr>
            <w:fldChar w:fldCharType="separate"/>
          </w:r>
          <w:r>
            <w:rPr>
              <w:rFonts w:eastAsia="宋体"/>
              <w:szCs w:val="28"/>
              <w:highlight w:val="none"/>
            </w:rPr>
            <w:t>第五节　估算费用项目组成</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_Toc3696 \h </w:instrText>
          </w:r>
          <w:r>
            <w:rPr>
              <w:rFonts w:eastAsia="宋体"/>
              <w:szCs w:val="28"/>
              <w:highlight w:val="none"/>
            </w:rPr>
            <w:fldChar w:fldCharType="separate"/>
          </w:r>
          <w:r>
            <w:rPr>
              <w:rFonts w:eastAsia="宋体"/>
              <w:szCs w:val="28"/>
              <w:highlight w:val="none"/>
            </w:rPr>
            <w:t>13</w:t>
          </w:r>
          <w:r>
            <w:rPr>
              <w:rFonts w:eastAsia="宋体"/>
              <w:szCs w:val="28"/>
              <w:highlight w:val="none"/>
            </w:rPr>
            <w:fldChar w:fldCharType="end"/>
          </w:r>
          <w:r>
            <w:rPr>
              <w:rFonts w:eastAsia="宋体"/>
              <w:szCs w:val="28"/>
              <w:highlight w:val="none"/>
            </w:rPr>
            <w:fldChar w:fldCharType="end"/>
          </w:r>
        </w:p>
        <w:p w14:paraId="31BDA547">
          <w:pPr>
            <w:pStyle w:val="17"/>
            <w:tabs>
              <w:tab w:val="right" w:leader="dot" w:pos="9072"/>
              <w:tab w:val="clear" w:pos="9071"/>
            </w:tabs>
            <w:rPr>
              <w:szCs w:val="28"/>
              <w:highlight w:val="none"/>
            </w:rPr>
          </w:pPr>
          <w:r>
            <w:rPr>
              <w:highlight w:val="none"/>
            </w:rPr>
            <w:fldChar w:fldCharType="begin"/>
          </w:r>
          <w:r>
            <w:rPr>
              <w:highlight w:val="none"/>
            </w:rPr>
            <w:instrText xml:space="preserve"> HYPERLINK \l "_Toc12596" </w:instrText>
          </w:r>
          <w:r>
            <w:rPr>
              <w:highlight w:val="none"/>
            </w:rPr>
            <w:fldChar w:fldCharType="separate"/>
          </w:r>
          <w:r>
            <w:rPr>
              <w:szCs w:val="28"/>
              <w:highlight w:val="none"/>
            </w:rPr>
            <w:t>第四章　估算费用内容及标准</w:t>
          </w:r>
          <w:r>
            <w:rPr>
              <w:szCs w:val="28"/>
              <w:highlight w:val="none"/>
            </w:rPr>
            <w:tab/>
          </w:r>
          <w:r>
            <w:rPr>
              <w:szCs w:val="28"/>
              <w:highlight w:val="none"/>
            </w:rPr>
            <w:fldChar w:fldCharType="begin"/>
          </w:r>
          <w:r>
            <w:rPr>
              <w:szCs w:val="28"/>
              <w:highlight w:val="none"/>
            </w:rPr>
            <w:instrText xml:space="preserve"> PAGEREF _Toc12596 \h </w:instrText>
          </w:r>
          <w:r>
            <w:rPr>
              <w:szCs w:val="28"/>
              <w:highlight w:val="none"/>
            </w:rPr>
            <w:fldChar w:fldCharType="separate"/>
          </w:r>
          <w:r>
            <w:rPr>
              <w:szCs w:val="28"/>
              <w:highlight w:val="none"/>
            </w:rPr>
            <w:t>14</w:t>
          </w:r>
          <w:r>
            <w:rPr>
              <w:szCs w:val="28"/>
              <w:highlight w:val="none"/>
            </w:rPr>
            <w:fldChar w:fldCharType="end"/>
          </w:r>
          <w:r>
            <w:rPr>
              <w:szCs w:val="28"/>
              <w:highlight w:val="none"/>
            </w:rPr>
            <w:fldChar w:fldCharType="end"/>
          </w:r>
        </w:p>
        <w:p w14:paraId="3E1EA0F3">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"_Toc8122" </w:instrText>
          </w:r>
          <w:r>
            <w:rPr>
              <w:highlight w:val="none"/>
            </w:rPr>
            <w:fldChar w:fldCharType="separate"/>
          </w:r>
          <w:r>
            <w:rPr>
              <w:rFonts w:eastAsia="宋体"/>
              <w:szCs w:val="28"/>
              <w:highlight w:val="none"/>
            </w:rPr>
            <w:t>第一节　建筑安装工程费</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_Toc8122 \h </w:instrText>
          </w:r>
          <w:r>
            <w:rPr>
              <w:rFonts w:eastAsia="宋体"/>
              <w:szCs w:val="28"/>
              <w:highlight w:val="none"/>
            </w:rPr>
            <w:fldChar w:fldCharType="separate"/>
          </w:r>
          <w:r>
            <w:rPr>
              <w:rFonts w:eastAsia="宋体"/>
              <w:szCs w:val="28"/>
              <w:highlight w:val="none"/>
            </w:rPr>
            <w:t>14</w:t>
          </w:r>
          <w:r>
            <w:rPr>
              <w:rFonts w:eastAsia="宋体"/>
              <w:szCs w:val="28"/>
              <w:highlight w:val="none"/>
            </w:rPr>
            <w:fldChar w:fldCharType="end"/>
          </w:r>
          <w:r>
            <w:rPr>
              <w:rFonts w:eastAsia="宋体"/>
              <w:szCs w:val="28"/>
              <w:highlight w:val="none"/>
            </w:rPr>
            <w:fldChar w:fldCharType="end"/>
          </w:r>
        </w:p>
        <w:p w14:paraId="615AFE17">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"_Toc4710" </w:instrText>
          </w:r>
          <w:r>
            <w:rPr>
              <w:highlight w:val="none"/>
            </w:rPr>
            <w:fldChar w:fldCharType="separate"/>
          </w:r>
          <w:r>
            <w:rPr>
              <w:rFonts w:eastAsia="宋体"/>
              <w:szCs w:val="28"/>
              <w:highlight w:val="none"/>
            </w:rPr>
            <w:t>第二节　设备购置费</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_Toc4710 \h </w:instrText>
          </w:r>
          <w:r>
            <w:rPr>
              <w:rFonts w:eastAsia="宋体"/>
              <w:szCs w:val="28"/>
              <w:highlight w:val="none"/>
            </w:rPr>
            <w:fldChar w:fldCharType="separate"/>
          </w:r>
          <w:r>
            <w:rPr>
              <w:rFonts w:eastAsia="宋体"/>
              <w:szCs w:val="28"/>
              <w:highlight w:val="none"/>
            </w:rPr>
            <w:t>15</w:t>
          </w:r>
          <w:r>
            <w:rPr>
              <w:rFonts w:eastAsia="宋体"/>
              <w:szCs w:val="28"/>
              <w:highlight w:val="none"/>
            </w:rPr>
            <w:fldChar w:fldCharType="end"/>
          </w:r>
          <w:r>
            <w:rPr>
              <w:rFonts w:eastAsia="宋体"/>
              <w:szCs w:val="28"/>
              <w:highlight w:val="none"/>
            </w:rPr>
            <w:fldChar w:fldCharType="end"/>
          </w:r>
        </w:p>
        <w:p w14:paraId="04ABD97C">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"_Toc30617" </w:instrText>
          </w:r>
          <w:r>
            <w:rPr>
              <w:highlight w:val="none"/>
            </w:rPr>
            <w:fldChar w:fldCharType="separate"/>
          </w:r>
          <w:r>
            <w:rPr>
              <w:rFonts w:eastAsia="宋体"/>
              <w:szCs w:val="28"/>
              <w:highlight w:val="none"/>
            </w:rPr>
            <w:t>第三节　工程建设其他费用</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_Toc30617 \h </w:instrText>
          </w:r>
          <w:r>
            <w:rPr>
              <w:rFonts w:eastAsia="宋体"/>
              <w:szCs w:val="28"/>
              <w:highlight w:val="none"/>
            </w:rPr>
            <w:fldChar w:fldCharType="separate"/>
          </w:r>
          <w:r>
            <w:rPr>
              <w:rFonts w:eastAsia="宋体"/>
              <w:szCs w:val="28"/>
              <w:highlight w:val="none"/>
            </w:rPr>
            <w:t>17</w:t>
          </w:r>
          <w:r>
            <w:rPr>
              <w:rFonts w:eastAsia="宋体"/>
              <w:szCs w:val="28"/>
              <w:highlight w:val="none"/>
            </w:rPr>
            <w:fldChar w:fldCharType="end"/>
          </w:r>
          <w:r>
            <w:rPr>
              <w:rFonts w:eastAsia="宋体"/>
              <w:szCs w:val="28"/>
              <w:highlight w:val="none"/>
            </w:rPr>
            <w:fldChar w:fldCharType="end"/>
          </w:r>
        </w:p>
        <w:p w14:paraId="4C744DF8">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"_Toc26760" </w:instrText>
          </w:r>
          <w:r>
            <w:rPr>
              <w:highlight w:val="none"/>
            </w:rPr>
            <w:fldChar w:fldCharType="separate"/>
          </w:r>
          <w:r>
            <w:rPr>
              <w:rFonts w:eastAsia="宋体"/>
              <w:szCs w:val="28"/>
              <w:highlight w:val="none"/>
            </w:rPr>
            <w:t>第四节　预备费</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_Toc26760 \h </w:instrText>
          </w:r>
          <w:r>
            <w:rPr>
              <w:rFonts w:eastAsia="宋体"/>
              <w:szCs w:val="28"/>
              <w:highlight w:val="none"/>
            </w:rPr>
            <w:fldChar w:fldCharType="separate"/>
          </w:r>
          <w:r>
            <w:rPr>
              <w:rFonts w:eastAsia="宋体"/>
              <w:szCs w:val="28"/>
              <w:highlight w:val="none"/>
            </w:rPr>
            <w:t>32</w:t>
          </w:r>
          <w:r>
            <w:rPr>
              <w:rFonts w:eastAsia="宋体"/>
              <w:szCs w:val="28"/>
              <w:highlight w:val="none"/>
            </w:rPr>
            <w:fldChar w:fldCharType="end"/>
          </w:r>
          <w:r>
            <w:rPr>
              <w:rFonts w:eastAsia="宋体"/>
              <w:szCs w:val="28"/>
              <w:highlight w:val="none"/>
            </w:rPr>
            <w:fldChar w:fldCharType="end"/>
          </w:r>
        </w:p>
        <w:p w14:paraId="6C8BA9B2">
          <w:pPr>
            <w:pStyle w:val="20"/>
            <w:tabs>
              <w:tab w:val="right" w:leader="dot" w:pos="9072"/>
              <w:tab w:val="clear" w:pos="9071"/>
            </w:tabs>
            <w:rPr>
              <w:rFonts w:eastAsia="宋体"/>
              <w:szCs w:val="28"/>
              <w:highlight w:val="none"/>
            </w:rPr>
          </w:pPr>
          <w:r>
            <w:rPr>
              <w:highlight w:val="none"/>
            </w:rPr>
            <w:fldChar w:fldCharType="begin"/>
          </w:r>
          <w:r>
            <w:rPr>
              <w:highlight w:val="none"/>
            </w:rPr>
            <w:instrText xml:space="preserve"> HYPERLINK \l "_Toc27543" </w:instrText>
          </w:r>
          <w:r>
            <w:rPr>
              <w:highlight w:val="none"/>
            </w:rPr>
            <w:fldChar w:fldCharType="separate"/>
          </w:r>
          <w:r>
            <w:rPr>
              <w:rFonts w:eastAsia="宋体"/>
              <w:szCs w:val="28"/>
              <w:highlight w:val="none"/>
            </w:rPr>
            <w:t>第五节　专项费用</w:t>
          </w:r>
          <w:r>
            <w:rPr>
              <w:rFonts w:eastAsia="宋体"/>
              <w:szCs w:val="28"/>
              <w:highlight w:val="none"/>
            </w:rPr>
            <w:tab/>
          </w:r>
          <w:r>
            <w:rPr>
              <w:rFonts w:eastAsia="宋体"/>
              <w:szCs w:val="28"/>
              <w:highlight w:val="none"/>
            </w:rPr>
            <w:fldChar w:fldCharType="begin"/>
          </w:r>
          <w:r>
            <w:rPr>
              <w:rFonts w:eastAsia="宋体"/>
              <w:szCs w:val="28"/>
              <w:highlight w:val="none"/>
            </w:rPr>
            <w:instrText xml:space="preserve"> PAGEREF _Toc27543 \h </w:instrText>
          </w:r>
          <w:r>
            <w:rPr>
              <w:rFonts w:eastAsia="宋体"/>
              <w:szCs w:val="28"/>
              <w:highlight w:val="none"/>
            </w:rPr>
            <w:fldChar w:fldCharType="separate"/>
          </w:r>
          <w:r>
            <w:rPr>
              <w:rFonts w:eastAsia="宋体"/>
              <w:szCs w:val="28"/>
              <w:highlight w:val="none"/>
            </w:rPr>
            <w:t>33</w:t>
          </w:r>
          <w:r>
            <w:rPr>
              <w:rFonts w:eastAsia="宋体"/>
              <w:szCs w:val="28"/>
              <w:highlight w:val="none"/>
            </w:rPr>
            <w:fldChar w:fldCharType="end"/>
          </w:r>
          <w:r>
            <w:rPr>
              <w:rFonts w:eastAsia="宋体"/>
              <w:szCs w:val="28"/>
              <w:highlight w:val="none"/>
            </w:rPr>
            <w:fldChar w:fldCharType="end"/>
          </w:r>
        </w:p>
        <w:p w14:paraId="1290CCB3">
          <w:pPr>
            <w:pStyle w:val="17"/>
            <w:tabs>
              <w:tab w:val="right" w:leader="dot" w:pos="9072"/>
              <w:tab w:val="clear" w:pos="9071"/>
            </w:tabs>
            <w:rPr>
              <w:szCs w:val="28"/>
              <w:highlight w:val="none"/>
            </w:rPr>
          </w:pPr>
          <w:r>
            <w:rPr>
              <w:highlight w:val="none"/>
            </w:rPr>
            <w:fldChar w:fldCharType="begin"/>
          </w:r>
          <w:r>
            <w:rPr>
              <w:highlight w:val="none"/>
            </w:rPr>
            <w:instrText xml:space="preserve"> HYPERLINK \l "_Toc31369" </w:instrText>
          </w:r>
          <w:r>
            <w:rPr>
              <w:highlight w:val="none"/>
            </w:rPr>
            <w:fldChar w:fldCharType="separate"/>
          </w:r>
          <w:r>
            <w:rPr>
              <w:bCs/>
              <w:kern w:val="44"/>
              <w:szCs w:val="28"/>
              <w:highlight w:val="none"/>
            </w:rPr>
            <w:t>附录</w:t>
          </w:r>
          <w:r>
            <w:rPr>
              <w:szCs w:val="28"/>
              <w:highlight w:val="none"/>
            </w:rPr>
            <w:tab/>
          </w:r>
          <w:r>
            <w:rPr>
              <w:szCs w:val="28"/>
              <w:highlight w:val="none"/>
            </w:rPr>
            <w:fldChar w:fldCharType="begin"/>
          </w:r>
          <w:r>
            <w:rPr>
              <w:szCs w:val="28"/>
              <w:highlight w:val="none"/>
            </w:rPr>
            <w:instrText xml:space="preserve"> PAGEREF _Toc31369 \h </w:instrText>
          </w:r>
          <w:r>
            <w:rPr>
              <w:szCs w:val="28"/>
              <w:highlight w:val="none"/>
            </w:rPr>
            <w:fldChar w:fldCharType="separate"/>
          </w:r>
          <w:r>
            <w:rPr>
              <w:szCs w:val="28"/>
              <w:highlight w:val="none"/>
            </w:rPr>
            <w:t>35</w:t>
          </w:r>
          <w:r>
            <w:rPr>
              <w:szCs w:val="28"/>
              <w:highlight w:val="none"/>
            </w:rPr>
            <w:fldChar w:fldCharType="end"/>
          </w:r>
          <w:r>
            <w:rPr>
              <w:szCs w:val="28"/>
              <w:highlight w:val="none"/>
            </w:rPr>
            <w:fldChar w:fldCharType="end"/>
          </w:r>
        </w:p>
        <w:p w14:paraId="71C1AEAB">
          <w:pPr>
            <w:pStyle w:val="38"/>
            <w:keepNext w:val="0"/>
            <w:keepLines w:val="0"/>
            <w:widowControl w:val="0"/>
            <w:tabs>
              <w:tab w:val="center" w:pos="4153"/>
              <w:tab w:val="right" w:pos="8306"/>
            </w:tabs>
            <w:spacing w:before="0" w:line="240" w:lineRule="auto"/>
            <w:jc w:val="center"/>
            <w:rPr>
              <w:rFonts w:ascii="Times New Roman" w:hAnsi="Times New Roman" w:cs="Times New Roman"/>
              <w:color w:val="auto"/>
              <w:highlight w:val="none"/>
            </w:rPr>
          </w:pPr>
          <w:r>
            <w:rPr>
              <w:rFonts w:ascii="Times New Roman" w:hAnsi="Times New Roman" w:cs="Times New Roman"/>
              <w:b/>
              <w:color w:val="auto"/>
              <w:sz w:val="28"/>
              <w:szCs w:val="28"/>
              <w:highlight w:val="none"/>
            </w:rPr>
            <w:fldChar w:fldCharType="end"/>
          </w:r>
        </w:p>
      </w:sdtContent>
    </w:sdt>
    <w:p w14:paraId="41263025">
      <w:pPr>
        <w:keepNext/>
        <w:pageBreakBefore/>
        <w:spacing w:before="242" w:beforeLines="50" w:after="145" w:afterLines="30"/>
        <w:jc w:val="center"/>
        <w:rPr>
          <w:b/>
          <w:color w:val="auto"/>
          <w:sz w:val="44"/>
          <w:highlight w:val="none"/>
        </w:rPr>
        <w:sectPr>
          <w:headerReference r:id="rId3" w:type="default"/>
          <w:footerReference r:id="rId4" w:type="default"/>
          <w:pgSz w:w="11906" w:h="16838"/>
          <w:pgMar w:top="1701" w:right="1417" w:bottom="1531" w:left="1417" w:header="992" w:footer="850" w:gutter="0"/>
          <w:cols w:space="425" w:num="1"/>
          <w:docGrid w:type="lines" w:linePitch="485" w:charSpace="0"/>
        </w:sectPr>
      </w:pPr>
      <w:bookmarkStart w:id="8" w:name="_Toc118989862"/>
      <w:bookmarkStart w:id="9" w:name="_Toc118214434"/>
    </w:p>
    <w:bookmarkEnd w:id="8"/>
    <w:bookmarkEnd w:id="9"/>
    <w:p w14:paraId="73F2EFE0">
      <w:pPr>
        <w:pStyle w:val="2"/>
        <w:jc w:val="center"/>
        <w:rPr>
          <w:rFonts w:eastAsia="宋体"/>
          <w:color w:val="auto"/>
          <w:sz w:val="44"/>
          <w:highlight w:val="none"/>
        </w:rPr>
      </w:pPr>
      <w:bookmarkStart w:id="10" w:name="_Toc9087"/>
      <w:bookmarkStart w:id="11" w:name="_Toc706"/>
      <w:r>
        <w:rPr>
          <w:rFonts w:eastAsia="宋体"/>
          <w:color w:val="auto"/>
          <w:sz w:val="44"/>
          <w:highlight w:val="none"/>
        </w:rPr>
        <w:t>第一章　总则</w:t>
      </w:r>
      <w:bookmarkEnd w:id="10"/>
      <w:bookmarkEnd w:id="11"/>
    </w:p>
    <w:p w14:paraId="52B12E3B">
      <w:pPr>
        <w:ind w:firstLine="560" w:firstLineChars="200"/>
        <w:textAlignment w:val="center"/>
        <w:rPr>
          <w:color w:val="auto"/>
          <w:highlight w:val="none"/>
        </w:rPr>
      </w:pPr>
      <w:r>
        <w:rPr>
          <w:color w:val="auto"/>
          <w:highlight w:val="none"/>
        </w:rPr>
        <w:t>一、为进一步适应城市轨道交通工程建设需要，规范城市轨道交通工程投资估算编制方法及相关费用标准，提高投资估算编制质量，合理确定建设项目投资，在认真总结和调研已运营城市轨道交通工程投资估算编制经验的基础上，特制定《城市轨道交通工程投资估算编制办法》（以下简称本《办法》）。</w:t>
      </w:r>
    </w:p>
    <w:p w14:paraId="2DEBED45">
      <w:pPr>
        <w:ind w:firstLine="560" w:firstLineChars="200"/>
        <w:textAlignment w:val="center"/>
        <w:rPr>
          <w:color w:val="auto"/>
          <w:highlight w:val="none"/>
        </w:rPr>
      </w:pPr>
      <w:r>
        <w:rPr>
          <w:color w:val="auto"/>
          <w:highlight w:val="none"/>
        </w:rPr>
        <w:t>二、本《办法》适用于新建、改建、扩建的城市轨道交通工程（包括地铁系统、轻轨系统、单轨系统、有轨电车、磁浮系统、自动导向轨道系统、市域</w:t>
      </w:r>
      <w:r>
        <w:rPr>
          <w:rFonts w:hint="eastAsia"/>
          <w:color w:val="auto"/>
          <w:highlight w:val="none"/>
        </w:rPr>
        <w:t>快速</w:t>
      </w:r>
      <w:r>
        <w:rPr>
          <w:color w:val="auto"/>
          <w:highlight w:val="none"/>
        </w:rPr>
        <w:t>轨道系统）投资估算文件的编制。</w:t>
      </w:r>
    </w:p>
    <w:p w14:paraId="70D98A4B">
      <w:pPr>
        <w:ind w:firstLine="560" w:firstLineChars="200"/>
        <w:textAlignment w:val="center"/>
        <w:rPr>
          <w:color w:val="auto"/>
          <w:highlight w:val="none"/>
        </w:rPr>
      </w:pPr>
      <w:r>
        <w:rPr>
          <w:color w:val="auto"/>
          <w:highlight w:val="none"/>
        </w:rPr>
        <w:t>三、本《办法》是政府有关部门加强城市轨道交通工程建设宏观调控和进行项目投资控制的重要依据。</w:t>
      </w:r>
    </w:p>
    <w:p w14:paraId="09E85646">
      <w:pPr>
        <w:ind w:firstLine="560" w:firstLineChars="200"/>
        <w:textAlignment w:val="center"/>
        <w:rPr>
          <w:color w:val="auto"/>
          <w:highlight w:val="none"/>
        </w:rPr>
      </w:pPr>
      <w:r>
        <w:rPr>
          <w:color w:val="auto"/>
          <w:highlight w:val="none"/>
        </w:rPr>
        <w:t>四、城市轨道交通工程投资估算是建设规划阶段和可行性研究阶段文件的重要组成部分，是全面反映建设项目投资规模和投资构成的主要文件。投资估算编制应完整反映设计范围内工程项目建设全过程所需的全部费用，符合城市轨道交通工程项目建设、投资构成和工程造价管理的要求，有利于合理确定和有效控制城市轨道交通工程造价，对充分发挥投资效益、提高经济效益和社会效益具有重要意义。</w:t>
      </w:r>
    </w:p>
    <w:p w14:paraId="3F8217BC">
      <w:pPr>
        <w:ind w:firstLine="560" w:firstLineChars="200"/>
        <w:textAlignment w:val="center"/>
        <w:rPr>
          <w:color w:val="auto"/>
          <w:highlight w:val="none"/>
        </w:rPr>
      </w:pPr>
      <w:r>
        <w:rPr>
          <w:color w:val="auto"/>
          <w:highlight w:val="none"/>
        </w:rPr>
        <w:t>五、文件编制单位应对投资估算全面负责。当由两个及以上单位共同编制时，总体编制单位应负责统一制定估算编制原则并汇编总估算，其他单位负责编制各自所承担部分的投资估算。</w:t>
      </w:r>
    </w:p>
    <w:p w14:paraId="5427F8E4">
      <w:pPr>
        <w:ind w:firstLine="560" w:firstLineChars="200"/>
        <w:textAlignment w:val="center"/>
        <w:rPr>
          <w:color w:val="auto"/>
          <w:highlight w:val="none"/>
        </w:rPr>
      </w:pPr>
      <w:r>
        <w:rPr>
          <w:color w:val="auto"/>
          <w:highlight w:val="none"/>
        </w:rPr>
        <w:t>六、城市轨道交通工程投资估算应按本《办法》的规定进行编制。同时必须严格执行国家和项目所在地基本建设有关方针、政策和工程造价管理规定，在调查研究的基础上，如实反映工程项目建设规模、标准、工程筹划、建设条件和所需投资，合理确定和严格控制工程造价。</w:t>
      </w:r>
    </w:p>
    <w:p w14:paraId="73BD5BD2">
      <w:pPr>
        <w:ind w:firstLine="560" w:firstLineChars="200"/>
        <w:textAlignment w:val="center"/>
        <w:rPr>
          <w:color w:val="auto"/>
          <w:highlight w:val="none"/>
        </w:rPr>
      </w:pPr>
      <w:r>
        <w:rPr>
          <w:color w:val="auto"/>
          <w:highlight w:val="none"/>
        </w:rPr>
        <w:t>七、各省、自治区、直辖市建设主管部门，可在本《办法》的基础上，结合当地实际情况制定补充规定并报住房和城乡建设部备案。</w:t>
      </w:r>
    </w:p>
    <w:p w14:paraId="13B397FE">
      <w:pPr>
        <w:ind w:firstLine="560" w:firstLineChars="200"/>
        <w:textAlignment w:val="center"/>
        <w:rPr>
          <w:color w:val="auto"/>
          <w:highlight w:val="none"/>
        </w:rPr>
      </w:pPr>
      <w:r>
        <w:rPr>
          <w:color w:val="auto"/>
          <w:highlight w:val="none"/>
        </w:rPr>
        <w:t>八、本《办法》由住房和城乡建设部标准定额司负责解释。请各单位在执行过程中，注意积累资料，认真总结经验，将有关意见及时反馈住房和城乡建设部标准定额司。</w:t>
      </w:r>
    </w:p>
    <w:p w14:paraId="3EF16B76">
      <w:pPr>
        <w:ind w:firstLine="560" w:firstLineChars="200"/>
        <w:textAlignment w:val="center"/>
        <w:rPr>
          <w:color w:val="auto"/>
          <w:highlight w:val="none"/>
        </w:rPr>
      </w:pPr>
      <w:bookmarkStart w:id="12" w:name="_Toc118214451"/>
      <w:bookmarkStart w:id="13" w:name="_Toc101535786"/>
      <w:bookmarkStart w:id="14" w:name="_Toc118989863"/>
    </w:p>
    <w:p w14:paraId="46B0342B">
      <w:pPr>
        <w:ind w:firstLine="560" w:firstLineChars="200"/>
        <w:textAlignment w:val="center"/>
        <w:rPr>
          <w:color w:val="auto"/>
          <w:highlight w:val="none"/>
        </w:rPr>
      </w:pPr>
    </w:p>
    <w:p w14:paraId="35E1B2C5">
      <w:pPr>
        <w:rPr>
          <w:color w:val="auto"/>
          <w:highlight w:val="none"/>
        </w:rPr>
      </w:pPr>
    </w:p>
    <w:p w14:paraId="19F8A091">
      <w:pPr>
        <w:rPr>
          <w:color w:val="auto"/>
          <w:highlight w:val="none"/>
        </w:rPr>
      </w:pPr>
    </w:p>
    <w:p w14:paraId="388E3B2C">
      <w:pPr>
        <w:rPr>
          <w:color w:val="auto"/>
          <w:highlight w:val="none"/>
        </w:rPr>
      </w:pPr>
    </w:p>
    <w:p w14:paraId="1B56A150">
      <w:pPr>
        <w:rPr>
          <w:color w:val="auto"/>
          <w:highlight w:val="none"/>
        </w:rPr>
      </w:pPr>
    </w:p>
    <w:p w14:paraId="368D2E59">
      <w:pPr>
        <w:rPr>
          <w:color w:val="auto"/>
          <w:highlight w:val="none"/>
        </w:rPr>
      </w:pPr>
    </w:p>
    <w:p w14:paraId="0D398701">
      <w:pPr>
        <w:rPr>
          <w:color w:val="auto"/>
          <w:highlight w:val="none"/>
        </w:rPr>
      </w:pPr>
    </w:p>
    <w:p w14:paraId="23D366E1">
      <w:pPr>
        <w:rPr>
          <w:color w:val="auto"/>
          <w:highlight w:val="none"/>
        </w:rPr>
      </w:pPr>
    </w:p>
    <w:p w14:paraId="1F947D38">
      <w:pPr>
        <w:rPr>
          <w:color w:val="auto"/>
          <w:highlight w:val="none"/>
        </w:rPr>
      </w:pPr>
    </w:p>
    <w:p w14:paraId="5A481519">
      <w:pPr>
        <w:rPr>
          <w:color w:val="auto"/>
          <w:highlight w:val="none"/>
        </w:rPr>
      </w:pPr>
    </w:p>
    <w:p w14:paraId="523397F0">
      <w:pPr>
        <w:rPr>
          <w:color w:val="auto"/>
          <w:highlight w:val="none"/>
        </w:rPr>
      </w:pPr>
    </w:p>
    <w:p w14:paraId="499D9662">
      <w:pPr>
        <w:rPr>
          <w:color w:val="auto"/>
          <w:highlight w:val="none"/>
        </w:rPr>
      </w:pPr>
    </w:p>
    <w:p w14:paraId="475A374E">
      <w:pPr>
        <w:rPr>
          <w:color w:val="auto"/>
          <w:highlight w:val="none"/>
        </w:rPr>
      </w:pPr>
    </w:p>
    <w:p w14:paraId="72387B33">
      <w:pPr>
        <w:rPr>
          <w:color w:val="auto"/>
          <w:highlight w:val="none"/>
        </w:rPr>
      </w:pPr>
    </w:p>
    <w:p w14:paraId="71C4C5FF">
      <w:pPr>
        <w:rPr>
          <w:color w:val="auto"/>
          <w:highlight w:val="none"/>
        </w:rPr>
      </w:pPr>
    </w:p>
    <w:p w14:paraId="0AD51C67">
      <w:pPr>
        <w:rPr>
          <w:color w:val="auto"/>
          <w:highlight w:val="none"/>
        </w:rPr>
      </w:pPr>
    </w:p>
    <w:p w14:paraId="3A73AD46">
      <w:pPr>
        <w:rPr>
          <w:color w:val="auto"/>
          <w:highlight w:val="none"/>
        </w:rPr>
      </w:pPr>
    </w:p>
    <w:p w14:paraId="7B0C3824">
      <w:pPr>
        <w:rPr>
          <w:color w:val="auto"/>
          <w:highlight w:val="none"/>
        </w:rPr>
      </w:pPr>
    </w:p>
    <w:p w14:paraId="680D891F">
      <w:pPr>
        <w:rPr>
          <w:color w:val="auto"/>
          <w:highlight w:val="none"/>
        </w:rPr>
      </w:pPr>
    </w:p>
    <w:p w14:paraId="09F4812B">
      <w:pPr>
        <w:rPr>
          <w:color w:val="auto"/>
          <w:highlight w:val="none"/>
        </w:rPr>
      </w:pPr>
    </w:p>
    <w:p w14:paraId="4E9F80BF">
      <w:pPr>
        <w:rPr>
          <w:color w:val="auto"/>
          <w:highlight w:val="none"/>
        </w:rPr>
      </w:pPr>
    </w:p>
    <w:p w14:paraId="49F9549F">
      <w:pPr>
        <w:pStyle w:val="2"/>
        <w:jc w:val="center"/>
        <w:rPr>
          <w:rFonts w:eastAsia="宋体"/>
          <w:color w:val="auto"/>
          <w:sz w:val="44"/>
          <w:highlight w:val="none"/>
        </w:rPr>
      </w:pPr>
      <w:bookmarkStart w:id="15" w:name="_Toc21088"/>
      <w:bookmarkStart w:id="16" w:name="_Toc27025"/>
      <w:r>
        <w:rPr>
          <w:rFonts w:eastAsia="宋体"/>
          <w:color w:val="auto"/>
          <w:sz w:val="44"/>
          <w:highlight w:val="none"/>
        </w:rPr>
        <w:t>第二章　估算</w:t>
      </w:r>
      <w:bookmarkEnd w:id="12"/>
      <w:bookmarkEnd w:id="13"/>
      <w:r>
        <w:rPr>
          <w:rFonts w:eastAsia="宋体"/>
          <w:color w:val="auto"/>
          <w:sz w:val="44"/>
          <w:highlight w:val="none"/>
        </w:rPr>
        <w:t>文件组成</w:t>
      </w:r>
      <w:bookmarkEnd w:id="14"/>
      <w:bookmarkEnd w:id="15"/>
      <w:bookmarkEnd w:id="16"/>
    </w:p>
    <w:p w14:paraId="12AF3B85">
      <w:pPr>
        <w:ind w:firstLine="560" w:firstLineChars="200"/>
        <w:textAlignment w:val="center"/>
        <w:rPr>
          <w:color w:val="auto"/>
          <w:highlight w:val="none"/>
        </w:rPr>
      </w:pPr>
      <w:r>
        <w:rPr>
          <w:color w:val="auto"/>
          <w:highlight w:val="none"/>
        </w:rPr>
        <w:t>估算文件由编制说明、基本表格及附件组成。</w:t>
      </w:r>
    </w:p>
    <w:p w14:paraId="6742BCBC">
      <w:pPr>
        <w:pStyle w:val="3"/>
        <w:jc w:val="center"/>
        <w:rPr>
          <w:rFonts w:ascii="Times New Roman" w:hAnsi="Times New Roman" w:cs="Times New Roman"/>
          <w:color w:val="auto"/>
          <w:highlight w:val="none"/>
        </w:rPr>
      </w:pPr>
      <w:bookmarkStart w:id="17" w:name="_Toc17474"/>
      <w:bookmarkStart w:id="18" w:name="_Toc10442"/>
      <w:r>
        <w:rPr>
          <w:rFonts w:ascii="Times New Roman" w:hAnsi="Times New Roman" w:cs="Times New Roman"/>
          <w:color w:val="auto"/>
          <w:highlight w:val="none"/>
        </w:rPr>
        <w:t>第一节 编制说明</w:t>
      </w:r>
      <w:bookmarkEnd w:id="17"/>
    </w:p>
    <w:p w14:paraId="6BC02475">
      <w:pPr>
        <w:ind w:firstLine="560" w:firstLineChars="200"/>
        <w:textAlignment w:val="center"/>
        <w:outlineLvl w:val="2"/>
        <w:rPr>
          <w:rFonts w:eastAsia="楷体"/>
          <w:color w:val="auto"/>
          <w:highlight w:val="none"/>
        </w:rPr>
      </w:pPr>
      <w:r>
        <w:rPr>
          <w:rFonts w:eastAsia="楷体"/>
          <w:color w:val="auto"/>
          <w:highlight w:val="none"/>
        </w:rPr>
        <w:t>（一）工程概况</w:t>
      </w:r>
      <w:bookmarkEnd w:id="18"/>
    </w:p>
    <w:p w14:paraId="10C2587B">
      <w:pPr>
        <w:ind w:firstLine="560" w:firstLineChars="200"/>
        <w:textAlignment w:val="center"/>
        <w:rPr>
          <w:color w:val="auto"/>
          <w:highlight w:val="none"/>
        </w:rPr>
      </w:pPr>
      <w:r>
        <w:rPr>
          <w:color w:val="auto"/>
          <w:highlight w:val="none"/>
        </w:rPr>
        <w:t>简述线路规模（线路起讫点、路由路径及里程、各类线路敷设方式及长度），车站设置状况（总数量、分类数量、换乘站情况），站间距，车辆基地、主变电站、运营控制中心设置状况，车辆配置情况（类型、设计时速及编组）。</w:t>
      </w:r>
    </w:p>
    <w:p w14:paraId="6C08BA5D">
      <w:pPr>
        <w:ind w:firstLine="560" w:firstLineChars="200"/>
        <w:textAlignment w:val="center"/>
        <w:outlineLvl w:val="2"/>
        <w:rPr>
          <w:rFonts w:eastAsia="楷体"/>
          <w:color w:val="auto"/>
          <w:highlight w:val="none"/>
        </w:rPr>
      </w:pPr>
      <w:bookmarkStart w:id="19" w:name="_Toc14346"/>
      <w:r>
        <w:rPr>
          <w:rFonts w:eastAsia="楷体"/>
          <w:color w:val="auto"/>
          <w:highlight w:val="none"/>
        </w:rPr>
        <w:t>（二）编制范围</w:t>
      </w:r>
      <w:bookmarkEnd w:id="19"/>
    </w:p>
    <w:p w14:paraId="72C4FF85">
      <w:pPr>
        <w:ind w:firstLine="560" w:firstLineChars="200"/>
        <w:textAlignment w:val="center"/>
        <w:rPr>
          <w:color w:val="auto"/>
          <w:highlight w:val="none"/>
        </w:rPr>
      </w:pPr>
      <w:r>
        <w:rPr>
          <w:color w:val="auto"/>
          <w:highlight w:val="none"/>
        </w:rPr>
        <w:t>说明投资估算的编制范围和单元划分。一般每个项目按一个估算单元编制，费用内容包括整个项目的全部建设投资（工程费用、工程建设其他费用、预备费、车辆购置费）、建设期利息和铺底流动资金。如遇特殊情况，可根据实际需要划分投资估算编制范围和单元，并予以说明。</w:t>
      </w:r>
    </w:p>
    <w:p w14:paraId="04CDCC99">
      <w:pPr>
        <w:ind w:firstLine="560" w:firstLineChars="200"/>
        <w:textAlignment w:val="center"/>
        <w:rPr>
          <w:color w:val="auto"/>
          <w:highlight w:val="none"/>
        </w:rPr>
      </w:pPr>
      <w:r>
        <w:rPr>
          <w:color w:val="auto"/>
          <w:highlight w:val="none"/>
        </w:rPr>
        <w:t>说明同步建设工程情况（本项目代建其他项目工程内容、由其他项目代建本项目工程进展）、费用内容、分摊费用来源及依据。说明改造工程情况以及费用内容。</w:t>
      </w:r>
    </w:p>
    <w:p w14:paraId="261FB016">
      <w:pPr>
        <w:ind w:firstLine="560" w:firstLineChars="200"/>
        <w:textAlignment w:val="center"/>
        <w:rPr>
          <w:color w:val="auto"/>
          <w:highlight w:val="none"/>
        </w:rPr>
      </w:pPr>
      <w:r>
        <w:rPr>
          <w:color w:val="auto"/>
          <w:highlight w:val="none"/>
        </w:rPr>
        <w:t>根据项目实际情况说明总估算未包含的费用内容。一般不包括沿线物业开发的费用、同步建设及共用工程应由其他项目分摊的费用。</w:t>
      </w:r>
    </w:p>
    <w:p w14:paraId="54EDC9C3">
      <w:pPr>
        <w:ind w:firstLine="560" w:firstLineChars="200"/>
        <w:textAlignment w:val="center"/>
        <w:rPr>
          <w:color w:val="auto"/>
          <w:highlight w:val="none"/>
        </w:rPr>
      </w:pPr>
      <w:r>
        <w:rPr>
          <w:color w:val="auto"/>
          <w:highlight w:val="none"/>
        </w:rPr>
        <w:t>沿线物业开发的费用、同步建设及共用工程应由其他项目分摊的费用、民用通信引入系统等根据建设管理需要单独按不同项目分别编制估算。</w:t>
      </w:r>
    </w:p>
    <w:p w14:paraId="67D26AC7">
      <w:pPr>
        <w:ind w:firstLine="560" w:firstLineChars="200"/>
        <w:textAlignment w:val="center"/>
        <w:outlineLvl w:val="2"/>
        <w:rPr>
          <w:rFonts w:eastAsia="楷体"/>
          <w:color w:val="auto"/>
          <w:highlight w:val="none"/>
        </w:rPr>
      </w:pPr>
      <w:bookmarkStart w:id="20" w:name="_Toc31224"/>
      <w:r>
        <w:rPr>
          <w:rFonts w:eastAsia="楷体"/>
          <w:color w:val="auto"/>
          <w:highlight w:val="none"/>
        </w:rPr>
        <w:t>（三）编制依据</w:t>
      </w:r>
      <w:bookmarkEnd w:id="20"/>
    </w:p>
    <w:p w14:paraId="70903FD3">
      <w:pPr>
        <w:ind w:firstLine="560" w:firstLineChars="200"/>
        <w:textAlignment w:val="center"/>
        <w:rPr>
          <w:color w:val="auto"/>
          <w:highlight w:val="none"/>
        </w:rPr>
      </w:pPr>
      <w:r>
        <w:rPr>
          <w:color w:val="auto"/>
          <w:highlight w:val="none"/>
        </w:rPr>
        <w:t>1．国家、行业、地方政府有关规定。</w:t>
      </w:r>
    </w:p>
    <w:p w14:paraId="38A770CD">
      <w:pPr>
        <w:ind w:firstLine="560" w:firstLineChars="200"/>
        <w:textAlignment w:val="center"/>
        <w:rPr>
          <w:color w:val="auto"/>
          <w:highlight w:val="none"/>
        </w:rPr>
      </w:pPr>
      <w:r>
        <w:rPr>
          <w:color w:val="auto"/>
          <w:highlight w:val="none"/>
        </w:rPr>
        <w:t>2．投资估算指标分析采用的相关计价文件，一般包括项目所在地省</w:t>
      </w:r>
      <w:r>
        <w:rPr>
          <w:color w:val="auto"/>
          <w:szCs w:val="22"/>
          <w:highlight w:val="none"/>
        </w:rPr>
        <w:t>（自治区、直辖市）</w:t>
      </w:r>
      <w:r>
        <w:rPr>
          <w:color w:val="auto"/>
          <w:highlight w:val="none"/>
        </w:rPr>
        <w:t>或行业的</w:t>
      </w:r>
      <w:r>
        <w:rPr>
          <w:rFonts w:hint="eastAsia"/>
          <w:color w:val="auto"/>
          <w:highlight w:val="none"/>
          <w:lang w:eastAsia="zh-CN"/>
        </w:rPr>
        <w:t>计价依据</w:t>
      </w:r>
      <w:r>
        <w:rPr>
          <w:color w:val="auto"/>
          <w:highlight w:val="none"/>
        </w:rPr>
        <w:t>等。</w:t>
      </w:r>
    </w:p>
    <w:p w14:paraId="1893D466">
      <w:pPr>
        <w:ind w:firstLine="560" w:firstLineChars="200"/>
        <w:textAlignment w:val="center"/>
        <w:rPr>
          <w:color w:val="auto"/>
          <w:highlight w:val="none"/>
        </w:rPr>
      </w:pPr>
      <w:r>
        <w:rPr>
          <w:color w:val="auto"/>
          <w:highlight w:val="none"/>
        </w:rPr>
        <w:t>3．</w:t>
      </w:r>
      <w:r>
        <w:rPr>
          <w:rFonts w:hint="eastAsia"/>
          <w:color w:val="auto"/>
          <w:highlight w:val="none"/>
          <w:lang w:eastAsia="zh-CN"/>
        </w:rPr>
        <w:t>人</w:t>
      </w:r>
      <w:r>
        <w:rPr>
          <w:color w:val="auto"/>
          <w:highlight w:val="none"/>
        </w:rPr>
        <w:t>工、</w:t>
      </w:r>
      <w:r>
        <w:rPr>
          <w:rFonts w:hint="eastAsia"/>
          <w:color w:val="auto"/>
          <w:highlight w:val="none"/>
          <w:lang w:eastAsia="zh-CN"/>
        </w:rPr>
        <w:t>材</w:t>
      </w:r>
      <w:r>
        <w:rPr>
          <w:color w:val="auto"/>
          <w:highlight w:val="none"/>
        </w:rPr>
        <w:t>料、</w:t>
      </w:r>
      <w:r>
        <w:rPr>
          <w:rFonts w:hint="eastAsia"/>
          <w:color w:val="auto"/>
          <w:highlight w:val="none"/>
          <w:lang w:eastAsia="zh-CN"/>
        </w:rPr>
        <w:t>施工机械</w:t>
      </w:r>
      <w:r>
        <w:rPr>
          <w:color w:val="auto"/>
          <w:highlight w:val="none"/>
        </w:rPr>
        <w:t>设备</w:t>
      </w:r>
      <w:r>
        <w:rPr>
          <w:rFonts w:hint="eastAsia"/>
          <w:color w:val="auto"/>
          <w:highlight w:val="none"/>
          <w:lang w:eastAsia="zh-CN"/>
        </w:rPr>
        <w:t>费</w:t>
      </w:r>
      <w:r>
        <w:rPr>
          <w:color w:val="auto"/>
          <w:highlight w:val="none"/>
        </w:rPr>
        <w:t>单价取定的依据或来源。</w:t>
      </w:r>
    </w:p>
    <w:p w14:paraId="52D9D627">
      <w:pPr>
        <w:ind w:firstLine="560" w:firstLineChars="200"/>
        <w:textAlignment w:val="center"/>
        <w:rPr>
          <w:color w:val="auto"/>
          <w:highlight w:val="none"/>
        </w:rPr>
      </w:pPr>
      <w:r>
        <w:rPr>
          <w:color w:val="auto"/>
          <w:highlight w:val="none"/>
        </w:rPr>
        <w:t>4．类似工程的技术经济指标和参数。</w:t>
      </w:r>
    </w:p>
    <w:p w14:paraId="2F4035B4">
      <w:pPr>
        <w:ind w:firstLine="560" w:firstLineChars="200"/>
        <w:textAlignment w:val="center"/>
        <w:rPr>
          <w:color w:val="auto"/>
          <w:highlight w:val="none"/>
        </w:rPr>
      </w:pPr>
      <w:r>
        <w:rPr>
          <w:color w:val="auto"/>
          <w:highlight w:val="none"/>
        </w:rPr>
        <w:t>5．其他相关</w:t>
      </w:r>
      <w:r>
        <w:rPr>
          <w:rFonts w:hint="eastAsia"/>
          <w:color w:val="auto"/>
          <w:highlight w:val="none"/>
          <w:lang w:eastAsia="zh-CN"/>
        </w:rPr>
        <w:t>资料</w:t>
      </w:r>
      <w:r>
        <w:rPr>
          <w:color w:val="auto"/>
          <w:highlight w:val="none"/>
        </w:rPr>
        <w:t>。</w:t>
      </w:r>
    </w:p>
    <w:p w14:paraId="26C0051F">
      <w:pPr>
        <w:ind w:firstLine="560" w:firstLineChars="200"/>
        <w:textAlignment w:val="center"/>
        <w:outlineLvl w:val="2"/>
        <w:rPr>
          <w:rFonts w:eastAsia="楷体"/>
          <w:color w:val="auto"/>
          <w:highlight w:val="none"/>
        </w:rPr>
      </w:pPr>
      <w:r>
        <w:rPr>
          <w:rFonts w:eastAsia="楷体"/>
          <w:color w:val="auto"/>
          <w:highlight w:val="none"/>
        </w:rPr>
        <w:t>（四）工程费用</w:t>
      </w:r>
    </w:p>
    <w:p w14:paraId="5EF7FE01">
      <w:pPr>
        <w:ind w:firstLine="560" w:firstLineChars="200"/>
        <w:textAlignment w:val="center"/>
        <w:rPr>
          <w:color w:val="auto"/>
          <w:highlight w:val="none"/>
        </w:rPr>
      </w:pPr>
      <w:r>
        <w:rPr>
          <w:color w:val="auto"/>
          <w:highlight w:val="none"/>
        </w:rPr>
        <w:t>1．各章工程费用内容</w:t>
      </w:r>
    </w:p>
    <w:p w14:paraId="2C64FC17">
      <w:pPr>
        <w:ind w:firstLine="560" w:firstLineChars="200"/>
        <w:textAlignment w:val="center"/>
        <w:rPr>
          <w:color w:val="auto"/>
          <w:highlight w:val="none"/>
        </w:rPr>
      </w:pPr>
      <w:r>
        <w:rPr>
          <w:color w:val="auto"/>
          <w:highlight w:val="none"/>
        </w:rPr>
        <w:t>工程费用根据总估算的编制范围，分工程类别按投资估算章节表各章节包含内容编制估算。以下为各章费用内容的基本规定，应根据项目实际情况和建设管理需要，对各章费用内容进行调整、补充。其中涉及智慧城市轨道交通、绿色城市轨道交通、云平台、大数据、信息化、改造工程等内容，应结合专业界面及设计方案，明确说明各章中所包含的费用内容，相关费用单列。</w:t>
      </w:r>
    </w:p>
    <w:p w14:paraId="33B5BD64">
      <w:pPr>
        <w:ind w:firstLine="560" w:firstLineChars="200"/>
        <w:textAlignment w:val="center"/>
        <w:rPr>
          <w:color w:val="auto"/>
          <w:highlight w:val="none"/>
        </w:rPr>
      </w:pPr>
      <w:r>
        <w:rPr>
          <w:color w:val="auto"/>
          <w:highlight w:val="none"/>
        </w:rPr>
        <w:t>（1）车站：包括主体和附属的土建结构（含人防）、建筑装饰以及附属设施等工程，车站风险源处理，应列入车站的交通接驳广场、停车场等。</w:t>
      </w:r>
    </w:p>
    <w:p w14:paraId="5AA75EC0">
      <w:pPr>
        <w:ind w:firstLine="560" w:firstLineChars="200"/>
        <w:textAlignment w:val="center"/>
        <w:rPr>
          <w:color w:val="auto"/>
          <w:highlight w:val="none"/>
        </w:rPr>
      </w:pPr>
      <w:r>
        <w:rPr>
          <w:color w:val="auto"/>
          <w:highlight w:val="none"/>
        </w:rPr>
        <w:t>（2）区间：包括主体（隧道、桥梁、路基）、联络通道、中间风井、区间变电所等工程，区间风险源处理，区间范围内的噪声防护、桥下绿化、检修便道、线路防护栅栏、疏散平台等。</w:t>
      </w:r>
    </w:p>
    <w:p w14:paraId="65310F0A">
      <w:pPr>
        <w:ind w:firstLine="560" w:firstLineChars="200"/>
        <w:textAlignment w:val="center"/>
        <w:rPr>
          <w:color w:val="auto"/>
          <w:highlight w:val="none"/>
        </w:rPr>
      </w:pPr>
      <w:r>
        <w:rPr>
          <w:color w:val="auto"/>
          <w:highlight w:val="none"/>
        </w:rPr>
        <w:t>（3）轨道：</w:t>
      </w:r>
      <w:r>
        <w:rPr>
          <w:color w:val="auto"/>
          <w:szCs w:val="21"/>
          <w:highlight w:val="none"/>
        </w:rPr>
        <w:t>包括正线、</w:t>
      </w:r>
      <w:r>
        <w:rPr>
          <w:color w:val="auto"/>
          <w:highlight w:val="none"/>
        </w:rPr>
        <w:t>配线、</w:t>
      </w:r>
      <w:r>
        <w:rPr>
          <w:color w:val="auto"/>
          <w:szCs w:val="21"/>
          <w:highlight w:val="none"/>
        </w:rPr>
        <w:t>车辆基地的轨道结构</w:t>
      </w:r>
      <w:r>
        <w:rPr>
          <w:color w:val="auto"/>
          <w:highlight w:val="none"/>
        </w:rPr>
        <w:t>、</w:t>
      </w:r>
      <w:r>
        <w:rPr>
          <w:color w:val="auto"/>
          <w:szCs w:val="21"/>
          <w:highlight w:val="none"/>
        </w:rPr>
        <w:t>轨道降噪</w:t>
      </w:r>
      <w:r>
        <w:rPr>
          <w:color w:val="auto"/>
          <w:highlight w:val="none"/>
        </w:rPr>
        <w:t>、</w:t>
      </w:r>
      <w:r>
        <w:rPr>
          <w:color w:val="auto"/>
          <w:szCs w:val="21"/>
          <w:highlight w:val="none"/>
        </w:rPr>
        <w:t>线路有关工程</w:t>
      </w:r>
      <w:r>
        <w:rPr>
          <w:color w:val="auto"/>
          <w:highlight w:val="none"/>
        </w:rPr>
        <w:t>、</w:t>
      </w:r>
      <w:r>
        <w:rPr>
          <w:color w:val="auto"/>
          <w:szCs w:val="21"/>
          <w:highlight w:val="none"/>
        </w:rPr>
        <w:t>铺轨基地等</w:t>
      </w:r>
      <w:r>
        <w:rPr>
          <w:color w:val="auto"/>
          <w:highlight w:val="none"/>
        </w:rPr>
        <w:t>。</w:t>
      </w:r>
    </w:p>
    <w:p w14:paraId="03D3694E">
      <w:pPr>
        <w:ind w:firstLine="560" w:firstLineChars="200"/>
        <w:textAlignment w:val="center"/>
        <w:rPr>
          <w:color w:val="auto"/>
          <w:highlight w:val="none"/>
        </w:rPr>
      </w:pPr>
      <w:r>
        <w:rPr>
          <w:color w:val="auto"/>
          <w:highlight w:val="none"/>
        </w:rPr>
        <w:t>（4）通信：包括正线、运营控制中心、车辆基地等通信工程。</w:t>
      </w:r>
    </w:p>
    <w:p w14:paraId="1883B94A">
      <w:pPr>
        <w:ind w:firstLine="560" w:firstLineChars="200"/>
        <w:textAlignment w:val="center"/>
        <w:rPr>
          <w:color w:val="auto"/>
          <w:highlight w:val="none"/>
        </w:rPr>
      </w:pPr>
      <w:r>
        <w:rPr>
          <w:color w:val="auto"/>
          <w:highlight w:val="none"/>
        </w:rPr>
        <w:t>（5）信号：包括正线、运营控制中心、车辆基地、试车线、车载、维修与培训中心等信号工程。</w:t>
      </w:r>
    </w:p>
    <w:p w14:paraId="110B9140">
      <w:pPr>
        <w:ind w:firstLine="560" w:firstLineChars="200"/>
        <w:textAlignment w:val="center"/>
        <w:rPr>
          <w:color w:val="auto"/>
          <w:highlight w:val="none"/>
        </w:rPr>
      </w:pPr>
      <w:r>
        <w:rPr>
          <w:color w:val="auto"/>
          <w:highlight w:val="none"/>
        </w:rPr>
        <w:t>（6）供电：包括主变电站（主变电站变电工程，主变电站房屋的建筑、装饰、安装、附属等工程，电力进线，主变电站电缆通道）、变电所、环网电缆、接触网（轨）、电力监控、杂散电流防护与接地系统、供电车间及其他系统、动力照明（包括车站、区间、区间变电所）等供电工程。</w:t>
      </w:r>
    </w:p>
    <w:p w14:paraId="437381BA">
      <w:pPr>
        <w:ind w:firstLine="560" w:firstLineChars="200"/>
        <w:textAlignment w:val="center"/>
        <w:rPr>
          <w:color w:val="auto"/>
          <w:highlight w:val="none"/>
        </w:rPr>
      </w:pPr>
      <w:r>
        <w:rPr>
          <w:color w:val="auto"/>
          <w:highlight w:val="none"/>
        </w:rPr>
        <w:t>（7）综合监控：包括全线综合监控系统等工程。</w:t>
      </w:r>
    </w:p>
    <w:p w14:paraId="6822795F">
      <w:pPr>
        <w:ind w:firstLine="560" w:firstLineChars="200"/>
        <w:textAlignment w:val="center"/>
        <w:rPr>
          <w:color w:val="auto"/>
          <w:highlight w:val="none"/>
        </w:rPr>
      </w:pPr>
      <w:r>
        <w:rPr>
          <w:color w:val="auto"/>
          <w:highlight w:val="none"/>
        </w:rPr>
        <w:t>（8）火灾自动报警、环境与设备监控：包括全线火灾自动报警系统、环境与设备监控系统等工程。</w:t>
      </w:r>
    </w:p>
    <w:p w14:paraId="0FF68DDA">
      <w:pPr>
        <w:ind w:firstLine="560" w:firstLineChars="200"/>
        <w:textAlignment w:val="center"/>
        <w:rPr>
          <w:color w:val="auto"/>
          <w:highlight w:val="none"/>
        </w:rPr>
      </w:pPr>
      <w:r>
        <w:rPr>
          <w:color w:val="auto"/>
          <w:highlight w:val="none"/>
        </w:rPr>
        <w:t>（9）安防与门禁：包括全线安防系统、门禁系统、车站安检设施等工程。</w:t>
      </w:r>
    </w:p>
    <w:p w14:paraId="3B8FBFFB">
      <w:pPr>
        <w:ind w:firstLine="560" w:firstLineChars="200"/>
        <w:textAlignment w:val="center"/>
        <w:rPr>
          <w:color w:val="auto"/>
          <w:highlight w:val="none"/>
        </w:rPr>
      </w:pPr>
      <w:r>
        <w:rPr>
          <w:color w:val="auto"/>
          <w:highlight w:val="none"/>
        </w:rPr>
        <w:t>（10）通风、空调与供暖：包括车站、区间、区间变电所的空调、通风、供暖工程，车站抗震综合支吊架等工程。</w:t>
      </w:r>
    </w:p>
    <w:p w14:paraId="5F02D967">
      <w:pPr>
        <w:ind w:firstLine="560" w:firstLineChars="200"/>
        <w:textAlignment w:val="center"/>
        <w:rPr>
          <w:color w:val="auto"/>
          <w:highlight w:val="none"/>
        </w:rPr>
      </w:pPr>
      <w:r>
        <w:rPr>
          <w:color w:val="auto"/>
          <w:highlight w:val="none"/>
        </w:rPr>
        <w:t xml:space="preserve">（11）给水与排水、消防：包括车站、区间、区间变电所的给水、排水及水消防，全线自动灭火系统等工程。 </w:t>
      </w:r>
    </w:p>
    <w:p w14:paraId="0F0F3606">
      <w:pPr>
        <w:ind w:firstLine="560" w:firstLineChars="200"/>
        <w:textAlignment w:val="center"/>
        <w:rPr>
          <w:color w:val="auto"/>
          <w:highlight w:val="none"/>
        </w:rPr>
      </w:pPr>
      <w:r>
        <w:rPr>
          <w:color w:val="auto"/>
          <w:highlight w:val="none"/>
        </w:rPr>
        <w:t>（12）自动售检票：包括全线自动售检票系统、清分中心等工程。</w:t>
      </w:r>
    </w:p>
    <w:p w14:paraId="31B35F1E">
      <w:pPr>
        <w:ind w:firstLine="560" w:firstLineChars="200"/>
        <w:textAlignment w:val="center"/>
        <w:rPr>
          <w:color w:val="auto"/>
          <w:highlight w:val="none"/>
        </w:rPr>
      </w:pPr>
      <w:r>
        <w:rPr>
          <w:color w:val="auto"/>
          <w:highlight w:val="none"/>
        </w:rPr>
        <w:t>（13）站内客运设备、站台门：包括车站自动扶梯、电梯、自动人行道、轮椅升降台、站台门等工程。</w:t>
      </w:r>
    </w:p>
    <w:p w14:paraId="6E5C9817">
      <w:pPr>
        <w:ind w:firstLine="560" w:firstLineChars="200"/>
        <w:textAlignment w:val="center"/>
        <w:rPr>
          <w:color w:val="auto"/>
          <w:highlight w:val="none"/>
        </w:rPr>
      </w:pPr>
      <w:r>
        <w:rPr>
          <w:color w:val="auto"/>
          <w:highlight w:val="none"/>
        </w:rPr>
        <w:t>（14）运营管理房屋：包括运营控制中心以及除车站、运营控制中心、车辆基地外的公安派出所、消防站、培训房屋等房屋工程（建筑与装饰，动力与照明，通风、空调与供暖，给水与排水、消防，楼宇智能化，电梯，室外附属工程等）。</w:t>
      </w:r>
    </w:p>
    <w:p w14:paraId="3AD01C5C">
      <w:pPr>
        <w:ind w:firstLine="560" w:firstLineChars="200"/>
        <w:textAlignment w:val="center"/>
        <w:rPr>
          <w:color w:val="auto"/>
          <w:highlight w:val="none"/>
        </w:rPr>
      </w:pPr>
      <w:r>
        <w:rPr>
          <w:color w:val="auto"/>
          <w:highlight w:val="none"/>
        </w:rPr>
        <w:t>（15）车辆基地：包括车辆基地生产及办公房屋（建筑与装饰，动力与照明，通风、空调与供暖，给水与排水、消防，电梯等）、工艺设备、附属工程（检查坑、地基处理、边坡加固及防护、土石方、场区道路、桥梁涵洞、室外综合管线、场区绿化等）。</w:t>
      </w:r>
    </w:p>
    <w:p w14:paraId="13B06979">
      <w:pPr>
        <w:ind w:firstLine="560" w:firstLineChars="200"/>
        <w:textAlignment w:val="center"/>
        <w:rPr>
          <w:color w:val="auto"/>
          <w:highlight w:val="none"/>
        </w:rPr>
      </w:pPr>
      <w:r>
        <w:rPr>
          <w:color w:val="auto"/>
          <w:highlight w:val="none"/>
        </w:rPr>
        <w:t>（16）人防：包括全线各设防地下车站、地下区间、车辆基地内所有人防防护设备及安装工程，防淹门等。</w:t>
      </w:r>
    </w:p>
    <w:p w14:paraId="5F108E2B">
      <w:pPr>
        <w:ind w:firstLine="560" w:firstLineChars="200"/>
        <w:textAlignment w:val="center"/>
        <w:rPr>
          <w:color w:val="auto"/>
          <w:highlight w:val="none"/>
        </w:rPr>
      </w:pPr>
      <w:r>
        <w:rPr>
          <w:color w:val="auto"/>
          <w:highlight w:val="none"/>
        </w:rPr>
        <w:t>2．工程费用估算指标计算方法说明。</w:t>
      </w:r>
    </w:p>
    <w:p w14:paraId="1DFB9E75">
      <w:pPr>
        <w:ind w:firstLine="560" w:firstLineChars="200"/>
        <w:textAlignment w:val="center"/>
        <w:rPr>
          <w:color w:val="auto"/>
          <w:highlight w:val="none"/>
        </w:rPr>
      </w:pPr>
      <w:r>
        <w:rPr>
          <w:color w:val="auto"/>
          <w:highlight w:val="none"/>
        </w:rPr>
        <w:t>3．设备费用计算方法说明，进口设备采用的外汇汇率说明。</w:t>
      </w:r>
    </w:p>
    <w:p w14:paraId="27362CCD">
      <w:pPr>
        <w:ind w:firstLine="560" w:firstLineChars="200"/>
        <w:textAlignment w:val="center"/>
        <w:outlineLvl w:val="2"/>
        <w:rPr>
          <w:rFonts w:eastAsia="楷体"/>
          <w:color w:val="auto"/>
          <w:highlight w:val="none"/>
        </w:rPr>
      </w:pPr>
      <w:bookmarkStart w:id="21" w:name="_Toc26194"/>
      <w:r>
        <w:rPr>
          <w:rFonts w:eastAsia="楷体"/>
          <w:color w:val="auto"/>
          <w:highlight w:val="none"/>
        </w:rPr>
        <w:t>（五）工程建设其他费用</w:t>
      </w:r>
      <w:bookmarkEnd w:id="21"/>
    </w:p>
    <w:p w14:paraId="326E0A66">
      <w:pPr>
        <w:ind w:firstLine="560" w:firstLineChars="200"/>
        <w:textAlignment w:val="center"/>
        <w:rPr>
          <w:color w:val="auto"/>
          <w:highlight w:val="none"/>
        </w:rPr>
      </w:pPr>
      <w:r>
        <w:rPr>
          <w:color w:val="auto"/>
          <w:highlight w:val="none"/>
        </w:rPr>
        <w:t>1．前期工程费</w:t>
      </w:r>
    </w:p>
    <w:p w14:paraId="14A47CCB">
      <w:pPr>
        <w:ind w:firstLine="560" w:firstLineChars="200"/>
        <w:textAlignment w:val="center"/>
        <w:rPr>
          <w:color w:val="auto"/>
          <w:highlight w:val="none"/>
        </w:rPr>
      </w:pPr>
      <w:r>
        <w:rPr>
          <w:color w:val="auto"/>
          <w:highlight w:val="none"/>
        </w:rPr>
        <w:t>说明各类前期工程单价或指标的计算依据，数量及费用的估算方法，前期工程的费用内容。</w:t>
      </w:r>
    </w:p>
    <w:p w14:paraId="00FB086B">
      <w:pPr>
        <w:ind w:firstLine="560" w:firstLineChars="200"/>
        <w:textAlignment w:val="center"/>
        <w:rPr>
          <w:color w:val="auto"/>
          <w:highlight w:val="none"/>
        </w:rPr>
      </w:pPr>
      <w:r>
        <w:rPr>
          <w:color w:val="auto"/>
          <w:highlight w:val="none"/>
        </w:rPr>
        <w:t>2．其他费用</w:t>
      </w:r>
    </w:p>
    <w:p w14:paraId="10DAAE7B">
      <w:pPr>
        <w:ind w:firstLine="560" w:firstLineChars="200"/>
        <w:textAlignment w:val="center"/>
        <w:rPr>
          <w:color w:val="auto"/>
          <w:highlight w:val="none"/>
        </w:rPr>
      </w:pPr>
      <w:r>
        <w:rPr>
          <w:color w:val="auto"/>
          <w:highlight w:val="none"/>
        </w:rPr>
        <w:t>按照综合估算表所列其他费用内容，逐项说明计算依据及方法。</w:t>
      </w:r>
    </w:p>
    <w:p w14:paraId="02784820">
      <w:pPr>
        <w:ind w:firstLine="560" w:firstLineChars="200"/>
        <w:textAlignment w:val="center"/>
        <w:outlineLvl w:val="2"/>
        <w:rPr>
          <w:rFonts w:eastAsia="楷体"/>
          <w:color w:val="auto"/>
          <w:highlight w:val="none"/>
        </w:rPr>
      </w:pPr>
      <w:bookmarkStart w:id="22" w:name="_Toc18247"/>
      <w:r>
        <w:rPr>
          <w:rFonts w:eastAsia="楷体"/>
          <w:color w:val="auto"/>
          <w:highlight w:val="none"/>
        </w:rPr>
        <w:t>（六）预备费</w:t>
      </w:r>
      <w:bookmarkEnd w:id="22"/>
    </w:p>
    <w:p w14:paraId="7AFBAE3D">
      <w:pPr>
        <w:ind w:firstLine="560" w:firstLineChars="200"/>
        <w:textAlignment w:val="center"/>
        <w:rPr>
          <w:color w:val="auto"/>
          <w:highlight w:val="none"/>
        </w:rPr>
      </w:pPr>
      <w:r>
        <w:rPr>
          <w:color w:val="auto"/>
          <w:highlight w:val="none"/>
        </w:rPr>
        <w:t>说明基本预备费和价差预备费的计算依据及方法。</w:t>
      </w:r>
    </w:p>
    <w:p w14:paraId="6CEF14B5">
      <w:pPr>
        <w:ind w:firstLine="560" w:firstLineChars="200"/>
        <w:textAlignment w:val="center"/>
        <w:outlineLvl w:val="2"/>
        <w:rPr>
          <w:rFonts w:eastAsia="楷体"/>
          <w:color w:val="auto"/>
          <w:highlight w:val="none"/>
        </w:rPr>
      </w:pPr>
      <w:r>
        <w:rPr>
          <w:rFonts w:eastAsia="楷体"/>
          <w:color w:val="auto"/>
          <w:highlight w:val="none"/>
        </w:rPr>
        <w:t>（七）专项费用</w:t>
      </w:r>
    </w:p>
    <w:p w14:paraId="49BD8CE9">
      <w:pPr>
        <w:ind w:firstLine="560" w:firstLineChars="200"/>
        <w:textAlignment w:val="center"/>
        <w:rPr>
          <w:color w:val="auto"/>
          <w:highlight w:val="none"/>
        </w:rPr>
      </w:pPr>
      <w:r>
        <w:rPr>
          <w:color w:val="auto"/>
          <w:highlight w:val="none"/>
        </w:rPr>
        <w:t>分项说明建设期利息、车辆购置费和铺底流动资金的计算依据及方法，在建设期利息说明中明确资本金及债务资金比例、分年度投资计划。</w:t>
      </w:r>
    </w:p>
    <w:p w14:paraId="12562BFA">
      <w:pPr>
        <w:ind w:firstLine="560" w:firstLineChars="200"/>
        <w:textAlignment w:val="center"/>
        <w:outlineLvl w:val="2"/>
        <w:rPr>
          <w:rFonts w:eastAsia="楷体"/>
          <w:color w:val="auto"/>
          <w:highlight w:val="none"/>
        </w:rPr>
      </w:pPr>
      <w:bookmarkStart w:id="23" w:name="_Toc12722"/>
      <w:r>
        <w:rPr>
          <w:rFonts w:eastAsia="楷体"/>
          <w:color w:val="auto"/>
          <w:highlight w:val="none"/>
        </w:rPr>
        <w:t>（八）估算总额及技术经济指标</w:t>
      </w:r>
      <w:bookmarkEnd w:id="23"/>
    </w:p>
    <w:p w14:paraId="5EBFECE5">
      <w:pPr>
        <w:ind w:firstLine="560" w:firstLineChars="200"/>
        <w:textAlignment w:val="center"/>
        <w:rPr>
          <w:color w:val="auto"/>
          <w:highlight w:val="none"/>
        </w:rPr>
      </w:pPr>
      <w:r>
        <w:rPr>
          <w:color w:val="auto"/>
          <w:highlight w:val="none"/>
        </w:rPr>
        <w:t>说明估算总额及技术经济指标，包括同步建设及共用工程。根据需要对费用或指标特殊的工程项目进行分析说明。</w:t>
      </w:r>
    </w:p>
    <w:p w14:paraId="7675CCFC">
      <w:pPr>
        <w:ind w:firstLine="560" w:firstLineChars="200"/>
        <w:textAlignment w:val="center"/>
        <w:outlineLvl w:val="2"/>
        <w:rPr>
          <w:rFonts w:eastAsia="楷体"/>
          <w:color w:val="auto"/>
          <w:highlight w:val="none"/>
        </w:rPr>
      </w:pPr>
      <w:bookmarkStart w:id="24" w:name="_Toc12810"/>
      <w:r>
        <w:rPr>
          <w:rFonts w:eastAsia="楷体"/>
          <w:color w:val="auto"/>
          <w:highlight w:val="none"/>
        </w:rPr>
        <w:t>（九）同步建设及共用工程分摊原则</w:t>
      </w:r>
      <w:bookmarkEnd w:id="24"/>
    </w:p>
    <w:p w14:paraId="35CB477D">
      <w:pPr>
        <w:ind w:firstLine="560" w:firstLineChars="200"/>
        <w:textAlignment w:val="center"/>
        <w:rPr>
          <w:color w:val="auto"/>
          <w:highlight w:val="none"/>
        </w:rPr>
      </w:pPr>
      <w:r>
        <w:rPr>
          <w:color w:val="auto"/>
          <w:highlight w:val="none"/>
        </w:rPr>
        <w:t>1．工程范围</w:t>
      </w:r>
    </w:p>
    <w:p w14:paraId="172C6155">
      <w:pPr>
        <w:ind w:firstLine="560" w:firstLineChars="200"/>
        <w:textAlignment w:val="center"/>
        <w:rPr>
          <w:color w:val="auto"/>
          <w:highlight w:val="none"/>
        </w:rPr>
      </w:pPr>
      <w:r>
        <w:rPr>
          <w:color w:val="auto"/>
          <w:highlight w:val="none"/>
        </w:rPr>
        <w:t>涉及城市轨道交通工程其他项目：换乘节点，换乘通道，换乘线路车站，共用的车站（区间）结构和机电设备，共用的主变电站，共址的车辆基地，线网运营管理房屋，线网共享工程等。</w:t>
      </w:r>
    </w:p>
    <w:p w14:paraId="6C639630">
      <w:pPr>
        <w:ind w:firstLine="560" w:firstLineChars="200"/>
        <w:textAlignment w:val="center"/>
        <w:rPr>
          <w:color w:val="auto"/>
          <w:highlight w:val="none"/>
        </w:rPr>
      </w:pPr>
      <w:r>
        <w:rPr>
          <w:color w:val="auto"/>
          <w:highlight w:val="none"/>
        </w:rPr>
        <w:t>涉及其他建设工程：车站、区间物业开发，车辆基地上盖开发平台，与市政工程共用的结构等。</w:t>
      </w:r>
    </w:p>
    <w:p w14:paraId="4D1B8C64">
      <w:pPr>
        <w:ind w:firstLine="560" w:firstLineChars="200"/>
        <w:textAlignment w:val="center"/>
        <w:rPr>
          <w:color w:val="auto"/>
          <w:highlight w:val="none"/>
        </w:rPr>
      </w:pPr>
      <w:r>
        <w:rPr>
          <w:color w:val="auto"/>
          <w:highlight w:val="none"/>
        </w:rPr>
        <w:t>2．费用分摊原则</w:t>
      </w:r>
    </w:p>
    <w:p w14:paraId="75140FD4">
      <w:pPr>
        <w:ind w:firstLine="560" w:firstLineChars="200"/>
        <w:textAlignment w:val="center"/>
        <w:rPr>
          <w:color w:val="auto"/>
          <w:highlight w:val="none"/>
        </w:rPr>
      </w:pPr>
      <w:r>
        <w:rPr>
          <w:color w:val="auto"/>
          <w:highlight w:val="none"/>
        </w:rPr>
        <w:t>费用分摊应遵循公平合理、便于资产管理、网络统筹和整体效益最优等基本原则。有明确协议的按相关规定分摊，无协议的根据工程特点、分期建设情况、同期建设范围等因素确定分摊原则。</w:t>
      </w:r>
    </w:p>
    <w:p w14:paraId="440BD5BD">
      <w:pPr>
        <w:ind w:firstLine="560" w:firstLineChars="200"/>
        <w:textAlignment w:val="center"/>
        <w:rPr>
          <w:color w:val="auto"/>
          <w:highlight w:val="none"/>
        </w:rPr>
      </w:pPr>
      <w:r>
        <w:rPr>
          <w:color w:val="auto"/>
          <w:highlight w:val="none"/>
        </w:rPr>
        <w:t>以下同步建设及共用工程投资分摊原则可供参照，应结合项目所在地政府、建设单位的要求，根据项目情况、投资模式等确定分摊原则，并相应调整说明。</w:t>
      </w:r>
    </w:p>
    <w:p w14:paraId="15F5083E">
      <w:pPr>
        <w:ind w:firstLine="560" w:firstLineChars="200"/>
        <w:textAlignment w:val="center"/>
        <w:rPr>
          <w:color w:val="auto"/>
          <w:highlight w:val="none"/>
        </w:rPr>
      </w:pPr>
      <w:r>
        <w:rPr>
          <w:color w:val="auto"/>
          <w:highlight w:val="none"/>
        </w:rPr>
        <w:t>（1）新建项目涉及到对已运营线路的改造，相关费用全部列入新建项目。</w:t>
      </w:r>
    </w:p>
    <w:p w14:paraId="0E134501">
      <w:pPr>
        <w:ind w:firstLine="560" w:firstLineChars="200"/>
        <w:textAlignment w:val="center"/>
        <w:rPr>
          <w:color w:val="auto"/>
          <w:highlight w:val="none"/>
        </w:rPr>
      </w:pPr>
      <w:r>
        <w:rPr>
          <w:color w:val="auto"/>
          <w:highlight w:val="none"/>
        </w:rPr>
        <w:t>（2）相同规划期的轨道交通同步建设及共用工程，有清晰物理界面的部分按各自工程范围计列，不能物理分割的部分可按照建筑面积、空间体积、系统规模比例分摊，也可按照平均分摊列入各项目。</w:t>
      </w:r>
    </w:p>
    <w:p w14:paraId="2D81BC19">
      <w:pPr>
        <w:ind w:firstLine="560" w:firstLineChars="200"/>
        <w:textAlignment w:val="center"/>
        <w:rPr>
          <w:color w:val="auto"/>
          <w:highlight w:val="none"/>
        </w:rPr>
      </w:pPr>
      <w:r>
        <w:rPr>
          <w:color w:val="auto"/>
          <w:highlight w:val="none"/>
        </w:rPr>
        <w:t>（3）不同规划期的轨道交通同步建设及共用工程，费用列入先期建设项目，后期建设项目仅计列接入、扩容改造等费用。</w:t>
      </w:r>
    </w:p>
    <w:p w14:paraId="131C6651">
      <w:pPr>
        <w:ind w:firstLine="560" w:firstLineChars="200"/>
        <w:textAlignment w:val="center"/>
        <w:rPr>
          <w:color w:val="auto"/>
          <w:highlight w:val="none"/>
        </w:rPr>
      </w:pPr>
      <w:r>
        <w:rPr>
          <w:color w:val="auto"/>
          <w:highlight w:val="none"/>
        </w:rPr>
        <w:t>（4）线网工程</w:t>
      </w:r>
    </w:p>
    <w:p w14:paraId="3DB5C922">
      <w:pPr>
        <w:ind w:firstLine="560" w:firstLineChars="200"/>
        <w:textAlignment w:val="center"/>
        <w:rPr>
          <w:color w:val="auto"/>
          <w:highlight w:val="none"/>
        </w:rPr>
      </w:pPr>
      <w:r>
        <w:rPr>
          <w:rFonts w:ascii="Cambria Math" w:hAnsi="Cambria Math" w:cs="Cambria Math"/>
          <w:color w:val="auto"/>
          <w:highlight w:val="none"/>
        </w:rPr>
        <w:t>①</w:t>
      </w:r>
      <w:r>
        <w:rPr>
          <w:color w:val="auto"/>
          <w:highlight w:val="none"/>
        </w:rPr>
        <w:t>线网控制中心、线网平台等费用可按照使用项目的车站数量或者线路长度比例分摊，也可按照使用项目平均分摊；若单独立项，分摊原则执行单独立项的资金筹措原则。</w:t>
      </w:r>
    </w:p>
    <w:p w14:paraId="009FCF50">
      <w:pPr>
        <w:ind w:firstLine="560" w:firstLineChars="200"/>
        <w:textAlignment w:val="center"/>
        <w:rPr>
          <w:color w:val="auto"/>
          <w:highlight w:val="none"/>
        </w:rPr>
      </w:pPr>
      <w:r>
        <w:rPr>
          <w:rFonts w:ascii="Cambria Math" w:hAnsi="Cambria Math" w:cs="Cambria Math"/>
          <w:color w:val="auto"/>
          <w:highlight w:val="none"/>
        </w:rPr>
        <w:t>②</w:t>
      </w:r>
      <w:r>
        <w:rPr>
          <w:color w:val="auto"/>
          <w:highlight w:val="none"/>
        </w:rPr>
        <w:t>多线共享的大架修功能费用列入先期建设项目，网络共享大型设备费用列入配置设备的项目。</w:t>
      </w:r>
    </w:p>
    <w:p w14:paraId="5EDA6042">
      <w:pPr>
        <w:ind w:firstLine="560" w:firstLineChars="200"/>
        <w:textAlignment w:val="center"/>
        <w:rPr>
          <w:color w:val="auto"/>
          <w:highlight w:val="none"/>
        </w:rPr>
      </w:pPr>
      <w:r>
        <w:rPr>
          <w:color w:val="auto"/>
          <w:highlight w:val="none"/>
        </w:rPr>
        <w:t>（5）车辆基地设置上盖开发平台时，可按不设上盖开发平台方案</w:t>
      </w:r>
      <w:r>
        <w:rPr>
          <w:rFonts w:hint="eastAsia"/>
          <w:color w:val="auto"/>
          <w:highlight w:val="none"/>
        </w:rPr>
        <w:t>的费用</w:t>
      </w:r>
      <w:r>
        <w:rPr>
          <w:color w:val="auto"/>
          <w:highlight w:val="none"/>
        </w:rPr>
        <w:t>计入城市轨道交通工程</w:t>
      </w:r>
      <w:r>
        <w:rPr>
          <w:rFonts w:hint="eastAsia"/>
          <w:color w:val="auto"/>
          <w:highlight w:val="none"/>
        </w:rPr>
        <w:t>；</w:t>
      </w:r>
      <w:r>
        <w:rPr>
          <w:color w:val="auto"/>
          <w:highlight w:val="none"/>
        </w:rPr>
        <w:t>也可将上盖平台（基础、梁、板、柱</w:t>
      </w:r>
      <w:r>
        <w:rPr>
          <w:rFonts w:hint="eastAsia"/>
          <w:color w:val="auto"/>
          <w:highlight w:val="none"/>
        </w:rPr>
        <w:t>等</w:t>
      </w:r>
      <w:r>
        <w:rPr>
          <w:color w:val="auto"/>
          <w:highlight w:val="none"/>
        </w:rPr>
        <w:t>）费用按比例计入城市轨道交通工程。</w:t>
      </w:r>
    </w:p>
    <w:p w14:paraId="70D82A32">
      <w:pPr>
        <w:ind w:firstLine="560" w:firstLineChars="200"/>
        <w:textAlignment w:val="center"/>
        <w:rPr>
          <w:color w:val="auto"/>
          <w:highlight w:val="none"/>
        </w:rPr>
      </w:pPr>
      <w:r>
        <w:rPr>
          <w:color w:val="auto"/>
          <w:highlight w:val="none"/>
        </w:rPr>
        <w:t>（6）兼顾市政过街功能的通道费用列入城市轨道交通工程。</w:t>
      </w:r>
    </w:p>
    <w:p w14:paraId="5DFE4B35">
      <w:pPr>
        <w:ind w:firstLine="560" w:firstLineChars="200"/>
        <w:textAlignment w:val="center"/>
        <w:rPr>
          <w:color w:val="auto"/>
          <w:highlight w:val="none"/>
        </w:rPr>
      </w:pPr>
      <w:r>
        <w:rPr>
          <w:color w:val="auto"/>
          <w:highlight w:val="none"/>
        </w:rPr>
        <w:t>（7）与城市轨道交通同步建设及共用的其他工程，优先按照物理界面划分，物理界面无法分割的，原则上可按照建筑面积或者空间体积比例分摊。</w:t>
      </w:r>
    </w:p>
    <w:p w14:paraId="3053BEFE">
      <w:pPr>
        <w:ind w:firstLine="560" w:firstLineChars="200"/>
        <w:textAlignment w:val="center"/>
        <w:rPr>
          <w:color w:val="auto"/>
          <w:highlight w:val="none"/>
        </w:rPr>
      </w:pPr>
      <w:r>
        <w:rPr>
          <w:color w:val="auto"/>
          <w:highlight w:val="none"/>
        </w:rPr>
        <w:t>（8）前期工程可参照上述原则执行。</w:t>
      </w:r>
    </w:p>
    <w:p w14:paraId="71DA2A78">
      <w:pPr>
        <w:ind w:firstLine="560" w:firstLineChars="200"/>
        <w:textAlignment w:val="center"/>
        <w:rPr>
          <w:color w:val="auto"/>
          <w:highlight w:val="none"/>
        </w:rPr>
      </w:pPr>
      <w:r>
        <w:rPr>
          <w:color w:val="auto"/>
          <w:highlight w:val="none"/>
        </w:rPr>
        <w:t>3．分摊费用内容</w:t>
      </w:r>
    </w:p>
    <w:p w14:paraId="1CEF712E">
      <w:pPr>
        <w:ind w:firstLine="560" w:firstLineChars="200"/>
        <w:textAlignment w:val="center"/>
        <w:rPr>
          <w:color w:val="auto"/>
          <w:highlight w:val="none"/>
        </w:rPr>
      </w:pPr>
      <w:r>
        <w:rPr>
          <w:color w:val="auto"/>
          <w:highlight w:val="none"/>
        </w:rPr>
        <w:t>分摊费用一般应为估算总额，包括工程费用、工程建设其他费用、预备费和建设期利息等。</w:t>
      </w:r>
    </w:p>
    <w:p w14:paraId="1F46608C">
      <w:pPr>
        <w:ind w:firstLine="560" w:firstLineChars="200"/>
        <w:textAlignment w:val="center"/>
        <w:outlineLvl w:val="2"/>
        <w:rPr>
          <w:rFonts w:eastAsia="楷体"/>
          <w:color w:val="auto"/>
          <w:highlight w:val="none"/>
        </w:rPr>
      </w:pPr>
      <w:bookmarkStart w:id="25" w:name="_Toc13742"/>
      <w:r>
        <w:rPr>
          <w:rFonts w:eastAsia="楷体"/>
          <w:color w:val="auto"/>
          <w:highlight w:val="none"/>
        </w:rPr>
        <w:t>（十）可行性研究估算与建设规划估算对照分析</w:t>
      </w:r>
      <w:bookmarkEnd w:id="25"/>
    </w:p>
    <w:p w14:paraId="69E3B856">
      <w:pPr>
        <w:ind w:firstLine="560" w:firstLineChars="200"/>
        <w:textAlignment w:val="center"/>
        <w:rPr>
          <w:color w:val="auto"/>
          <w:highlight w:val="none"/>
        </w:rPr>
      </w:pPr>
      <w:r>
        <w:rPr>
          <w:color w:val="auto"/>
          <w:highlight w:val="none"/>
        </w:rPr>
        <w:t>分析可行性研究估算与建设规划估算总投资以及直接工程投资（由工程费用和车辆购置费组成）差异，</w:t>
      </w:r>
      <w:r>
        <w:rPr>
          <w:rFonts w:hint="eastAsia"/>
          <w:color w:val="auto"/>
          <w:highlight w:val="none"/>
        </w:rPr>
        <w:t>需考虑</w:t>
      </w:r>
      <w:r>
        <w:rPr>
          <w:color w:val="auto"/>
          <w:highlight w:val="none"/>
        </w:rPr>
        <w:t>物价</w:t>
      </w:r>
      <w:r>
        <w:rPr>
          <w:rFonts w:hint="eastAsia"/>
          <w:color w:val="auto"/>
          <w:highlight w:val="none"/>
        </w:rPr>
        <w:t>上涨因素时，应</w:t>
      </w:r>
      <w:r>
        <w:rPr>
          <w:color w:val="auto"/>
          <w:highlight w:val="none"/>
        </w:rPr>
        <w:t>描述相关估算原则及方法。</w:t>
      </w:r>
    </w:p>
    <w:p w14:paraId="479F76B4">
      <w:pPr>
        <w:ind w:firstLine="560" w:firstLineChars="200"/>
        <w:textAlignment w:val="center"/>
        <w:outlineLvl w:val="2"/>
        <w:rPr>
          <w:rFonts w:eastAsia="楷体"/>
          <w:color w:val="auto"/>
          <w:highlight w:val="none"/>
        </w:rPr>
      </w:pPr>
      <w:bookmarkStart w:id="26" w:name="_Toc32363"/>
      <w:r>
        <w:rPr>
          <w:rFonts w:eastAsia="楷体"/>
          <w:color w:val="auto"/>
          <w:highlight w:val="none"/>
        </w:rPr>
        <w:t>（十一）其他有关说明</w:t>
      </w:r>
      <w:bookmarkEnd w:id="26"/>
    </w:p>
    <w:p w14:paraId="5035B780">
      <w:pPr>
        <w:ind w:firstLine="560" w:firstLineChars="200"/>
        <w:textAlignment w:val="center"/>
        <w:rPr>
          <w:color w:val="auto"/>
          <w:highlight w:val="none"/>
        </w:rPr>
      </w:pPr>
      <w:r>
        <w:rPr>
          <w:color w:val="auto"/>
          <w:highlight w:val="none"/>
        </w:rPr>
        <w:t>对估算编制过程中需要特别说明的内容加以阐述，如估算编制中未落实的内容，以及其他与估算有关但不能在估算表中反映的事项和其他需要说明的问题。</w:t>
      </w:r>
    </w:p>
    <w:p w14:paraId="5E42BF29">
      <w:pPr>
        <w:pStyle w:val="3"/>
        <w:jc w:val="center"/>
        <w:rPr>
          <w:rFonts w:ascii="Times New Roman" w:hAnsi="Times New Roman" w:cs="Times New Roman"/>
          <w:color w:val="auto"/>
          <w:highlight w:val="none"/>
        </w:rPr>
      </w:pPr>
      <w:bookmarkStart w:id="27" w:name="_Toc3140"/>
      <w:bookmarkStart w:id="28" w:name="_Toc149827326"/>
      <w:bookmarkStart w:id="29" w:name="_Toc20860"/>
      <w:r>
        <w:rPr>
          <w:rFonts w:ascii="Times New Roman" w:hAnsi="Times New Roman" w:cs="Times New Roman"/>
          <w:color w:val="auto"/>
          <w:highlight w:val="none"/>
        </w:rPr>
        <w:t>第二节 基本表格</w:t>
      </w:r>
      <w:bookmarkEnd w:id="27"/>
      <w:bookmarkEnd w:id="28"/>
      <w:r>
        <w:rPr>
          <w:rFonts w:ascii="Times New Roman" w:hAnsi="Times New Roman" w:cs="Times New Roman"/>
          <w:color w:val="auto"/>
          <w:highlight w:val="none"/>
        </w:rPr>
        <w:t>及附件</w:t>
      </w:r>
      <w:bookmarkEnd w:id="29"/>
    </w:p>
    <w:p w14:paraId="0FA69CD2">
      <w:pPr>
        <w:ind w:firstLine="560" w:firstLineChars="200"/>
        <w:textAlignment w:val="center"/>
        <w:rPr>
          <w:color w:val="auto"/>
          <w:highlight w:val="none"/>
        </w:rPr>
      </w:pPr>
      <w:r>
        <w:rPr>
          <w:color w:val="auto"/>
          <w:highlight w:val="none"/>
        </w:rPr>
        <w:t>1．基本表格主要包括（附后）：</w:t>
      </w:r>
    </w:p>
    <w:p w14:paraId="560D0A55">
      <w:pPr>
        <w:ind w:firstLine="560" w:firstLineChars="200"/>
        <w:textAlignment w:val="center"/>
        <w:rPr>
          <w:color w:val="auto"/>
          <w:highlight w:val="none"/>
        </w:rPr>
      </w:pPr>
      <w:r>
        <w:rPr>
          <w:color w:val="auto"/>
          <w:highlight w:val="none"/>
        </w:rPr>
        <w:t>（1）总估算表</w:t>
      </w:r>
    </w:p>
    <w:p w14:paraId="45AF1615">
      <w:pPr>
        <w:ind w:firstLine="560" w:firstLineChars="200"/>
        <w:textAlignment w:val="center"/>
        <w:rPr>
          <w:color w:val="auto"/>
          <w:highlight w:val="none"/>
        </w:rPr>
      </w:pPr>
      <w:r>
        <w:rPr>
          <w:color w:val="auto"/>
          <w:highlight w:val="none"/>
        </w:rPr>
        <w:t>（2）综合估算表</w:t>
      </w:r>
    </w:p>
    <w:p w14:paraId="6179C839">
      <w:pPr>
        <w:ind w:firstLine="560" w:firstLineChars="200"/>
        <w:textAlignment w:val="center"/>
        <w:rPr>
          <w:color w:val="auto"/>
          <w:highlight w:val="none"/>
        </w:rPr>
      </w:pPr>
      <w:r>
        <w:rPr>
          <w:color w:val="auto"/>
          <w:highlight w:val="none"/>
        </w:rPr>
        <w:t>（3）可行性研究估算与建设规划估算对照表</w:t>
      </w:r>
    </w:p>
    <w:p w14:paraId="2158FF13">
      <w:pPr>
        <w:ind w:firstLine="560" w:firstLineChars="200"/>
        <w:textAlignment w:val="center"/>
        <w:rPr>
          <w:color w:val="auto"/>
          <w:highlight w:val="none"/>
        </w:rPr>
      </w:pPr>
      <w:r>
        <w:rPr>
          <w:color w:val="auto"/>
          <w:highlight w:val="none"/>
        </w:rPr>
        <w:t>（4）主要工程数量表</w:t>
      </w:r>
    </w:p>
    <w:p w14:paraId="401C2177">
      <w:pPr>
        <w:ind w:firstLine="560" w:firstLineChars="200"/>
        <w:textAlignment w:val="center"/>
        <w:rPr>
          <w:color w:val="auto"/>
          <w:highlight w:val="none"/>
        </w:rPr>
      </w:pPr>
      <w:r>
        <w:rPr>
          <w:color w:val="auto"/>
          <w:highlight w:val="none"/>
        </w:rPr>
        <w:t>2．附件</w:t>
      </w:r>
    </w:p>
    <w:p w14:paraId="10D1DF2D">
      <w:pPr>
        <w:ind w:firstLine="560" w:firstLineChars="200"/>
        <w:textAlignment w:val="center"/>
        <w:rPr>
          <w:color w:val="auto"/>
          <w:highlight w:val="none"/>
        </w:rPr>
      </w:pPr>
      <w:r>
        <w:rPr>
          <w:color w:val="auto"/>
          <w:highlight w:val="none"/>
        </w:rPr>
        <w:t>包括有关协议、纪要、公文及其有关分析计算资料等。</w:t>
      </w:r>
      <w:bookmarkStart w:id="30" w:name="_Toc118989864"/>
    </w:p>
    <w:p w14:paraId="443F8C8E">
      <w:pPr>
        <w:ind w:firstLine="560" w:firstLineChars="200"/>
        <w:textAlignment w:val="center"/>
        <w:rPr>
          <w:color w:val="auto"/>
          <w:highlight w:val="none"/>
        </w:rPr>
      </w:pPr>
      <w:r>
        <w:rPr>
          <w:color w:val="auto"/>
          <w:highlight w:val="none"/>
        </w:rPr>
        <w:t>各项目根据设计和建设管理需要，可增加必要的表格及附件。</w:t>
      </w:r>
    </w:p>
    <w:p w14:paraId="491F94B4">
      <w:pPr>
        <w:ind w:firstLine="560" w:firstLineChars="200"/>
        <w:textAlignment w:val="center"/>
        <w:rPr>
          <w:color w:val="auto"/>
          <w:highlight w:val="none"/>
        </w:rPr>
      </w:pPr>
    </w:p>
    <w:p w14:paraId="15CC50A3">
      <w:pPr>
        <w:ind w:firstLine="560" w:firstLineChars="200"/>
        <w:textAlignment w:val="center"/>
        <w:rPr>
          <w:color w:val="auto"/>
          <w:highlight w:val="none"/>
        </w:rPr>
      </w:pPr>
    </w:p>
    <w:p w14:paraId="08166B5E">
      <w:pPr>
        <w:ind w:firstLine="560" w:firstLineChars="200"/>
        <w:textAlignment w:val="center"/>
        <w:rPr>
          <w:color w:val="auto"/>
          <w:highlight w:val="none"/>
        </w:rPr>
      </w:pPr>
    </w:p>
    <w:p w14:paraId="5D45C1B5">
      <w:pPr>
        <w:ind w:firstLine="560" w:firstLineChars="200"/>
        <w:textAlignment w:val="center"/>
        <w:rPr>
          <w:color w:val="auto"/>
          <w:highlight w:val="none"/>
        </w:rPr>
      </w:pPr>
    </w:p>
    <w:p w14:paraId="760BACCA">
      <w:pPr>
        <w:ind w:firstLine="560" w:firstLineChars="200"/>
        <w:textAlignment w:val="center"/>
        <w:rPr>
          <w:color w:val="auto"/>
          <w:highlight w:val="none"/>
        </w:rPr>
      </w:pPr>
    </w:p>
    <w:p w14:paraId="7E8455CC">
      <w:pPr>
        <w:ind w:firstLine="560" w:firstLineChars="200"/>
        <w:textAlignment w:val="center"/>
        <w:rPr>
          <w:color w:val="auto"/>
          <w:highlight w:val="none"/>
        </w:rPr>
      </w:pPr>
    </w:p>
    <w:p w14:paraId="425EEFFD">
      <w:pPr>
        <w:ind w:firstLine="560" w:firstLineChars="200"/>
        <w:textAlignment w:val="center"/>
        <w:rPr>
          <w:color w:val="auto"/>
          <w:highlight w:val="none"/>
        </w:rPr>
      </w:pPr>
    </w:p>
    <w:p w14:paraId="2D86ADD4">
      <w:pPr>
        <w:rPr>
          <w:color w:val="auto"/>
          <w:highlight w:val="none"/>
        </w:rPr>
      </w:pPr>
    </w:p>
    <w:p w14:paraId="4289E751">
      <w:pPr>
        <w:rPr>
          <w:color w:val="auto"/>
          <w:highlight w:val="none"/>
        </w:rPr>
      </w:pPr>
    </w:p>
    <w:p w14:paraId="1BF3CA2C">
      <w:pPr>
        <w:rPr>
          <w:color w:val="auto"/>
          <w:highlight w:val="none"/>
        </w:rPr>
      </w:pPr>
    </w:p>
    <w:p w14:paraId="14C67037">
      <w:pPr>
        <w:rPr>
          <w:color w:val="auto"/>
          <w:highlight w:val="none"/>
        </w:rPr>
      </w:pPr>
    </w:p>
    <w:p w14:paraId="7CECA8FB">
      <w:pPr>
        <w:rPr>
          <w:color w:val="auto"/>
          <w:highlight w:val="none"/>
        </w:rPr>
      </w:pPr>
    </w:p>
    <w:p w14:paraId="58A41B10">
      <w:pPr>
        <w:rPr>
          <w:color w:val="auto"/>
          <w:highlight w:val="none"/>
        </w:rPr>
      </w:pPr>
    </w:p>
    <w:p w14:paraId="29DEF196">
      <w:pPr>
        <w:rPr>
          <w:color w:val="auto"/>
          <w:highlight w:val="none"/>
        </w:rPr>
      </w:pPr>
    </w:p>
    <w:p w14:paraId="7AA034A8">
      <w:pPr>
        <w:rPr>
          <w:color w:val="auto"/>
          <w:highlight w:val="none"/>
        </w:rPr>
      </w:pPr>
    </w:p>
    <w:p w14:paraId="52733328">
      <w:pPr>
        <w:rPr>
          <w:color w:val="auto"/>
          <w:highlight w:val="none"/>
        </w:rPr>
      </w:pPr>
    </w:p>
    <w:p w14:paraId="04A5C1CD">
      <w:pPr>
        <w:rPr>
          <w:color w:val="auto"/>
          <w:highlight w:val="none"/>
        </w:rPr>
      </w:pPr>
    </w:p>
    <w:p w14:paraId="357B45C9">
      <w:pPr>
        <w:rPr>
          <w:color w:val="auto"/>
          <w:highlight w:val="none"/>
        </w:rPr>
      </w:pPr>
    </w:p>
    <w:p w14:paraId="49E2EC76">
      <w:pPr>
        <w:rPr>
          <w:color w:val="auto"/>
          <w:highlight w:val="none"/>
        </w:rPr>
      </w:pPr>
    </w:p>
    <w:p w14:paraId="599B8A5B">
      <w:pPr>
        <w:rPr>
          <w:color w:val="auto"/>
          <w:highlight w:val="none"/>
        </w:rPr>
      </w:pPr>
    </w:p>
    <w:p w14:paraId="6DCE065A">
      <w:pPr>
        <w:rPr>
          <w:color w:val="auto"/>
          <w:highlight w:val="none"/>
        </w:rPr>
      </w:pPr>
    </w:p>
    <w:p w14:paraId="2102DCB0">
      <w:pPr>
        <w:rPr>
          <w:color w:val="auto"/>
          <w:highlight w:val="none"/>
        </w:rPr>
      </w:pPr>
    </w:p>
    <w:bookmarkEnd w:id="30"/>
    <w:p w14:paraId="7E34F6B8">
      <w:pPr>
        <w:pStyle w:val="2"/>
        <w:jc w:val="center"/>
        <w:rPr>
          <w:rFonts w:eastAsiaTheme="minorEastAsia"/>
          <w:color w:val="auto"/>
          <w:sz w:val="44"/>
          <w:highlight w:val="none"/>
        </w:rPr>
      </w:pPr>
      <w:bookmarkStart w:id="31" w:name="_Toc16556"/>
      <w:bookmarkStart w:id="32" w:name="_Toc9691"/>
      <w:r>
        <w:rPr>
          <w:rFonts w:eastAsiaTheme="minorEastAsia"/>
          <w:color w:val="auto"/>
          <w:sz w:val="44"/>
          <w:highlight w:val="none"/>
        </w:rPr>
        <w:t>第三章　估算编制办法</w:t>
      </w:r>
      <w:bookmarkEnd w:id="31"/>
      <w:bookmarkEnd w:id="32"/>
    </w:p>
    <w:p w14:paraId="75AD2C0B">
      <w:pPr>
        <w:pStyle w:val="3"/>
        <w:jc w:val="center"/>
        <w:rPr>
          <w:rFonts w:ascii="Times New Roman" w:hAnsi="Times New Roman" w:cs="Times New Roman"/>
          <w:color w:val="auto"/>
          <w:highlight w:val="none"/>
        </w:rPr>
      </w:pPr>
      <w:bookmarkStart w:id="33" w:name="_Toc118989865"/>
      <w:bookmarkStart w:id="34" w:name="_Toc1676"/>
      <w:bookmarkStart w:id="35" w:name="_Toc5111"/>
      <w:r>
        <w:rPr>
          <w:rFonts w:ascii="Times New Roman" w:hAnsi="Times New Roman" w:cs="Times New Roman"/>
          <w:color w:val="auto"/>
          <w:highlight w:val="none"/>
        </w:rPr>
        <w:t>第一节　估算编制层次</w:t>
      </w:r>
      <w:bookmarkEnd w:id="33"/>
      <w:bookmarkEnd w:id="34"/>
      <w:bookmarkEnd w:id="35"/>
    </w:p>
    <w:p w14:paraId="25997393">
      <w:pPr>
        <w:ind w:firstLine="560" w:firstLineChars="200"/>
        <w:textAlignment w:val="center"/>
        <w:rPr>
          <w:color w:val="auto"/>
          <w:highlight w:val="none"/>
        </w:rPr>
      </w:pPr>
      <w:r>
        <w:rPr>
          <w:color w:val="auto"/>
          <w:highlight w:val="none"/>
        </w:rPr>
        <w:t>为充分体现城市轨道交通建设工程管理和投资控制特点，投资估算编制按总估算文件一个层次完成。</w:t>
      </w:r>
    </w:p>
    <w:p w14:paraId="0144C985">
      <w:pPr>
        <w:ind w:firstLine="560" w:firstLineChars="200"/>
        <w:textAlignment w:val="center"/>
        <w:rPr>
          <w:color w:val="auto"/>
          <w:highlight w:val="none"/>
        </w:rPr>
      </w:pPr>
      <w:r>
        <w:rPr>
          <w:color w:val="auto"/>
          <w:highlight w:val="none"/>
        </w:rPr>
        <w:t>总估算文件是反映整个建设项目的投资规模和投资构成的文件，包括总估算表和综合估算表等表格及说明。</w:t>
      </w:r>
    </w:p>
    <w:p w14:paraId="412DEF64">
      <w:pPr>
        <w:ind w:firstLine="560" w:firstLineChars="200"/>
        <w:textAlignment w:val="center"/>
        <w:rPr>
          <w:color w:val="auto"/>
          <w:highlight w:val="none"/>
        </w:rPr>
      </w:pPr>
      <w:r>
        <w:rPr>
          <w:color w:val="auto"/>
          <w:highlight w:val="none"/>
        </w:rPr>
        <w:t>（一）总估算表</w:t>
      </w:r>
    </w:p>
    <w:p w14:paraId="6C1035A2">
      <w:pPr>
        <w:ind w:firstLine="560" w:firstLineChars="200"/>
        <w:textAlignment w:val="center"/>
        <w:rPr>
          <w:color w:val="auto"/>
          <w:highlight w:val="none"/>
        </w:rPr>
      </w:pPr>
      <w:r>
        <w:rPr>
          <w:color w:val="auto"/>
          <w:highlight w:val="none"/>
        </w:rPr>
        <w:t>总估算表是根据综合估算表，按</w:t>
      </w:r>
      <w:r>
        <w:rPr>
          <w:rFonts w:hint="eastAsia"/>
          <w:color w:val="auto"/>
          <w:highlight w:val="none"/>
        </w:rPr>
        <w:t>“</w:t>
      </w:r>
      <w:r>
        <w:rPr>
          <w:color w:val="auto"/>
          <w:highlight w:val="none"/>
        </w:rPr>
        <w:t>综合估算章节表</w:t>
      </w:r>
      <w:r>
        <w:rPr>
          <w:rFonts w:hint="eastAsia"/>
          <w:color w:val="auto"/>
          <w:highlight w:val="none"/>
        </w:rPr>
        <w:t>”</w:t>
      </w:r>
      <w:r>
        <w:rPr>
          <w:color w:val="auto"/>
          <w:highlight w:val="none"/>
        </w:rPr>
        <w:t>顺序，分章进行汇编。</w:t>
      </w:r>
    </w:p>
    <w:p w14:paraId="724BB07B">
      <w:pPr>
        <w:ind w:firstLine="560" w:firstLineChars="200"/>
        <w:textAlignment w:val="center"/>
        <w:rPr>
          <w:color w:val="auto"/>
          <w:highlight w:val="none"/>
        </w:rPr>
      </w:pPr>
      <w:r>
        <w:rPr>
          <w:color w:val="auto"/>
          <w:highlight w:val="none"/>
        </w:rPr>
        <w:t>（二）综合估算表</w:t>
      </w:r>
    </w:p>
    <w:p w14:paraId="4404332E">
      <w:pPr>
        <w:ind w:firstLine="560" w:firstLineChars="200"/>
        <w:textAlignment w:val="center"/>
        <w:rPr>
          <w:color w:val="auto"/>
          <w:highlight w:val="none"/>
        </w:rPr>
      </w:pPr>
      <w:r>
        <w:rPr>
          <w:color w:val="auto"/>
          <w:highlight w:val="none"/>
        </w:rPr>
        <w:t>综合估算表是按</w:t>
      </w:r>
      <w:r>
        <w:rPr>
          <w:rFonts w:hint="eastAsia"/>
          <w:color w:val="auto"/>
          <w:highlight w:val="none"/>
        </w:rPr>
        <w:t>“</w:t>
      </w:r>
      <w:r>
        <w:rPr>
          <w:color w:val="auto"/>
          <w:highlight w:val="none"/>
        </w:rPr>
        <w:t>综合估算章节表</w:t>
      </w:r>
      <w:r>
        <w:rPr>
          <w:rFonts w:hint="eastAsia"/>
          <w:color w:val="auto"/>
          <w:highlight w:val="none"/>
        </w:rPr>
        <w:t>”</w:t>
      </w:r>
      <w:r>
        <w:rPr>
          <w:color w:val="auto"/>
          <w:highlight w:val="none"/>
        </w:rPr>
        <w:t>顺序，将各章、节及细目估算费用进行汇总编制。</w:t>
      </w:r>
    </w:p>
    <w:p w14:paraId="39ADB747">
      <w:pPr>
        <w:pStyle w:val="3"/>
        <w:jc w:val="center"/>
        <w:rPr>
          <w:rFonts w:ascii="Times New Roman" w:hAnsi="Times New Roman" w:cs="Times New Roman"/>
          <w:color w:val="auto"/>
          <w:highlight w:val="none"/>
        </w:rPr>
      </w:pPr>
      <w:bookmarkStart w:id="36" w:name="_Toc5442"/>
      <w:bookmarkStart w:id="37" w:name="_Toc118989866"/>
      <w:bookmarkStart w:id="38" w:name="_Toc30059"/>
      <w:r>
        <w:rPr>
          <w:rFonts w:ascii="Times New Roman" w:hAnsi="Times New Roman" w:cs="Times New Roman"/>
          <w:color w:val="auto"/>
          <w:highlight w:val="none"/>
        </w:rPr>
        <w:t>第二节　估算章节划分</w:t>
      </w:r>
      <w:bookmarkEnd w:id="36"/>
      <w:bookmarkEnd w:id="37"/>
      <w:bookmarkEnd w:id="38"/>
    </w:p>
    <w:p w14:paraId="2EE5758D">
      <w:pPr>
        <w:ind w:firstLine="560" w:firstLineChars="200"/>
        <w:textAlignment w:val="center"/>
        <w:rPr>
          <w:color w:val="auto"/>
          <w:highlight w:val="none"/>
        </w:rPr>
      </w:pPr>
      <w:r>
        <w:rPr>
          <w:color w:val="auto"/>
          <w:highlight w:val="none"/>
        </w:rPr>
        <w:t>估算章节划分具体体现为综合估算章节表，其作用是将估算费用按不同的工程和费用类别，划分为统一的章、节及细目。综合估算章节表应体现统一和协调项目各专业估算的编排顺序，反映项目各工程类别编制的内容。综合估算章、节及细目中各类工程费用的划分，应有利于城市轨道交通工程各项指标的积累和造价信息化管理。</w:t>
      </w:r>
    </w:p>
    <w:p w14:paraId="036A026D">
      <w:pPr>
        <w:ind w:firstLine="560" w:firstLineChars="200"/>
        <w:textAlignment w:val="center"/>
        <w:rPr>
          <w:color w:val="auto"/>
          <w:highlight w:val="none"/>
        </w:rPr>
      </w:pPr>
      <w:r>
        <w:rPr>
          <w:color w:val="auto"/>
          <w:highlight w:val="none"/>
        </w:rPr>
        <w:t>根据不同工程和费用类别，将估算费用划分为工程费用、工程建设其他费用、预备费和专项费用四部分。共十九章38节。</w:t>
      </w:r>
      <w:r>
        <w:rPr>
          <w:rFonts w:hint="eastAsia"/>
          <w:color w:val="auto"/>
          <w:highlight w:val="none"/>
        </w:rPr>
        <w:t>投资</w:t>
      </w:r>
      <w:r>
        <w:rPr>
          <w:color w:val="auto"/>
          <w:highlight w:val="none"/>
        </w:rPr>
        <w:t>估算应采用统一的章节表</w:t>
      </w:r>
      <w:r>
        <w:rPr>
          <w:rFonts w:hint="eastAsia"/>
          <w:color w:val="auto"/>
          <w:highlight w:val="none"/>
        </w:rPr>
        <w:t>进行编制；有轨电车、磁悬浮轨道系统及改、扩建工程等，可结合设计深度及内容，调整相关费用内容</w:t>
      </w:r>
      <w:r>
        <w:rPr>
          <w:color w:val="auto"/>
          <w:highlight w:val="none"/>
        </w:rPr>
        <w:t>。详见附录一：综合估算章节表。</w:t>
      </w:r>
    </w:p>
    <w:p w14:paraId="7EC7542C">
      <w:pPr>
        <w:ind w:firstLine="560" w:firstLineChars="200"/>
        <w:textAlignment w:val="center"/>
        <w:rPr>
          <w:color w:val="auto"/>
          <w:highlight w:val="none"/>
        </w:rPr>
      </w:pPr>
      <w:r>
        <w:rPr>
          <w:color w:val="auto"/>
          <w:highlight w:val="none"/>
        </w:rPr>
        <w:t>各章名称详见表3-1。</w:t>
      </w:r>
    </w:p>
    <w:p w14:paraId="6ADB3820">
      <w:pPr>
        <w:jc w:val="center"/>
        <w:textAlignment w:val="center"/>
        <w:rPr>
          <w:color w:val="auto"/>
          <w:highlight w:val="none"/>
        </w:rPr>
      </w:pPr>
      <w:bookmarkStart w:id="39" w:name="_Toc149827331"/>
    </w:p>
    <w:p w14:paraId="12032645">
      <w:pPr>
        <w:jc w:val="center"/>
        <w:textAlignment w:val="center"/>
        <w:rPr>
          <w:color w:val="auto"/>
          <w:highlight w:val="none"/>
        </w:rPr>
      </w:pPr>
    </w:p>
    <w:p w14:paraId="455BE77C">
      <w:pPr>
        <w:jc w:val="center"/>
        <w:textAlignment w:val="center"/>
        <w:rPr>
          <w:b/>
          <w:bCs/>
          <w:color w:val="auto"/>
          <w:highlight w:val="none"/>
        </w:rPr>
      </w:pPr>
      <w:r>
        <w:rPr>
          <w:rFonts w:eastAsia="黑体"/>
          <w:color w:val="auto"/>
          <w:sz w:val="26"/>
          <w:szCs w:val="26"/>
          <w:highlight w:val="none"/>
        </w:rPr>
        <w:t>表3-1 各章名称表</w:t>
      </w:r>
      <w:bookmarkEnd w:id="39"/>
    </w:p>
    <w:tbl>
      <w:tblPr>
        <w:tblStyle w:val="40"/>
        <w:tblW w:w="8779"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Layout w:type="fixed"/>
        <w:tblCellMar>
          <w:top w:w="0" w:type="dxa"/>
          <w:left w:w="57" w:type="dxa"/>
          <w:bottom w:w="0" w:type="dxa"/>
          <w:right w:w="57" w:type="dxa"/>
        </w:tblCellMar>
      </w:tblPr>
      <w:tblGrid>
        <w:gridCol w:w="1163"/>
        <w:gridCol w:w="2911"/>
        <w:gridCol w:w="1459"/>
        <w:gridCol w:w="3246"/>
      </w:tblGrid>
      <w:tr w14:paraId="1D9E1F0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CellMar>
            <w:top w:w="0" w:type="dxa"/>
            <w:left w:w="57" w:type="dxa"/>
            <w:bottom w:w="0" w:type="dxa"/>
            <w:right w:w="57" w:type="dxa"/>
          </w:tblCellMar>
        </w:tblPrEx>
        <w:trPr>
          <w:cantSplit/>
          <w:trHeight w:val="454" w:hRule="atLeast"/>
          <w:jc w:val="center"/>
        </w:trPr>
        <w:tc>
          <w:tcPr>
            <w:tcW w:w="1163" w:type="dxa"/>
            <w:shd w:val="clear" w:color="auto" w:fill="auto"/>
            <w:vAlign w:val="center"/>
          </w:tcPr>
          <w:p w14:paraId="27AA0915">
            <w:pPr>
              <w:keepNext/>
              <w:adjustRightInd w:val="0"/>
              <w:snapToGrid w:val="0"/>
              <w:jc w:val="center"/>
              <w:rPr>
                <w:color w:val="auto"/>
                <w:sz w:val="21"/>
                <w:szCs w:val="24"/>
                <w:highlight w:val="none"/>
              </w:rPr>
            </w:pPr>
            <w:r>
              <w:rPr>
                <w:color w:val="auto"/>
                <w:sz w:val="21"/>
                <w:szCs w:val="24"/>
                <w:highlight w:val="none"/>
              </w:rPr>
              <w:t>章序</w:t>
            </w:r>
          </w:p>
        </w:tc>
        <w:tc>
          <w:tcPr>
            <w:tcW w:w="2911" w:type="dxa"/>
            <w:shd w:val="clear" w:color="auto" w:fill="auto"/>
            <w:vAlign w:val="center"/>
          </w:tcPr>
          <w:p w14:paraId="217130BD">
            <w:pPr>
              <w:keepNext/>
              <w:adjustRightInd w:val="0"/>
              <w:snapToGrid w:val="0"/>
              <w:jc w:val="center"/>
              <w:rPr>
                <w:color w:val="auto"/>
                <w:sz w:val="21"/>
                <w:szCs w:val="24"/>
                <w:highlight w:val="none"/>
              </w:rPr>
            </w:pPr>
            <w:r>
              <w:rPr>
                <w:color w:val="auto"/>
                <w:sz w:val="21"/>
                <w:szCs w:val="24"/>
                <w:highlight w:val="none"/>
              </w:rPr>
              <w:t>名称</w:t>
            </w:r>
          </w:p>
        </w:tc>
        <w:tc>
          <w:tcPr>
            <w:tcW w:w="1459" w:type="dxa"/>
            <w:shd w:val="clear" w:color="auto" w:fill="auto"/>
            <w:vAlign w:val="center"/>
          </w:tcPr>
          <w:p w14:paraId="17478EA8">
            <w:pPr>
              <w:keepNext/>
              <w:adjustRightInd w:val="0"/>
              <w:snapToGrid w:val="0"/>
              <w:jc w:val="center"/>
              <w:rPr>
                <w:color w:val="auto"/>
                <w:sz w:val="21"/>
                <w:szCs w:val="24"/>
                <w:highlight w:val="none"/>
              </w:rPr>
            </w:pPr>
            <w:r>
              <w:rPr>
                <w:color w:val="auto"/>
                <w:sz w:val="21"/>
                <w:szCs w:val="24"/>
                <w:highlight w:val="none"/>
              </w:rPr>
              <w:t>章序</w:t>
            </w:r>
          </w:p>
        </w:tc>
        <w:tc>
          <w:tcPr>
            <w:tcW w:w="3246" w:type="dxa"/>
            <w:shd w:val="clear" w:color="auto" w:fill="auto"/>
            <w:vAlign w:val="center"/>
          </w:tcPr>
          <w:p w14:paraId="2760A28A">
            <w:pPr>
              <w:keepNext/>
              <w:adjustRightInd w:val="0"/>
              <w:snapToGrid w:val="0"/>
              <w:jc w:val="center"/>
              <w:rPr>
                <w:color w:val="auto"/>
                <w:sz w:val="21"/>
                <w:szCs w:val="24"/>
                <w:highlight w:val="none"/>
              </w:rPr>
            </w:pPr>
            <w:r>
              <w:rPr>
                <w:color w:val="auto"/>
                <w:sz w:val="21"/>
                <w:szCs w:val="24"/>
                <w:highlight w:val="none"/>
              </w:rPr>
              <w:t>名称</w:t>
            </w:r>
          </w:p>
        </w:tc>
      </w:tr>
      <w:tr w14:paraId="519488B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CellMar>
            <w:top w:w="0" w:type="dxa"/>
            <w:left w:w="57" w:type="dxa"/>
            <w:bottom w:w="0" w:type="dxa"/>
            <w:right w:w="57" w:type="dxa"/>
          </w:tblCellMar>
        </w:tblPrEx>
        <w:trPr>
          <w:cantSplit/>
          <w:trHeight w:val="454" w:hRule="atLeast"/>
          <w:jc w:val="center"/>
        </w:trPr>
        <w:tc>
          <w:tcPr>
            <w:tcW w:w="1163" w:type="dxa"/>
            <w:shd w:val="clear" w:color="auto" w:fill="auto"/>
            <w:vAlign w:val="center"/>
          </w:tcPr>
          <w:p w14:paraId="4B3606DA">
            <w:pPr>
              <w:keepNext/>
              <w:adjustRightInd w:val="0"/>
              <w:snapToGrid w:val="0"/>
              <w:jc w:val="center"/>
              <w:rPr>
                <w:color w:val="auto"/>
                <w:sz w:val="21"/>
                <w:szCs w:val="24"/>
                <w:highlight w:val="none"/>
              </w:rPr>
            </w:pPr>
            <w:r>
              <w:rPr>
                <w:color w:val="auto"/>
                <w:sz w:val="21"/>
                <w:szCs w:val="24"/>
                <w:highlight w:val="none"/>
              </w:rPr>
              <w:t>第一章</w:t>
            </w:r>
          </w:p>
        </w:tc>
        <w:tc>
          <w:tcPr>
            <w:tcW w:w="2911" w:type="dxa"/>
            <w:shd w:val="clear" w:color="auto" w:fill="auto"/>
            <w:vAlign w:val="center"/>
          </w:tcPr>
          <w:p w14:paraId="6E31D339">
            <w:pPr>
              <w:keepNext/>
              <w:adjustRightInd w:val="0"/>
              <w:snapToGrid w:val="0"/>
              <w:jc w:val="center"/>
              <w:rPr>
                <w:color w:val="auto"/>
                <w:sz w:val="21"/>
                <w:szCs w:val="24"/>
                <w:highlight w:val="none"/>
              </w:rPr>
            </w:pPr>
            <w:r>
              <w:rPr>
                <w:color w:val="auto"/>
                <w:sz w:val="21"/>
                <w:szCs w:val="24"/>
                <w:highlight w:val="none"/>
              </w:rPr>
              <w:t>车站</w:t>
            </w:r>
          </w:p>
        </w:tc>
        <w:tc>
          <w:tcPr>
            <w:tcW w:w="1459" w:type="dxa"/>
            <w:shd w:val="clear" w:color="auto" w:fill="auto"/>
            <w:vAlign w:val="center"/>
          </w:tcPr>
          <w:p w14:paraId="07996B7A">
            <w:pPr>
              <w:keepNext/>
              <w:adjustRightInd w:val="0"/>
              <w:snapToGrid w:val="0"/>
              <w:jc w:val="center"/>
              <w:rPr>
                <w:color w:val="auto"/>
                <w:sz w:val="21"/>
                <w:szCs w:val="24"/>
                <w:highlight w:val="none"/>
              </w:rPr>
            </w:pPr>
            <w:r>
              <w:rPr>
                <w:color w:val="auto"/>
                <w:sz w:val="21"/>
                <w:szCs w:val="24"/>
                <w:highlight w:val="none"/>
              </w:rPr>
              <w:t>第十一章</w:t>
            </w:r>
          </w:p>
        </w:tc>
        <w:tc>
          <w:tcPr>
            <w:tcW w:w="3246" w:type="dxa"/>
            <w:shd w:val="clear" w:color="auto" w:fill="auto"/>
            <w:vAlign w:val="center"/>
          </w:tcPr>
          <w:p w14:paraId="1EB7FBA9">
            <w:pPr>
              <w:keepNext/>
              <w:adjustRightInd w:val="0"/>
              <w:snapToGrid w:val="0"/>
              <w:jc w:val="center"/>
              <w:rPr>
                <w:color w:val="auto"/>
                <w:sz w:val="21"/>
                <w:szCs w:val="24"/>
                <w:highlight w:val="none"/>
              </w:rPr>
            </w:pPr>
            <w:r>
              <w:rPr>
                <w:color w:val="auto"/>
                <w:sz w:val="21"/>
                <w:szCs w:val="24"/>
                <w:highlight w:val="none"/>
              </w:rPr>
              <w:t>给水与排水、消防</w:t>
            </w:r>
          </w:p>
        </w:tc>
      </w:tr>
      <w:tr w14:paraId="680CFA42">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CellMar>
            <w:top w:w="0" w:type="dxa"/>
            <w:left w:w="57" w:type="dxa"/>
            <w:bottom w:w="0" w:type="dxa"/>
            <w:right w:w="57" w:type="dxa"/>
          </w:tblCellMar>
        </w:tblPrEx>
        <w:trPr>
          <w:cantSplit/>
          <w:trHeight w:val="454" w:hRule="atLeast"/>
          <w:jc w:val="center"/>
        </w:trPr>
        <w:tc>
          <w:tcPr>
            <w:tcW w:w="1163" w:type="dxa"/>
            <w:shd w:val="clear" w:color="auto" w:fill="auto"/>
            <w:vAlign w:val="center"/>
          </w:tcPr>
          <w:p w14:paraId="1A10A76D">
            <w:pPr>
              <w:keepNext/>
              <w:adjustRightInd w:val="0"/>
              <w:snapToGrid w:val="0"/>
              <w:jc w:val="center"/>
              <w:rPr>
                <w:color w:val="auto"/>
                <w:sz w:val="21"/>
                <w:szCs w:val="24"/>
                <w:highlight w:val="none"/>
              </w:rPr>
            </w:pPr>
            <w:r>
              <w:rPr>
                <w:color w:val="auto"/>
                <w:sz w:val="21"/>
                <w:szCs w:val="24"/>
                <w:highlight w:val="none"/>
              </w:rPr>
              <w:t>第二章</w:t>
            </w:r>
          </w:p>
        </w:tc>
        <w:tc>
          <w:tcPr>
            <w:tcW w:w="2911" w:type="dxa"/>
            <w:shd w:val="clear" w:color="auto" w:fill="auto"/>
            <w:vAlign w:val="center"/>
          </w:tcPr>
          <w:p w14:paraId="1EBD2A98">
            <w:pPr>
              <w:keepNext/>
              <w:adjustRightInd w:val="0"/>
              <w:snapToGrid w:val="0"/>
              <w:jc w:val="center"/>
              <w:rPr>
                <w:color w:val="auto"/>
                <w:sz w:val="21"/>
                <w:szCs w:val="24"/>
                <w:highlight w:val="none"/>
              </w:rPr>
            </w:pPr>
            <w:r>
              <w:rPr>
                <w:color w:val="auto"/>
                <w:sz w:val="21"/>
                <w:szCs w:val="24"/>
                <w:highlight w:val="none"/>
              </w:rPr>
              <w:t>区间</w:t>
            </w:r>
          </w:p>
        </w:tc>
        <w:tc>
          <w:tcPr>
            <w:tcW w:w="1459" w:type="dxa"/>
            <w:shd w:val="clear" w:color="auto" w:fill="auto"/>
            <w:vAlign w:val="center"/>
          </w:tcPr>
          <w:p w14:paraId="76A00515">
            <w:pPr>
              <w:keepNext/>
              <w:adjustRightInd w:val="0"/>
              <w:snapToGrid w:val="0"/>
              <w:jc w:val="center"/>
              <w:rPr>
                <w:color w:val="auto"/>
                <w:sz w:val="21"/>
                <w:szCs w:val="24"/>
                <w:highlight w:val="none"/>
              </w:rPr>
            </w:pPr>
            <w:r>
              <w:rPr>
                <w:color w:val="auto"/>
                <w:sz w:val="21"/>
                <w:szCs w:val="24"/>
                <w:highlight w:val="none"/>
              </w:rPr>
              <w:t>第十二章</w:t>
            </w:r>
          </w:p>
        </w:tc>
        <w:tc>
          <w:tcPr>
            <w:tcW w:w="3246" w:type="dxa"/>
            <w:shd w:val="clear" w:color="auto" w:fill="auto"/>
            <w:vAlign w:val="center"/>
          </w:tcPr>
          <w:p w14:paraId="0FB34DBB">
            <w:pPr>
              <w:keepNext/>
              <w:adjustRightInd w:val="0"/>
              <w:snapToGrid w:val="0"/>
              <w:jc w:val="center"/>
              <w:rPr>
                <w:color w:val="auto"/>
                <w:sz w:val="21"/>
                <w:szCs w:val="24"/>
                <w:highlight w:val="none"/>
              </w:rPr>
            </w:pPr>
            <w:r>
              <w:rPr>
                <w:color w:val="auto"/>
                <w:sz w:val="21"/>
                <w:szCs w:val="24"/>
                <w:highlight w:val="none"/>
              </w:rPr>
              <w:t>自动售检票</w:t>
            </w:r>
          </w:p>
        </w:tc>
      </w:tr>
      <w:tr w14:paraId="2E4490A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CellMar>
            <w:top w:w="0" w:type="dxa"/>
            <w:left w:w="57" w:type="dxa"/>
            <w:bottom w:w="0" w:type="dxa"/>
            <w:right w:w="57" w:type="dxa"/>
          </w:tblCellMar>
        </w:tblPrEx>
        <w:trPr>
          <w:cantSplit/>
          <w:trHeight w:val="454" w:hRule="atLeast"/>
          <w:jc w:val="center"/>
        </w:trPr>
        <w:tc>
          <w:tcPr>
            <w:tcW w:w="1163" w:type="dxa"/>
            <w:shd w:val="clear" w:color="auto" w:fill="auto"/>
            <w:vAlign w:val="center"/>
          </w:tcPr>
          <w:p w14:paraId="2333A657">
            <w:pPr>
              <w:adjustRightInd w:val="0"/>
              <w:snapToGrid w:val="0"/>
              <w:jc w:val="center"/>
              <w:rPr>
                <w:color w:val="auto"/>
                <w:sz w:val="21"/>
                <w:szCs w:val="24"/>
                <w:highlight w:val="none"/>
              </w:rPr>
            </w:pPr>
            <w:r>
              <w:rPr>
                <w:color w:val="auto"/>
                <w:sz w:val="21"/>
                <w:szCs w:val="24"/>
                <w:highlight w:val="none"/>
              </w:rPr>
              <w:t>第三章</w:t>
            </w:r>
          </w:p>
        </w:tc>
        <w:tc>
          <w:tcPr>
            <w:tcW w:w="2911" w:type="dxa"/>
            <w:shd w:val="clear" w:color="auto" w:fill="auto"/>
            <w:vAlign w:val="center"/>
          </w:tcPr>
          <w:p w14:paraId="1145BFDA">
            <w:pPr>
              <w:adjustRightInd w:val="0"/>
              <w:snapToGrid w:val="0"/>
              <w:jc w:val="center"/>
              <w:rPr>
                <w:color w:val="auto"/>
                <w:sz w:val="21"/>
                <w:szCs w:val="24"/>
                <w:highlight w:val="none"/>
              </w:rPr>
            </w:pPr>
            <w:r>
              <w:rPr>
                <w:color w:val="auto"/>
                <w:sz w:val="21"/>
                <w:szCs w:val="24"/>
                <w:highlight w:val="none"/>
              </w:rPr>
              <w:t>轨道</w:t>
            </w:r>
          </w:p>
        </w:tc>
        <w:tc>
          <w:tcPr>
            <w:tcW w:w="1459" w:type="dxa"/>
            <w:shd w:val="clear" w:color="auto" w:fill="auto"/>
            <w:vAlign w:val="center"/>
          </w:tcPr>
          <w:p w14:paraId="62B475BD">
            <w:pPr>
              <w:adjustRightInd w:val="0"/>
              <w:snapToGrid w:val="0"/>
              <w:jc w:val="center"/>
              <w:rPr>
                <w:color w:val="auto"/>
                <w:sz w:val="21"/>
                <w:szCs w:val="24"/>
                <w:highlight w:val="none"/>
              </w:rPr>
            </w:pPr>
            <w:r>
              <w:rPr>
                <w:color w:val="auto"/>
                <w:sz w:val="21"/>
                <w:szCs w:val="24"/>
                <w:highlight w:val="none"/>
              </w:rPr>
              <w:t>第十三章</w:t>
            </w:r>
          </w:p>
        </w:tc>
        <w:tc>
          <w:tcPr>
            <w:tcW w:w="3246" w:type="dxa"/>
            <w:shd w:val="clear" w:color="auto" w:fill="auto"/>
            <w:vAlign w:val="center"/>
          </w:tcPr>
          <w:p w14:paraId="172FD5B3">
            <w:pPr>
              <w:adjustRightInd w:val="0"/>
              <w:snapToGrid w:val="0"/>
              <w:jc w:val="center"/>
              <w:rPr>
                <w:color w:val="auto"/>
                <w:sz w:val="21"/>
                <w:szCs w:val="24"/>
                <w:highlight w:val="none"/>
              </w:rPr>
            </w:pPr>
            <w:r>
              <w:rPr>
                <w:color w:val="auto"/>
                <w:sz w:val="21"/>
                <w:szCs w:val="24"/>
                <w:highlight w:val="none"/>
              </w:rPr>
              <w:t>站内客运设备、站台门</w:t>
            </w:r>
          </w:p>
        </w:tc>
      </w:tr>
      <w:tr w14:paraId="71C7C13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CellMar>
            <w:top w:w="0" w:type="dxa"/>
            <w:left w:w="57" w:type="dxa"/>
            <w:bottom w:w="0" w:type="dxa"/>
            <w:right w:w="57" w:type="dxa"/>
          </w:tblCellMar>
        </w:tblPrEx>
        <w:trPr>
          <w:cantSplit/>
          <w:trHeight w:val="454" w:hRule="atLeast"/>
          <w:jc w:val="center"/>
        </w:trPr>
        <w:tc>
          <w:tcPr>
            <w:tcW w:w="1163" w:type="dxa"/>
            <w:shd w:val="clear" w:color="auto" w:fill="auto"/>
            <w:vAlign w:val="center"/>
          </w:tcPr>
          <w:p w14:paraId="223E457E">
            <w:pPr>
              <w:adjustRightInd w:val="0"/>
              <w:snapToGrid w:val="0"/>
              <w:jc w:val="center"/>
              <w:rPr>
                <w:color w:val="auto"/>
                <w:sz w:val="21"/>
                <w:szCs w:val="24"/>
                <w:highlight w:val="none"/>
              </w:rPr>
            </w:pPr>
            <w:r>
              <w:rPr>
                <w:color w:val="auto"/>
                <w:sz w:val="21"/>
                <w:szCs w:val="24"/>
                <w:highlight w:val="none"/>
              </w:rPr>
              <w:t>第四章</w:t>
            </w:r>
          </w:p>
        </w:tc>
        <w:tc>
          <w:tcPr>
            <w:tcW w:w="2911" w:type="dxa"/>
            <w:shd w:val="clear" w:color="auto" w:fill="auto"/>
            <w:vAlign w:val="center"/>
          </w:tcPr>
          <w:p w14:paraId="6B196526">
            <w:pPr>
              <w:adjustRightInd w:val="0"/>
              <w:snapToGrid w:val="0"/>
              <w:jc w:val="center"/>
              <w:rPr>
                <w:color w:val="auto"/>
                <w:sz w:val="21"/>
                <w:szCs w:val="24"/>
                <w:highlight w:val="none"/>
              </w:rPr>
            </w:pPr>
            <w:r>
              <w:rPr>
                <w:color w:val="auto"/>
                <w:sz w:val="21"/>
                <w:szCs w:val="24"/>
                <w:highlight w:val="none"/>
              </w:rPr>
              <w:t>通信</w:t>
            </w:r>
          </w:p>
        </w:tc>
        <w:tc>
          <w:tcPr>
            <w:tcW w:w="1459" w:type="dxa"/>
            <w:shd w:val="clear" w:color="auto" w:fill="auto"/>
            <w:vAlign w:val="center"/>
          </w:tcPr>
          <w:p w14:paraId="4589D13C">
            <w:pPr>
              <w:adjustRightInd w:val="0"/>
              <w:snapToGrid w:val="0"/>
              <w:jc w:val="center"/>
              <w:rPr>
                <w:color w:val="auto"/>
                <w:sz w:val="21"/>
                <w:szCs w:val="24"/>
                <w:highlight w:val="none"/>
              </w:rPr>
            </w:pPr>
            <w:r>
              <w:rPr>
                <w:color w:val="auto"/>
                <w:sz w:val="21"/>
                <w:szCs w:val="24"/>
                <w:highlight w:val="none"/>
              </w:rPr>
              <w:t>第十四章</w:t>
            </w:r>
          </w:p>
        </w:tc>
        <w:tc>
          <w:tcPr>
            <w:tcW w:w="3246" w:type="dxa"/>
            <w:shd w:val="clear" w:color="auto" w:fill="auto"/>
            <w:vAlign w:val="center"/>
          </w:tcPr>
          <w:p w14:paraId="206835ED">
            <w:pPr>
              <w:adjustRightInd w:val="0"/>
              <w:snapToGrid w:val="0"/>
              <w:jc w:val="center"/>
              <w:rPr>
                <w:color w:val="auto"/>
                <w:sz w:val="21"/>
                <w:szCs w:val="24"/>
                <w:highlight w:val="none"/>
              </w:rPr>
            </w:pPr>
            <w:r>
              <w:rPr>
                <w:color w:val="auto"/>
                <w:sz w:val="21"/>
                <w:szCs w:val="24"/>
                <w:highlight w:val="none"/>
              </w:rPr>
              <w:t>运营管理房屋</w:t>
            </w:r>
          </w:p>
        </w:tc>
      </w:tr>
      <w:tr w14:paraId="572A3A1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CellMar>
            <w:top w:w="0" w:type="dxa"/>
            <w:left w:w="57" w:type="dxa"/>
            <w:bottom w:w="0" w:type="dxa"/>
            <w:right w:w="57" w:type="dxa"/>
          </w:tblCellMar>
        </w:tblPrEx>
        <w:trPr>
          <w:cantSplit/>
          <w:trHeight w:val="454" w:hRule="atLeast"/>
          <w:jc w:val="center"/>
        </w:trPr>
        <w:tc>
          <w:tcPr>
            <w:tcW w:w="1163" w:type="dxa"/>
            <w:shd w:val="clear" w:color="auto" w:fill="auto"/>
            <w:vAlign w:val="center"/>
          </w:tcPr>
          <w:p w14:paraId="6EAC3DA9">
            <w:pPr>
              <w:adjustRightInd w:val="0"/>
              <w:snapToGrid w:val="0"/>
              <w:jc w:val="center"/>
              <w:rPr>
                <w:color w:val="auto"/>
                <w:sz w:val="21"/>
                <w:szCs w:val="24"/>
                <w:highlight w:val="none"/>
              </w:rPr>
            </w:pPr>
            <w:r>
              <w:rPr>
                <w:color w:val="auto"/>
                <w:sz w:val="21"/>
                <w:szCs w:val="24"/>
                <w:highlight w:val="none"/>
              </w:rPr>
              <w:t>第五章</w:t>
            </w:r>
          </w:p>
        </w:tc>
        <w:tc>
          <w:tcPr>
            <w:tcW w:w="2911" w:type="dxa"/>
            <w:shd w:val="clear" w:color="auto" w:fill="auto"/>
            <w:vAlign w:val="center"/>
          </w:tcPr>
          <w:p w14:paraId="47844EC5">
            <w:pPr>
              <w:adjustRightInd w:val="0"/>
              <w:snapToGrid w:val="0"/>
              <w:jc w:val="center"/>
              <w:rPr>
                <w:color w:val="auto"/>
                <w:sz w:val="21"/>
                <w:szCs w:val="24"/>
                <w:highlight w:val="none"/>
              </w:rPr>
            </w:pPr>
            <w:r>
              <w:rPr>
                <w:color w:val="auto"/>
                <w:sz w:val="21"/>
                <w:szCs w:val="24"/>
                <w:highlight w:val="none"/>
              </w:rPr>
              <w:t>信号</w:t>
            </w:r>
          </w:p>
        </w:tc>
        <w:tc>
          <w:tcPr>
            <w:tcW w:w="1459" w:type="dxa"/>
            <w:shd w:val="clear" w:color="auto" w:fill="auto"/>
            <w:vAlign w:val="center"/>
          </w:tcPr>
          <w:p w14:paraId="4DCC0A11">
            <w:pPr>
              <w:adjustRightInd w:val="0"/>
              <w:snapToGrid w:val="0"/>
              <w:jc w:val="center"/>
              <w:rPr>
                <w:color w:val="auto"/>
                <w:sz w:val="21"/>
                <w:szCs w:val="24"/>
                <w:highlight w:val="none"/>
              </w:rPr>
            </w:pPr>
            <w:r>
              <w:rPr>
                <w:color w:val="auto"/>
                <w:sz w:val="21"/>
                <w:szCs w:val="24"/>
                <w:highlight w:val="none"/>
              </w:rPr>
              <w:t>第十五章</w:t>
            </w:r>
          </w:p>
        </w:tc>
        <w:tc>
          <w:tcPr>
            <w:tcW w:w="3246" w:type="dxa"/>
            <w:shd w:val="clear" w:color="auto" w:fill="auto"/>
            <w:vAlign w:val="center"/>
          </w:tcPr>
          <w:p w14:paraId="1BD12F36">
            <w:pPr>
              <w:adjustRightInd w:val="0"/>
              <w:snapToGrid w:val="0"/>
              <w:jc w:val="center"/>
              <w:rPr>
                <w:color w:val="auto"/>
                <w:sz w:val="21"/>
                <w:szCs w:val="24"/>
                <w:highlight w:val="none"/>
              </w:rPr>
            </w:pPr>
            <w:r>
              <w:rPr>
                <w:color w:val="auto"/>
                <w:sz w:val="21"/>
                <w:szCs w:val="24"/>
                <w:highlight w:val="none"/>
              </w:rPr>
              <w:t>车辆基地</w:t>
            </w:r>
          </w:p>
        </w:tc>
      </w:tr>
      <w:tr w14:paraId="236FC310">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CellMar>
            <w:top w:w="0" w:type="dxa"/>
            <w:left w:w="57" w:type="dxa"/>
            <w:bottom w:w="0" w:type="dxa"/>
            <w:right w:w="57" w:type="dxa"/>
          </w:tblCellMar>
        </w:tblPrEx>
        <w:trPr>
          <w:cantSplit/>
          <w:trHeight w:val="454" w:hRule="atLeast"/>
          <w:jc w:val="center"/>
        </w:trPr>
        <w:tc>
          <w:tcPr>
            <w:tcW w:w="1163" w:type="dxa"/>
            <w:shd w:val="clear" w:color="auto" w:fill="auto"/>
            <w:vAlign w:val="center"/>
          </w:tcPr>
          <w:p w14:paraId="122E72D4">
            <w:pPr>
              <w:adjustRightInd w:val="0"/>
              <w:snapToGrid w:val="0"/>
              <w:jc w:val="center"/>
              <w:rPr>
                <w:color w:val="auto"/>
                <w:sz w:val="21"/>
                <w:szCs w:val="24"/>
                <w:highlight w:val="none"/>
              </w:rPr>
            </w:pPr>
            <w:r>
              <w:rPr>
                <w:color w:val="auto"/>
                <w:sz w:val="21"/>
                <w:szCs w:val="24"/>
                <w:highlight w:val="none"/>
              </w:rPr>
              <w:t>第六章</w:t>
            </w:r>
          </w:p>
        </w:tc>
        <w:tc>
          <w:tcPr>
            <w:tcW w:w="2911" w:type="dxa"/>
            <w:shd w:val="clear" w:color="auto" w:fill="auto"/>
            <w:vAlign w:val="center"/>
          </w:tcPr>
          <w:p w14:paraId="1E0A5DA0">
            <w:pPr>
              <w:adjustRightInd w:val="0"/>
              <w:snapToGrid w:val="0"/>
              <w:jc w:val="center"/>
              <w:rPr>
                <w:color w:val="auto"/>
                <w:sz w:val="21"/>
                <w:szCs w:val="24"/>
                <w:highlight w:val="none"/>
              </w:rPr>
            </w:pPr>
            <w:r>
              <w:rPr>
                <w:color w:val="auto"/>
                <w:sz w:val="21"/>
                <w:szCs w:val="24"/>
                <w:highlight w:val="none"/>
              </w:rPr>
              <w:t>供电</w:t>
            </w:r>
          </w:p>
        </w:tc>
        <w:tc>
          <w:tcPr>
            <w:tcW w:w="1459" w:type="dxa"/>
            <w:shd w:val="clear" w:color="auto" w:fill="auto"/>
            <w:vAlign w:val="center"/>
          </w:tcPr>
          <w:p w14:paraId="58F56120">
            <w:pPr>
              <w:adjustRightInd w:val="0"/>
              <w:snapToGrid w:val="0"/>
              <w:jc w:val="center"/>
              <w:rPr>
                <w:color w:val="auto"/>
                <w:sz w:val="21"/>
                <w:szCs w:val="24"/>
                <w:highlight w:val="none"/>
              </w:rPr>
            </w:pPr>
            <w:r>
              <w:rPr>
                <w:color w:val="auto"/>
                <w:sz w:val="21"/>
                <w:szCs w:val="24"/>
                <w:highlight w:val="none"/>
              </w:rPr>
              <w:t>第十六章</w:t>
            </w:r>
          </w:p>
        </w:tc>
        <w:tc>
          <w:tcPr>
            <w:tcW w:w="3246" w:type="dxa"/>
            <w:shd w:val="clear" w:color="auto" w:fill="auto"/>
            <w:vAlign w:val="center"/>
          </w:tcPr>
          <w:p w14:paraId="373975D3">
            <w:pPr>
              <w:adjustRightInd w:val="0"/>
              <w:snapToGrid w:val="0"/>
              <w:jc w:val="center"/>
              <w:rPr>
                <w:color w:val="auto"/>
                <w:sz w:val="21"/>
                <w:szCs w:val="24"/>
                <w:highlight w:val="none"/>
              </w:rPr>
            </w:pPr>
            <w:r>
              <w:rPr>
                <w:color w:val="auto"/>
                <w:sz w:val="21"/>
                <w:szCs w:val="24"/>
                <w:highlight w:val="none"/>
              </w:rPr>
              <w:t>人防</w:t>
            </w:r>
          </w:p>
        </w:tc>
      </w:tr>
      <w:tr w14:paraId="79453F1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CellMar>
            <w:top w:w="0" w:type="dxa"/>
            <w:left w:w="57" w:type="dxa"/>
            <w:bottom w:w="0" w:type="dxa"/>
            <w:right w:w="57" w:type="dxa"/>
          </w:tblCellMar>
        </w:tblPrEx>
        <w:trPr>
          <w:cantSplit/>
          <w:trHeight w:val="454" w:hRule="atLeast"/>
          <w:jc w:val="center"/>
        </w:trPr>
        <w:tc>
          <w:tcPr>
            <w:tcW w:w="1163" w:type="dxa"/>
            <w:shd w:val="clear" w:color="auto" w:fill="auto"/>
            <w:vAlign w:val="center"/>
          </w:tcPr>
          <w:p w14:paraId="127FD656">
            <w:pPr>
              <w:adjustRightInd w:val="0"/>
              <w:snapToGrid w:val="0"/>
              <w:jc w:val="center"/>
              <w:rPr>
                <w:color w:val="auto"/>
                <w:sz w:val="21"/>
                <w:szCs w:val="24"/>
                <w:highlight w:val="none"/>
              </w:rPr>
            </w:pPr>
            <w:r>
              <w:rPr>
                <w:color w:val="auto"/>
                <w:sz w:val="21"/>
                <w:szCs w:val="24"/>
                <w:highlight w:val="none"/>
              </w:rPr>
              <w:t>第七章</w:t>
            </w:r>
          </w:p>
        </w:tc>
        <w:tc>
          <w:tcPr>
            <w:tcW w:w="2911" w:type="dxa"/>
            <w:shd w:val="clear" w:color="auto" w:fill="auto"/>
            <w:vAlign w:val="center"/>
          </w:tcPr>
          <w:p w14:paraId="065024B0">
            <w:pPr>
              <w:adjustRightInd w:val="0"/>
              <w:snapToGrid w:val="0"/>
              <w:jc w:val="center"/>
              <w:rPr>
                <w:color w:val="auto"/>
                <w:sz w:val="21"/>
                <w:szCs w:val="24"/>
                <w:highlight w:val="none"/>
              </w:rPr>
            </w:pPr>
            <w:r>
              <w:rPr>
                <w:color w:val="auto"/>
                <w:sz w:val="21"/>
                <w:szCs w:val="24"/>
                <w:highlight w:val="none"/>
              </w:rPr>
              <w:t>综合监控</w:t>
            </w:r>
          </w:p>
        </w:tc>
        <w:tc>
          <w:tcPr>
            <w:tcW w:w="1459" w:type="dxa"/>
            <w:shd w:val="clear" w:color="auto" w:fill="auto"/>
            <w:vAlign w:val="center"/>
          </w:tcPr>
          <w:p w14:paraId="743907B4">
            <w:pPr>
              <w:adjustRightInd w:val="0"/>
              <w:snapToGrid w:val="0"/>
              <w:jc w:val="center"/>
              <w:rPr>
                <w:color w:val="auto"/>
                <w:sz w:val="21"/>
                <w:szCs w:val="24"/>
                <w:highlight w:val="none"/>
              </w:rPr>
            </w:pPr>
            <w:r>
              <w:rPr>
                <w:color w:val="auto"/>
                <w:sz w:val="21"/>
                <w:szCs w:val="24"/>
                <w:highlight w:val="none"/>
              </w:rPr>
              <w:t>第十七章</w:t>
            </w:r>
          </w:p>
        </w:tc>
        <w:tc>
          <w:tcPr>
            <w:tcW w:w="3246" w:type="dxa"/>
            <w:shd w:val="clear" w:color="auto" w:fill="auto"/>
            <w:vAlign w:val="center"/>
          </w:tcPr>
          <w:p w14:paraId="5537E242">
            <w:pPr>
              <w:adjustRightInd w:val="0"/>
              <w:snapToGrid w:val="0"/>
              <w:jc w:val="center"/>
              <w:rPr>
                <w:color w:val="auto"/>
                <w:sz w:val="21"/>
                <w:szCs w:val="24"/>
                <w:highlight w:val="none"/>
              </w:rPr>
            </w:pPr>
            <w:r>
              <w:rPr>
                <w:color w:val="auto"/>
                <w:sz w:val="21"/>
                <w:szCs w:val="24"/>
                <w:highlight w:val="none"/>
              </w:rPr>
              <w:t>工程建设其他费用</w:t>
            </w:r>
          </w:p>
        </w:tc>
      </w:tr>
      <w:tr w14:paraId="5EBF59B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CellMar>
            <w:top w:w="0" w:type="dxa"/>
            <w:left w:w="57" w:type="dxa"/>
            <w:bottom w:w="0" w:type="dxa"/>
            <w:right w:w="57" w:type="dxa"/>
          </w:tblCellMar>
        </w:tblPrEx>
        <w:trPr>
          <w:cantSplit/>
          <w:trHeight w:val="454" w:hRule="atLeast"/>
          <w:jc w:val="center"/>
        </w:trPr>
        <w:tc>
          <w:tcPr>
            <w:tcW w:w="1163" w:type="dxa"/>
            <w:shd w:val="clear" w:color="auto" w:fill="auto"/>
            <w:vAlign w:val="center"/>
          </w:tcPr>
          <w:p w14:paraId="2F37157F">
            <w:pPr>
              <w:adjustRightInd w:val="0"/>
              <w:snapToGrid w:val="0"/>
              <w:jc w:val="center"/>
              <w:rPr>
                <w:color w:val="auto"/>
                <w:sz w:val="21"/>
                <w:szCs w:val="24"/>
                <w:highlight w:val="none"/>
              </w:rPr>
            </w:pPr>
            <w:r>
              <w:rPr>
                <w:color w:val="auto"/>
                <w:sz w:val="21"/>
                <w:szCs w:val="24"/>
                <w:highlight w:val="none"/>
              </w:rPr>
              <w:t>第八章</w:t>
            </w:r>
          </w:p>
        </w:tc>
        <w:tc>
          <w:tcPr>
            <w:tcW w:w="2911" w:type="dxa"/>
            <w:shd w:val="clear" w:color="auto" w:fill="auto"/>
            <w:vAlign w:val="center"/>
          </w:tcPr>
          <w:p w14:paraId="7C7EBB40">
            <w:pPr>
              <w:adjustRightInd w:val="0"/>
              <w:snapToGrid w:val="0"/>
              <w:jc w:val="center"/>
              <w:rPr>
                <w:color w:val="auto"/>
                <w:sz w:val="21"/>
                <w:szCs w:val="24"/>
                <w:highlight w:val="none"/>
              </w:rPr>
            </w:pPr>
            <w:r>
              <w:rPr>
                <w:color w:val="auto"/>
                <w:sz w:val="21"/>
                <w:szCs w:val="24"/>
                <w:highlight w:val="none"/>
              </w:rPr>
              <w:t>火灾自动报警、</w:t>
            </w:r>
          </w:p>
          <w:p w14:paraId="47FB47A1">
            <w:pPr>
              <w:adjustRightInd w:val="0"/>
              <w:snapToGrid w:val="0"/>
              <w:jc w:val="center"/>
              <w:rPr>
                <w:color w:val="auto"/>
                <w:sz w:val="21"/>
                <w:szCs w:val="24"/>
                <w:highlight w:val="none"/>
              </w:rPr>
            </w:pPr>
            <w:r>
              <w:rPr>
                <w:color w:val="auto"/>
                <w:sz w:val="21"/>
                <w:szCs w:val="24"/>
                <w:highlight w:val="none"/>
              </w:rPr>
              <w:t>环境与设备监控</w:t>
            </w:r>
          </w:p>
        </w:tc>
        <w:tc>
          <w:tcPr>
            <w:tcW w:w="1459" w:type="dxa"/>
            <w:shd w:val="clear" w:color="auto" w:fill="auto"/>
            <w:vAlign w:val="center"/>
          </w:tcPr>
          <w:p w14:paraId="505CE37E">
            <w:pPr>
              <w:adjustRightInd w:val="0"/>
              <w:snapToGrid w:val="0"/>
              <w:jc w:val="center"/>
              <w:rPr>
                <w:color w:val="auto"/>
                <w:sz w:val="21"/>
                <w:szCs w:val="24"/>
                <w:highlight w:val="none"/>
              </w:rPr>
            </w:pPr>
            <w:r>
              <w:rPr>
                <w:color w:val="auto"/>
                <w:sz w:val="21"/>
                <w:szCs w:val="24"/>
                <w:highlight w:val="none"/>
              </w:rPr>
              <w:t>第十八章</w:t>
            </w:r>
          </w:p>
        </w:tc>
        <w:tc>
          <w:tcPr>
            <w:tcW w:w="3246" w:type="dxa"/>
            <w:shd w:val="clear" w:color="auto" w:fill="auto"/>
            <w:vAlign w:val="center"/>
          </w:tcPr>
          <w:p w14:paraId="417AE94A">
            <w:pPr>
              <w:adjustRightInd w:val="0"/>
              <w:snapToGrid w:val="0"/>
              <w:jc w:val="center"/>
              <w:rPr>
                <w:color w:val="auto"/>
                <w:sz w:val="21"/>
                <w:szCs w:val="24"/>
                <w:highlight w:val="none"/>
              </w:rPr>
            </w:pPr>
            <w:r>
              <w:rPr>
                <w:color w:val="auto"/>
                <w:sz w:val="21"/>
                <w:szCs w:val="24"/>
                <w:highlight w:val="none"/>
              </w:rPr>
              <w:t>预备费</w:t>
            </w:r>
          </w:p>
        </w:tc>
      </w:tr>
      <w:tr w14:paraId="3FE03400">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CellMar>
            <w:top w:w="0" w:type="dxa"/>
            <w:left w:w="57" w:type="dxa"/>
            <w:bottom w:w="0" w:type="dxa"/>
            <w:right w:w="57" w:type="dxa"/>
          </w:tblCellMar>
        </w:tblPrEx>
        <w:trPr>
          <w:cantSplit/>
          <w:trHeight w:val="454" w:hRule="atLeast"/>
          <w:jc w:val="center"/>
        </w:trPr>
        <w:tc>
          <w:tcPr>
            <w:tcW w:w="1163" w:type="dxa"/>
            <w:shd w:val="clear" w:color="auto" w:fill="auto"/>
            <w:vAlign w:val="center"/>
          </w:tcPr>
          <w:p w14:paraId="7D8B14F6">
            <w:pPr>
              <w:adjustRightInd w:val="0"/>
              <w:snapToGrid w:val="0"/>
              <w:jc w:val="center"/>
              <w:rPr>
                <w:color w:val="auto"/>
                <w:sz w:val="21"/>
                <w:szCs w:val="24"/>
                <w:highlight w:val="none"/>
              </w:rPr>
            </w:pPr>
            <w:r>
              <w:rPr>
                <w:color w:val="auto"/>
                <w:sz w:val="21"/>
                <w:szCs w:val="24"/>
                <w:highlight w:val="none"/>
              </w:rPr>
              <w:t>第九章</w:t>
            </w:r>
          </w:p>
        </w:tc>
        <w:tc>
          <w:tcPr>
            <w:tcW w:w="2911" w:type="dxa"/>
            <w:shd w:val="clear" w:color="auto" w:fill="auto"/>
            <w:vAlign w:val="center"/>
          </w:tcPr>
          <w:p w14:paraId="70B7E792">
            <w:pPr>
              <w:adjustRightInd w:val="0"/>
              <w:snapToGrid w:val="0"/>
              <w:jc w:val="center"/>
              <w:rPr>
                <w:color w:val="auto"/>
                <w:sz w:val="21"/>
                <w:szCs w:val="24"/>
                <w:highlight w:val="none"/>
              </w:rPr>
            </w:pPr>
            <w:r>
              <w:rPr>
                <w:color w:val="auto"/>
                <w:sz w:val="21"/>
                <w:szCs w:val="24"/>
                <w:highlight w:val="none"/>
              </w:rPr>
              <w:t>安防与门禁</w:t>
            </w:r>
          </w:p>
        </w:tc>
        <w:tc>
          <w:tcPr>
            <w:tcW w:w="1459" w:type="dxa"/>
            <w:shd w:val="clear" w:color="auto" w:fill="auto"/>
            <w:vAlign w:val="center"/>
          </w:tcPr>
          <w:p w14:paraId="08DD599D">
            <w:pPr>
              <w:adjustRightInd w:val="0"/>
              <w:snapToGrid w:val="0"/>
              <w:jc w:val="center"/>
              <w:rPr>
                <w:color w:val="auto"/>
                <w:sz w:val="21"/>
                <w:szCs w:val="24"/>
                <w:highlight w:val="none"/>
              </w:rPr>
            </w:pPr>
            <w:r>
              <w:rPr>
                <w:color w:val="auto"/>
                <w:sz w:val="21"/>
                <w:szCs w:val="24"/>
                <w:highlight w:val="none"/>
              </w:rPr>
              <w:t>第十九章</w:t>
            </w:r>
          </w:p>
        </w:tc>
        <w:tc>
          <w:tcPr>
            <w:tcW w:w="3246" w:type="dxa"/>
            <w:shd w:val="clear" w:color="auto" w:fill="auto"/>
            <w:vAlign w:val="center"/>
          </w:tcPr>
          <w:p w14:paraId="6B0C166D">
            <w:pPr>
              <w:adjustRightInd w:val="0"/>
              <w:snapToGrid w:val="0"/>
              <w:jc w:val="center"/>
              <w:rPr>
                <w:color w:val="auto"/>
                <w:sz w:val="21"/>
                <w:szCs w:val="24"/>
                <w:highlight w:val="none"/>
              </w:rPr>
            </w:pPr>
            <w:r>
              <w:rPr>
                <w:color w:val="auto"/>
                <w:sz w:val="21"/>
                <w:szCs w:val="24"/>
                <w:highlight w:val="none"/>
              </w:rPr>
              <w:t>专项费用</w:t>
            </w:r>
          </w:p>
        </w:tc>
      </w:tr>
      <w:tr w14:paraId="26FEE08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auto" w:sz="4" w:space="0"/>
          </w:tblBorders>
          <w:tblCellMar>
            <w:top w:w="0" w:type="dxa"/>
            <w:left w:w="57" w:type="dxa"/>
            <w:bottom w:w="0" w:type="dxa"/>
            <w:right w:w="57" w:type="dxa"/>
          </w:tblCellMar>
        </w:tblPrEx>
        <w:trPr>
          <w:cantSplit/>
          <w:trHeight w:val="454" w:hRule="atLeast"/>
          <w:jc w:val="center"/>
        </w:trPr>
        <w:tc>
          <w:tcPr>
            <w:tcW w:w="1163" w:type="dxa"/>
            <w:shd w:val="clear" w:color="auto" w:fill="auto"/>
            <w:vAlign w:val="center"/>
          </w:tcPr>
          <w:p w14:paraId="5FB2B453">
            <w:pPr>
              <w:adjustRightInd w:val="0"/>
              <w:snapToGrid w:val="0"/>
              <w:jc w:val="center"/>
              <w:rPr>
                <w:color w:val="auto"/>
                <w:sz w:val="21"/>
                <w:szCs w:val="24"/>
                <w:highlight w:val="none"/>
              </w:rPr>
            </w:pPr>
            <w:r>
              <w:rPr>
                <w:color w:val="auto"/>
                <w:sz w:val="21"/>
                <w:szCs w:val="24"/>
                <w:highlight w:val="none"/>
              </w:rPr>
              <w:t>第十章</w:t>
            </w:r>
          </w:p>
        </w:tc>
        <w:tc>
          <w:tcPr>
            <w:tcW w:w="2911" w:type="dxa"/>
            <w:shd w:val="clear" w:color="auto" w:fill="auto"/>
            <w:vAlign w:val="center"/>
          </w:tcPr>
          <w:p w14:paraId="79D09709">
            <w:pPr>
              <w:adjustRightInd w:val="0"/>
              <w:snapToGrid w:val="0"/>
              <w:jc w:val="center"/>
              <w:rPr>
                <w:color w:val="auto"/>
                <w:sz w:val="21"/>
                <w:szCs w:val="24"/>
                <w:highlight w:val="none"/>
              </w:rPr>
            </w:pPr>
            <w:r>
              <w:rPr>
                <w:color w:val="auto"/>
                <w:sz w:val="21"/>
                <w:szCs w:val="24"/>
                <w:highlight w:val="none"/>
              </w:rPr>
              <w:t>通风、空调与供暖</w:t>
            </w:r>
          </w:p>
        </w:tc>
        <w:tc>
          <w:tcPr>
            <w:tcW w:w="1459" w:type="dxa"/>
            <w:shd w:val="clear" w:color="auto" w:fill="auto"/>
            <w:vAlign w:val="center"/>
          </w:tcPr>
          <w:p w14:paraId="592575AE">
            <w:pPr>
              <w:adjustRightInd w:val="0"/>
              <w:snapToGrid w:val="0"/>
              <w:jc w:val="center"/>
              <w:rPr>
                <w:color w:val="auto"/>
                <w:sz w:val="21"/>
                <w:szCs w:val="24"/>
                <w:highlight w:val="none"/>
              </w:rPr>
            </w:pPr>
          </w:p>
        </w:tc>
        <w:tc>
          <w:tcPr>
            <w:tcW w:w="3246" w:type="dxa"/>
            <w:shd w:val="clear" w:color="auto" w:fill="auto"/>
            <w:vAlign w:val="center"/>
          </w:tcPr>
          <w:p w14:paraId="25DE6394">
            <w:pPr>
              <w:adjustRightInd w:val="0"/>
              <w:snapToGrid w:val="0"/>
              <w:jc w:val="center"/>
              <w:rPr>
                <w:color w:val="auto"/>
                <w:sz w:val="21"/>
                <w:szCs w:val="24"/>
                <w:highlight w:val="none"/>
              </w:rPr>
            </w:pPr>
          </w:p>
        </w:tc>
      </w:tr>
    </w:tbl>
    <w:p w14:paraId="56C30569">
      <w:pPr>
        <w:pStyle w:val="3"/>
        <w:jc w:val="center"/>
        <w:rPr>
          <w:rFonts w:ascii="Times New Roman" w:hAnsi="Times New Roman" w:cs="Times New Roman"/>
          <w:color w:val="auto"/>
          <w:highlight w:val="none"/>
        </w:rPr>
      </w:pPr>
      <w:bookmarkStart w:id="40" w:name="_Toc14386"/>
      <w:bookmarkStart w:id="41" w:name="_Toc22594"/>
      <w:bookmarkStart w:id="42" w:name="_Toc118989867"/>
      <w:r>
        <w:rPr>
          <w:rFonts w:ascii="Times New Roman" w:hAnsi="Times New Roman" w:cs="Times New Roman"/>
          <w:color w:val="auto"/>
          <w:highlight w:val="none"/>
        </w:rPr>
        <w:t>第三节　计价依据与费用标准</w:t>
      </w:r>
      <w:bookmarkEnd w:id="40"/>
      <w:bookmarkEnd w:id="41"/>
      <w:bookmarkEnd w:id="42"/>
    </w:p>
    <w:p w14:paraId="64863CB0">
      <w:pPr>
        <w:spacing w:before="145" w:beforeLines="30" w:after="145" w:afterLines="30"/>
        <w:ind w:firstLine="600" w:firstLineChars="200"/>
        <w:outlineLvl w:val="2"/>
        <w:rPr>
          <w:rFonts w:eastAsia="楷体_GB2312"/>
          <w:color w:val="auto"/>
          <w:sz w:val="30"/>
          <w:szCs w:val="30"/>
          <w:highlight w:val="none"/>
        </w:rPr>
      </w:pPr>
      <w:bookmarkStart w:id="43" w:name="_Toc18517"/>
      <w:bookmarkStart w:id="44" w:name="_Toc3736"/>
      <w:r>
        <w:rPr>
          <w:rFonts w:eastAsia="楷体_GB2312"/>
          <w:color w:val="auto"/>
          <w:sz w:val="30"/>
          <w:szCs w:val="30"/>
          <w:highlight w:val="none"/>
        </w:rPr>
        <w:t>一、计价依据</w:t>
      </w:r>
      <w:bookmarkEnd w:id="43"/>
      <w:bookmarkEnd w:id="44"/>
    </w:p>
    <w:p w14:paraId="2C3CD2F0">
      <w:pPr>
        <w:ind w:firstLine="560" w:firstLineChars="200"/>
        <w:textAlignment w:val="center"/>
        <w:rPr>
          <w:color w:val="auto"/>
          <w:highlight w:val="none"/>
        </w:rPr>
      </w:pPr>
      <w:r>
        <w:rPr>
          <w:color w:val="auto"/>
          <w:highlight w:val="none"/>
        </w:rPr>
        <w:t>（一）城轨行业计价依据</w:t>
      </w:r>
    </w:p>
    <w:p w14:paraId="54BF8A86">
      <w:pPr>
        <w:ind w:firstLine="560" w:firstLineChars="200"/>
        <w:textAlignment w:val="center"/>
        <w:rPr>
          <w:color w:val="auto"/>
          <w:highlight w:val="none"/>
        </w:rPr>
      </w:pPr>
      <w:r>
        <w:rPr>
          <w:color w:val="auto"/>
          <w:highlight w:val="none"/>
        </w:rPr>
        <w:t>采用住建部《城市轨道交通工程投资估算指标》（ZYA3-12-2024）、城市轨道交通工程概算、预算阶段计价依据，或省</w:t>
      </w:r>
      <w:r>
        <w:rPr>
          <w:color w:val="auto"/>
          <w:szCs w:val="22"/>
          <w:highlight w:val="none"/>
        </w:rPr>
        <w:t>（自治区、直辖市）</w:t>
      </w:r>
      <w:r>
        <w:rPr>
          <w:color w:val="auto"/>
          <w:highlight w:val="none"/>
        </w:rPr>
        <w:t>城市轨道交通工程概（预）算计价依据，或省</w:t>
      </w:r>
      <w:r>
        <w:rPr>
          <w:color w:val="auto"/>
          <w:szCs w:val="22"/>
          <w:highlight w:val="none"/>
        </w:rPr>
        <w:t>（自治区、直辖市）</w:t>
      </w:r>
      <w:r>
        <w:rPr>
          <w:color w:val="auto"/>
          <w:highlight w:val="none"/>
        </w:rPr>
        <w:t xml:space="preserve">《城市轨道交通工程单位估价表》等有关计价文件。 </w:t>
      </w:r>
    </w:p>
    <w:p w14:paraId="31EAE1F1">
      <w:pPr>
        <w:ind w:firstLine="560" w:firstLineChars="200"/>
        <w:textAlignment w:val="center"/>
        <w:rPr>
          <w:color w:val="auto"/>
          <w:highlight w:val="none"/>
        </w:rPr>
      </w:pPr>
      <w:r>
        <w:rPr>
          <w:color w:val="auto"/>
          <w:highlight w:val="none"/>
        </w:rPr>
        <w:t>（二）其他行业计价依据</w:t>
      </w:r>
    </w:p>
    <w:p w14:paraId="03122837">
      <w:pPr>
        <w:ind w:firstLine="560" w:firstLineChars="200"/>
        <w:textAlignment w:val="center"/>
        <w:rPr>
          <w:color w:val="auto"/>
          <w:highlight w:val="none"/>
        </w:rPr>
      </w:pPr>
      <w:r>
        <w:rPr>
          <w:color w:val="auto"/>
          <w:highlight w:val="none"/>
        </w:rPr>
        <w:t xml:space="preserve">主变电站工程采用电力行业有关计价文件。 </w:t>
      </w:r>
    </w:p>
    <w:p w14:paraId="3CBE236E">
      <w:pPr>
        <w:ind w:firstLine="560" w:firstLineChars="200"/>
        <w:textAlignment w:val="center"/>
        <w:rPr>
          <w:color w:val="auto"/>
          <w:highlight w:val="none"/>
        </w:rPr>
      </w:pPr>
      <w:r>
        <w:rPr>
          <w:color w:val="auto"/>
          <w:highlight w:val="none"/>
        </w:rPr>
        <w:t>（三）地方性计价依据</w:t>
      </w:r>
    </w:p>
    <w:p w14:paraId="7D74B8AA">
      <w:pPr>
        <w:ind w:firstLine="560" w:firstLineChars="200"/>
        <w:textAlignment w:val="center"/>
        <w:rPr>
          <w:color w:val="auto"/>
          <w:highlight w:val="none"/>
        </w:rPr>
      </w:pPr>
      <w:r>
        <w:rPr>
          <w:color w:val="auto"/>
          <w:highlight w:val="none"/>
        </w:rPr>
        <w:t>地面房屋建筑与装饰工程、车辆基地大型土石方工程、装配式车站结构、前期工程等可采用建设项目所在地省</w:t>
      </w:r>
      <w:r>
        <w:rPr>
          <w:color w:val="auto"/>
          <w:szCs w:val="22"/>
          <w:highlight w:val="none"/>
        </w:rPr>
        <w:t>（自治区、直辖市）</w:t>
      </w:r>
      <w:r>
        <w:rPr>
          <w:color w:val="auto"/>
          <w:highlight w:val="none"/>
        </w:rPr>
        <w:t xml:space="preserve">有关计价文件。 </w:t>
      </w:r>
    </w:p>
    <w:p w14:paraId="47551BD7">
      <w:pPr>
        <w:ind w:firstLine="560" w:firstLineChars="200"/>
        <w:textAlignment w:val="center"/>
        <w:rPr>
          <w:color w:val="auto"/>
          <w:highlight w:val="none"/>
        </w:rPr>
      </w:pPr>
      <w:r>
        <w:rPr>
          <w:color w:val="auto"/>
          <w:highlight w:val="none"/>
        </w:rPr>
        <w:t>编制投资估算时，如遇新技术、新工艺、新材料、新设备、复杂工程或无可参考的既有经济技术指标，应调查、收集有关资料，参考以上计价依据进行测算，补充单价分析，并随投资估算文件一并送审。</w:t>
      </w:r>
    </w:p>
    <w:p w14:paraId="144F0D7A">
      <w:pPr>
        <w:spacing w:before="145" w:beforeLines="30" w:after="145" w:afterLines="30"/>
        <w:ind w:firstLine="600" w:firstLineChars="200"/>
        <w:outlineLvl w:val="2"/>
        <w:rPr>
          <w:rFonts w:eastAsia="楷体_GB2312"/>
          <w:color w:val="auto"/>
          <w:sz w:val="30"/>
          <w:szCs w:val="30"/>
          <w:highlight w:val="none"/>
        </w:rPr>
      </w:pPr>
      <w:bookmarkStart w:id="45" w:name="_Toc3327"/>
      <w:bookmarkStart w:id="46" w:name="_Toc12730"/>
      <w:bookmarkStart w:id="47" w:name="_Toc149827334"/>
      <w:r>
        <w:rPr>
          <w:rFonts w:eastAsia="楷体_GB2312"/>
          <w:color w:val="auto"/>
          <w:sz w:val="30"/>
          <w:szCs w:val="30"/>
          <w:highlight w:val="none"/>
        </w:rPr>
        <w:t>二、费用标准</w:t>
      </w:r>
      <w:bookmarkEnd w:id="45"/>
      <w:bookmarkEnd w:id="46"/>
      <w:bookmarkEnd w:id="47"/>
    </w:p>
    <w:p w14:paraId="4838587B">
      <w:pPr>
        <w:ind w:firstLine="560" w:firstLineChars="200"/>
        <w:textAlignment w:val="center"/>
        <w:rPr>
          <w:color w:val="auto"/>
          <w:highlight w:val="none"/>
        </w:rPr>
      </w:pPr>
      <w:r>
        <w:rPr>
          <w:color w:val="auto"/>
          <w:highlight w:val="none"/>
        </w:rPr>
        <w:t>应采用与对应计价依据文件配套的费用标准。</w:t>
      </w:r>
    </w:p>
    <w:p w14:paraId="6E150011">
      <w:pPr>
        <w:pStyle w:val="3"/>
        <w:jc w:val="center"/>
        <w:rPr>
          <w:rFonts w:ascii="Times New Roman" w:hAnsi="Times New Roman" w:cs="Times New Roman"/>
          <w:color w:val="auto"/>
          <w:highlight w:val="none"/>
        </w:rPr>
      </w:pPr>
      <w:bookmarkStart w:id="48" w:name="_Toc32217"/>
      <w:bookmarkStart w:id="49" w:name="_Toc3540"/>
      <w:bookmarkStart w:id="50" w:name="_Toc118989868"/>
      <w:r>
        <w:rPr>
          <w:rFonts w:ascii="Times New Roman" w:hAnsi="Times New Roman" w:cs="Times New Roman"/>
          <w:color w:val="auto"/>
          <w:highlight w:val="none"/>
        </w:rPr>
        <w:t>第四节　估算费用种类</w:t>
      </w:r>
      <w:bookmarkEnd w:id="48"/>
      <w:bookmarkEnd w:id="49"/>
      <w:bookmarkEnd w:id="50"/>
    </w:p>
    <w:p w14:paraId="64BF8851">
      <w:pPr>
        <w:ind w:firstLine="560" w:firstLineChars="200"/>
        <w:textAlignment w:val="center"/>
        <w:rPr>
          <w:color w:val="auto"/>
          <w:highlight w:val="none"/>
        </w:rPr>
      </w:pPr>
      <w:bookmarkStart w:id="51" w:name="_Toc118989869"/>
      <w:r>
        <w:rPr>
          <w:color w:val="auto"/>
          <w:highlight w:val="none"/>
        </w:rPr>
        <w:t>投资估算费用按投资构成，划分为工程费用、工程建设其他费用、预备费、专项费用四个部分。</w:t>
      </w:r>
    </w:p>
    <w:p w14:paraId="079BA27D">
      <w:pPr>
        <w:spacing w:before="145" w:beforeLines="30" w:after="145" w:afterLines="30"/>
        <w:ind w:firstLine="600" w:firstLineChars="200"/>
        <w:outlineLvl w:val="2"/>
        <w:rPr>
          <w:rFonts w:eastAsia="楷体_GB2312"/>
          <w:color w:val="auto"/>
          <w:sz w:val="30"/>
          <w:szCs w:val="30"/>
          <w:highlight w:val="none"/>
        </w:rPr>
      </w:pPr>
      <w:bookmarkStart w:id="52" w:name="_Toc8500"/>
      <w:bookmarkStart w:id="53" w:name="_Toc18296"/>
      <w:r>
        <w:rPr>
          <w:rFonts w:eastAsia="楷体_GB2312"/>
          <w:color w:val="auto"/>
          <w:sz w:val="30"/>
          <w:szCs w:val="30"/>
          <w:highlight w:val="none"/>
        </w:rPr>
        <w:t>第一部分 工程费用</w:t>
      </w:r>
      <w:bookmarkEnd w:id="52"/>
    </w:p>
    <w:p w14:paraId="1F73381D">
      <w:pPr>
        <w:ind w:firstLine="560" w:firstLineChars="200"/>
        <w:textAlignment w:val="center"/>
        <w:rPr>
          <w:color w:val="auto"/>
          <w:highlight w:val="none"/>
        </w:rPr>
      </w:pPr>
      <w:r>
        <w:rPr>
          <w:color w:val="auto"/>
          <w:highlight w:val="none"/>
        </w:rPr>
        <w:t>工程费用包括：</w:t>
      </w:r>
    </w:p>
    <w:p w14:paraId="56A606E9">
      <w:pPr>
        <w:ind w:firstLine="560" w:firstLineChars="200"/>
        <w:textAlignment w:val="center"/>
        <w:rPr>
          <w:color w:val="auto"/>
          <w:highlight w:val="none"/>
        </w:rPr>
      </w:pPr>
      <w:r>
        <w:rPr>
          <w:color w:val="auto"/>
          <w:highlight w:val="none"/>
        </w:rPr>
        <w:t>1．建筑工程费：是指建设工程涉及范围内的车站、区间、轨道、主变电站、运营管理房屋、车辆基地、设备基础等建（构）筑物、道路、室外管道铺设、大型土石方工程费用等。</w:t>
      </w:r>
    </w:p>
    <w:p w14:paraId="5F1DD900">
      <w:pPr>
        <w:ind w:firstLine="560" w:firstLineChars="200"/>
        <w:textAlignment w:val="center"/>
        <w:rPr>
          <w:color w:val="auto"/>
          <w:highlight w:val="none"/>
        </w:rPr>
      </w:pPr>
      <w:r>
        <w:rPr>
          <w:color w:val="auto"/>
          <w:highlight w:val="none"/>
        </w:rPr>
        <w:t>2．安装工程费：是指主要生产、辅助生产、公用工程等单项工程中需要安装的机械设备、电器设备、专用设备、仪器仪表等的安装及配件工程费用，与设备相连的工作台、梯子、栏杆等设施的装设工程费用，附属于被安装设备的管线敷设、绝缘、防腐、刷油、保温、调整和试验工程费用，工艺、供热、供水等各种管道、配件、阀门和供电外线安装等工程费用，以及为测定安装工程质量，对单台设备进行单机试运转、对系统设备进行系统联动无负荷试运转工作的调试费，以及其他</w:t>
      </w:r>
      <w:r>
        <w:rPr>
          <w:rFonts w:hint="eastAsia"/>
          <w:color w:val="auto"/>
          <w:highlight w:val="none"/>
          <w:lang w:eastAsia="zh-CN"/>
        </w:rPr>
        <w:t>纳入</w:t>
      </w:r>
      <w:r>
        <w:rPr>
          <w:color w:val="auto"/>
          <w:highlight w:val="none"/>
        </w:rPr>
        <w:t>安装工程的费用统称安装工程费。如：通信，信号，供电，综合监控，火灾自动报警、环境与设备监控，安防（含安检）与门禁，通风、空调与供暖，给水与排水、消防，自动售检票，站内客运设备、站台门，运营管理房屋，车辆基地，人防等安装工程费用。</w:t>
      </w:r>
    </w:p>
    <w:p w14:paraId="1B08E2D3">
      <w:pPr>
        <w:ind w:firstLine="560" w:firstLineChars="200"/>
        <w:textAlignment w:val="center"/>
        <w:rPr>
          <w:color w:val="auto"/>
          <w:highlight w:val="none"/>
        </w:rPr>
      </w:pPr>
      <w:r>
        <w:rPr>
          <w:color w:val="auto"/>
          <w:highlight w:val="none"/>
        </w:rPr>
        <w:t>3．设备购置费：是指为建设工程项目购置或自制的达到固定资产标准的设备、工具、器具的费用。由多种材料或经加工为零部件，并按各自用途组成的具有功能、容量、动能传递或转换的机器、容量、成套装置统称为设备。设备分为标准设备和非标准设备。按安装方法又分为需要安装和不需要安装的设备。构成固定资产标准的设备（包括备品备件），虽低于固定资产标准，但属于设计明确列入设备清单的均为设备。</w:t>
      </w:r>
    </w:p>
    <w:p w14:paraId="32B33E00">
      <w:pPr>
        <w:ind w:firstLine="560" w:firstLineChars="200"/>
        <w:textAlignment w:val="center"/>
        <w:rPr>
          <w:color w:val="auto"/>
          <w:highlight w:val="none"/>
        </w:rPr>
      </w:pPr>
      <w:r>
        <w:rPr>
          <w:color w:val="auto"/>
          <w:highlight w:val="none"/>
        </w:rPr>
        <w:t>设备应包括本体和附带的配件、备件及附属于设备本体制作成型的梯子、平台、栏杆、管道，以及附属于设备本体的油类、化学药品等；还包括各种计量器、仪表及自动化控制装置、实验室内的仪器及属于设备本体部分的仪器仪表等。</w:t>
      </w:r>
    </w:p>
    <w:p w14:paraId="4E3F5074">
      <w:pPr>
        <w:ind w:firstLine="560" w:firstLineChars="200"/>
        <w:textAlignment w:val="center"/>
        <w:rPr>
          <w:color w:val="auto"/>
          <w:highlight w:val="none"/>
        </w:rPr>
      </w:pPr>
      <w:r>
        <w:rPr>
          <w:color w:val="auto"/>
          <w:highlight w:val="none"/>
        </w:rPr>
        <w:t>设备购置费以设备原价加设备运杂费计算。</w:t>
      </w:r>
    </w:p>
    <w:p w14:paraId="3A4F61B8">
      <w:pPr>
        <w:spacing w:before="145" w:beforeLines="30" w:after="145" w:afterLines="30"/>
        <w:ind w:firstLine="600" w:firstLineChars="200"/>
        <w:outlineLvl w:val="2"/>
        <w:rPr>
          <w:rFonts w:eastAsia="楷体_GB2312"/>
          <w:color w:val="auto"/>
          <w:sz w:val="30"/>
          <w:szCs w:val="30"/>
          <w:highlight w:val="none"/>
        </w:rPr>
      </w:pPr>
      <w:r>
        <w:rPr>
          <w:rFonts w:eastAsia="楷体_GB2312"/>
          <w:color w:val="auto"/>
          <w:sz w:val="30"/>
          <w:szCs w:val="30"/>
          <w:highlight w:val="none"/>
        </w:rPr>
        <w:t>第二部分 工程建设其他费用</w:t>
      </w:r>
      <w:bookmarkEnd w:id="53"/>
    </w:p>
    <w:p w14:paraId="03B0C1BE">
      <w:pPr>
        <w:ind w:firstLine="560" w:firstLineChars="200"/>
        <w:textAlignment w:val="center"/>
        <w:rPr>
          <w:color w:val="auto"/>
          <w:highlight w:val="none"/>
        </w:rPr>
      </w:pPr>
      <w:r>
        <w:rPr>
          <w:color w:val="auto"/>
          <w:highlight w:val="none"/>
        </w:rPr>
        <w:t>工程建设其他费用：是指从工程筹建起到工程竣工验收交付使用止的整个建设期间，除建筑安装工程费、设备购置费、预备费和专项费用以外，为保证工程建设顺利完成和交付使用后，能够正常发挥效用而发生的各项费用。主要包括：</w:t>
      </w:r>
    </w:p>
    <w:p w14:paraId="63593CCD">
      <w:pPr>
        <w:ind w:firstLine="560" w:firstLineChars="200"/>
        <w:textAlignment w:val="center"/>
        <w:rPr>
          <w:color w:val="auto"/>
          <w:highlight w:val="none"/>
        </w:rPr>
      </w:pPr>
      <w:r>
        <w:rPr>
          <w:color w:val="auto"/>
          <w:highlight w:val="none"/>
        </w:rPr>
        <w:t>1．前期工程费，如：土地征用及补偿费，临时占地费，建（构）筑物拆迁补偿费，树木及绿化赔偿费，道路恢复费，管线迁改费，交通疏解费，河道改移费等。</w:t>
      </w:r>
    </w:p>
    <w:p w14:paraId="55230F11">
      <w:pPr>
        <w:ind w:firstLine="560" w:firstLineChars="200"/>
        <w:textAlignment w:val="center"/>
        <w:rPr>
          <w:color w:val="auto"/>
          <w:highlight w:val="none"/>
        </w:rPr>
      </w:pPr>
      <w:r>
        <w:rPr>
          <w:color w:val="auto"/>
          <w:highlight w:val="none"/>
        </w:rPr>
        <w:t>2．与项目建设有关的其他费用，如：场地准备费，项目建设管理费，建设工程监理与相关服务费，招标代理服务费，招标交易服务费、前期工作费，研究试验费，勘察设计费，咨询费，引进技术和设备其他费，专利及专有技术使用费，工程保险费，特殊设备安全监督检验费，安全生产保障费，建筑信息模型（BIM）技术服务费，工程配合协调费，配合辅助工程费，以及其他费用等。</w:t>
      </w:r>
    </w:p>
    <w:p w14:paraId="43988B5A">
      <w:pPr>
        <w:ind w:firstLine="560" w:firstLineChars="200"/>
        <w:textAlignment w:val="center"/>
        <w:rPr>
          <w:color w:val="auto"/>
          <w:highlight w:val="none"/>
        </w:rPr>
      </w:pPr>
      <w:r>
        <w:rPr>
          <w:color w:val="auto"/>
          <w:highlight w:val="none"/>
        </w:rPr>
        <w:t>3．与试运行有关的其他费用，如：综合联调及试运行费，生产准备及开办费等。</w:t>
      </w:r>
    </w:p>
    <w:p w14:paraId="0808497B">
      <w:pPr>
        <w:spacing w:before="145" w:beforeLines="30" w:after="145" w:afterLines="30"/>
        <w:ind w:firstLine="600" w:firstLineChars="200"/>
        <w:outlineLvl w:val="2"/>
        <w:rPr>
          <w:rFonts w:eastAsia="楷体_GB2312"/>
          <w:color w:val="auto"/>
          <w:sz w:val="30"/>
          <w:szCs w:val="30"/>
          <w:highlight w:val="none"/>
        </w:rPr>
      </w:pPr>
      <w:bookmarkStart w:id="54" w:name="_Toc27956"/>
      <w:r>
        <w:rPr>
          <w:rFonts w:eastAsia="楷体_GB2312"/>
          <w:color w:val="auto"/>
          <w:sz w:val="30"/>
          <w:szCs w:val="30"/>
          <w:highlight w:val="none"/>
        </w:rPr>
        <w:t>第三部分 预备费</w:t>
      </w:r>
      <w:bookmarkEnd w:id="54"/>
    </w:p>
    <w:p w14:paraId="47D534B1">
      <w:pPr>
        <w:ind w:firstLine="560" w:firstLineChars="200"/>
        <w:textAlignment w:val="center"/>
        <w:rPr>
          <w:color w:val="auto"/>
          <w:highlight w:val="none"/>
        </w:rPr>
      </w:pPr>
      <w:r>
        <w:rPr>
          <w:color w:val="auto"/>
          <w:highlight w:val="none"/>
        </w:rPr>
        <w:t>预备费：包括基本预备费和价差预备费。</w:t>
      </w:r>
    </w:p>
    <w:p w14:paraId="0B55D065">
      <w:pPr>
        <w:ind w:firstLine="560" w:firstLineChars="200"/>
        <w:textAlignment w:val="center"/>
        <w:rPr>
          <w:color w:val="auto"/>
          <w:highlight w:val="none"/>
        </w:rPr>
      </w:pPr>
      <w:r>
        <w:rPr>
          <w:color w:val="auto"/>
          <w:highlight w:val="none"/>
        </w:rPr>
        <w:t>1．基本预备费：是指针对项目实施过程中可能发生难以预料的支出而事先预留的费用。</w:t>
      </w:r>
    </w:p>
    <w:p w14:paraId="0840C851">
      <w:pPr>
        <w:ind w:firstLine="560" w:firstLineChars="200"/>
        <w:textAlignment w:val="center"/>
        <w:rPr>
          <w:color w:val="auto"/>
          <w:highlight w:val="none"/>
        </w:rPr>
      </w:pPr>
      <w:r>
        <w:rPr>
          <w:color w:val="auto"/>
          <w:highlight w:val="none"/>
        </w:rPr>
        <w:t>2．价差预备费：是指为在建设期内利率、汇率或价格等因素的变化而预留的可能增加的费用。</w:t>
      </w:r>
    </w:p>
    <w:p w14:paraId="6A7D20B3">
      <w:pPr>
        <w:spacing w:before="145" w:beforeLines="30" w:after="145" w:afterLines="30"/>
        <w:ind w:firstLine="600" w:firstLineChars="200"/>
        <w:outlineLvl w:val="2"/>
        <w:rPr>
          <w:rFonts w:eastAsia="楷体_GB2312"/>
          <w:color w:val="auto"/>
          <w:sz w:val="30"/>
          <w:szCs w:val="30"/>
          <w:highlight w:val="none"/>
        </w:rPr>
      </w:pPr>
      <w:bookmarkStart w:id="55" w:name="_Toc17753"/>
      <w:r>
        <w:rPr>
          <w:rFonts w:eastAsia="楷体_GB2312"/>
          <w:color w:val="auto"/>
          <w:sz w:val="30"/>
          <w:szCs w:val="30"/>
          <w:highlight w:val="none"/>
        </w:rPr>
        <w:t>第四部分 专项费用</w:t>
      </w:r>
      <w:bookmarkEnd w:id="55"/>
    </w:p>
    <w:p w14:paraId="45EE2186">
      <w:pPr>
        <w:ind w:firstLine="560" w:firstLineChars="200"/>
        <w:textAlignment w:val="center"/>
        <w:rPr>
          <w:color w:val="auto"/>
          <w:highlight w:val="none"/>
        </w:rPr>
      </w:pPr>
      <w:r>
        <w:rPr>
          <w:color w:val="auto"/>
          <w:highlight w:val="none"/>
        </w:rPr>
        <w:t>专项费用：包括车辆购置费（含车辆监造费）、建设期利息和铺底流动资金。</w:t>
      </w:r>
    </w:p>
    <w:p w14:paraId="6E5CE1FB">
      <w:pPr>
        <w:pStyle w:val="3"/>
        <w:jc w:val="center"/>
        <w:rPr>
          <w:rFonts w:ascii="Times New Roman" w:hAnsi="Times New Roman" w:cs="Times New Roman"/>
          <w:color w:val="auto"/>
          <w:highlight w:val="none"/>
        </w:rPr>
      </w:pPr>
      <w:bookmarkStart w:id="56" w:name="_Toc3696"/>
      <w:bookmarkStart w:id="57" w:name="_Toc26640"/>
      <w:r>
        <w:rPr>
          <w:rFonts w:ascii="Times New Roman" w:hAnsi="Times New Roman" w:cs="Times New Roman"/>
          <w:color w:val="auto"/>
          <w:highlight w:val="none"/>
        </w:rPr>
        <w:t>第五节　估算费用项目组成</w:t>
      </w:r>
      <w:bookmarkEnd w:id="51"/>
      <w:bookmarkEnd w:id="56"/>
      <w:bookmarkEnd w:id="57"/>
    </w:p>
    <w:p w14:paraId="5A79882A">
      <w:pPr>
        <w:ind w:firstLine="560" w:firstLineChars="200"/>
        <w:textAlignment w:val="center"/>
        <w:rPr>
          <w:color w:val="auto"/>
          <w:highlight w:val="none"/>
        </w:rPr>
      </w:pPr>
      <w:r>
        <w:rPr>
          <w:color w:val="auto"/>
          <w:highlight w:val="none"/>
        </w:rPr>
        <w:t>建设项目估算总投资：是指从工程筹建起到工程竣工验收交付使用止的整个建设期间内预计或实际投入的全部费用总和。</w:t>
      </w:r>
    </w:p>
    <w:p w14:paraId="7D84394E">
      <w:pPr>
        <w:ind w:firstLine="560" w:firstLineChars="200"/>
        <w:textAlignment w:val="center"/>
        <w:rPr>
          <w:color w:val="auto"/>
          <w:highlight w:val="none"/>
        </w:rPr>
      </w:pPr>
      <w:r>
        <w:rPr>
          <w:color w:val="auto"/>
          <w:highlight w:val="none"/>
        </w:rPr>
        <w:t>建设项目估算费用项目组成见图3-1。</w:t>
      </w:r>
    </w:p>
    <w:p w14:paraId="64FE4F54">
      <w:pPr>
        <w:jc w:val="center"/>
        <w:textAlignment w:val="center"/>
        <w:rPr>
          <w:color w:val="auto"/>
          <w:highlight w:val="none"/>
        </w:rPr>
      </w:pPr>
      <w:r>
        <w:rPr>
          <w:rFonts w:ascii="Arial" w:hAnsi="Arial" w:eastAsia="黑体" w:cs="Arial"/>
          <w:color w:val="auto"/>
          <w:sz w:val="26"/>
          <w:szCs w:val="28"/>
          <w:highlight w:val="none"/>
        </w:rPr>
        <w:drawing>
          <wp:anchor distT="0" distB="0" distL="114300" distR="114300" simplePos="0" relativeHeight="251659264" behindDoc="0" locked="0" layoutInCell="1" allowOverlap="1">
            <wp:simplePos x="0" y="0"/>
            <wp:positionH relativeFrom="column">
              <wp:posOffset>328930</wp:posOffset>
            </wp:positionH>
            <wp:positionV relativeFrom="paragraph">
              <wp:posOffset>59690</wp:posOffset>
            </wp:positionV>
            <wp:extent cx="5922645" cy="3886200"/>
            <wp:effectExtent l="4445" t="6350" r="16510" b="12700"/>
            <wp:wrapTopAndBottom/>
            <wp:docPr id="1793599356"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Start w:id="58" w:name="_Toc149827337"/>
      <w:r>
        <w:rPr>
          <w:rFonts w:eastAsia="黑体"/>
          <w:color w:val="auto"/>
          <w:sz w:val="26"/>
          <w:szCs w:val="26"/>
          <w:highlight w:val="none"/>
        </w:rPr>
        <w:t xml:space="preserve">图3-1 </w:t>
      </w:r>
      <w:bookmarkEnd w:id="58"/>
      <w:r>
        <w:rPr>
          <w:rFonts w:eastAsia="黑体"/>
          <w:color w:val="auto"/>
          <w:sz w:val="26"/>
          <w:szCs w:val="28"/>
          <w:highlight w:val="none"/>
        </w:rPr>
        <w:t>建设项目估算费用组成</w:t>
      </w:r>
    </w:p>
    <w:p w14:paraId="3CA92809">
      <w:pPr>
        <w:pStyle w:val="2"/>
        <w:jc w:val="center"/>
        <w:rPr>
          <w:rFonts w:eastAsiaTheme="minorEastAsia"/>
          <w:color w:val="auto"/>
          <w:sz w:val="44"/>
          <w:highlight w:val="none"/>
        </w:rPr>
      </w:pPr>
      <w:bookmarkStart w:id="59" w:name="_Toc10467"/>
      <w:bookmarkStart w:id="60" w:name="_Toc12596"/>
      <w:r>
        <w:rPr>
          <w:rFonts w:eastAsiaTheme="minorEastAsia"/>
          <w:color w:val="auto"/>
          <w:sz w:val="44"/>
          <w:highlight w:val="none"/>
        </w:rPr>
        <w:t>第四章　估算费用内容及标准</w:t>
      </w:r>
      <w:bookmarkEnd w:id="59"/>
      <w:bookmarkEnd w:id="60"/>
    </w:p>
    <w:p w14:paraId="2FEA5CDC">
      <w:pPr>
        <w:pStyle w:val="3"/>
        <w:jc w:val="center"/>
        <w:rPr>
          <w:rFonts w:ascii="Times New Roman" w:hAnsi="Times New Roman" w:cs="Times New Roman"/>
          <w:color w:val="auto"/>
          <w:highlight w:val="none"/>
        </w:rPr>
      </w:pPr>
      <w:bookmarkStart w:id="61" w:name="_Toc118989871"/>
      <w:bookmarkStart w:id="62" w:name="_Toc11313"/>
      <w:bookmarkStart w:id="63" w:name="_Toc8122"/>
      <w:r>
        <w:rPr>
          <w:rFonts w:ascii="Times New Roman" w:hAnsi="Times New Roman" w:cs="Times New Roman"/>
          <w:color w:val="auto"/>
          <w:highlight w:val="none"/>
        </w:rPr>
        <w:t>第一节　建筑安装工程费</w:t>
      </w:r>
      <w:bookmarkEnd w:id="61"/>
      <w:bookmarkEnd w:id="62"/>
      <w:bookmarkEnd w:id="63"/>
    </w:p>
    <w:p w14:paraId="67275BC9">
      <w:pPr>
        <w:ind w:firstLine="560" w:firstLineChars="200"/>
        <w:textAlignment w:val="center"/>
        <w:rPr>
          <w:color w:val="auto"/>
          <w:highlight w:val="none"/>
        </w:rPr>
      </w:pPr>
      <w:bookmarkStart w:id="64" w:name="_Toc149827343"/>
      <w:r>
        <w:rPr>
          <w:color w:val="auto"/>
          <w:highlight w:val="none"/>
        </w:rPr>
        <w:t>建筑工程费是指建筑物、构筑物等建造所需的费用。包括直接费、间接费、利润和增值税。</w:t>
      </w:r>
    </w:p>
    <w:p w14:paraId="26249340">
      <w:pPr>
        <w:ind w:firstLine="560" w:firstLineChars="200"/>
        <w:textAlignment w:val="center"/>
        <w:rPr>
          <w:color w:val="auto"/>
          <w:highlight w:val="none"/>
        </w:rPr>
      </w:pPr>
      <w:r>
        <w:rPr>
          <w:color w:val="auto"/>
          <w:highlight w:val="none"/>
        </w:rPr>
        <w:t>安装工程费是指设备、装置安装过程中的设备材料及其组合、装配、防腐、绝热、调试及主要材料购置等所需的费用。包括直接费、间接费、利润和增值税。</w:t>
      </w:r>
    </w:p>
    <w:p w14:paraId="483FA2E9">
      <w:pPr>
        <w:pStyle w:val="33"/>
        <w:numPr>
          <w:ilvl w:val="0"/>
          <w:numId w:val="1"/>
        </w:numPr>
        <w:spacing w:before="145" w:beforeLines="30" w:after="145" w:afterLines="30"/>
        <w:ind w:firstLineChars="0"/>
        <w:outlineLvl w:val="2"/>
        <w:rPr>
          <w:rFonts w:eastAsia="楷体_GB2312"/>
          <w:color w:val="auto"/>
          <w:sz w:val="30"/>
          <w:szCs w:val="30"/>
          <w:highlight w:val="none"/>
        </w:rPr>
      </w:pPr>
      <w:bookmarkStart w:id="65" w:name="_Toc20195"/>
      <w:r>
        <w:rPr>
          <w:rFonts w:eastAsia="楷体_GB2312"/>
          <w:color w:val="auto"/>
          <w:sz w:val="30"/>
          <w:szCs w:val="30"/>
          <w:highlight w:val="none"/>
        </w:rPr>
        <w:t>直接费</w:t>
      </w:r>
      <w:bookmarkEnd w:id="65"/>
    </w:p>
    <w:p w14:paraId="36899598">
      <w:pPr>
        <w:ind w:firstLine="560" w:firstLineChars="200"/>
        <w:textAlignment w:val="center"/>
        <w:rPr>
          <w:color w:val="auto"/>
          <w:highlight w:val="none"/>
        </w:rPr>
      </w:pPr>
      <w:r>
        <w:rPr>
          <w:color w:val="auto"/>
          <w:highlight w:val="none"/>
        </w:rPr>
        <w:t>直接费是指实体工程施工所需的生产性费用，以及施工企业为完成实体工程施工所需的非实体工程的生产性费用。包括人工费、材料费、施工机具使用费和其他直接费。</w:t>
      </w:r>
    </w:p>
    <w:p w14:paraId="293EA5F8">
      <w:pPr>
        <w:ind w:firstLine="560" w:firstLineChars="200"/>
        <w:textAlignment w:val="center"/>
        <w:rPr>
          <w:color w:val="auto"/>
          <w:highlight w:val="none"/>
        </w:rPr>
      </w:pPr>
      <w:r>
        <w:rPr>
          <w:color w:val="auto"/>
          <w:highlight w:val="none"/>
        </w:rPr>
        <w:t>1．人工费：是指直接从事建筑安装工程施工作业的生产工人所需的费用。包括工资性收入、社会保险费、住房公积金、职工福利费、工会经费、职工教育经费及特殊情况下发生的费用等。</w:t>
      </w:r>
    </w:p>
    <w:p w14:paraId="116B6C00">
      <w:pPr>
        <w:ind w:firstLine="560" w:firstLineChars="200"/>
        <w:textAlignment w:val="center"/>
        <w:rPr>
          <w:color w:val="auto"/>
          <w:highlight w:val="none"/>
        </w:rPr>
      </w:pPr>
      <w:r>
        <w:rPr>
          <w:color w:val="auto"/>
          <w:highlight w:val="none"/>
        </w:rPr>
        <w:t>2．材料费：是指工程施工过程中耗费的各种原材料、半成品、构配件等的费用，以及周转材料等的摊销、租赁费用。</w:t>
      </w:r>
    </w:p>
    <w:p w14:paraId="1C077CA5">
      <w:pPr>
        <w:ind w:firstLine="560" w:firstLineChars="200"/>
        <w:textAlignment w:val="center"/>
        <w:rPr>
          <w:color w:val="auto"/>
          <w:highlight w:val="none"/>
        </w:rPr>
      </w:pPr>
      <w:r>
        <w:rPr>
          <w:color w:val="auto"/>
          <w:highlight w:val="none"/>
        </w:rPr>
        <w:t>3．施工机具使用费：是指施工作业所发生的施工机械、仪器仪表使用费或其租赁费。包括施工机械使用费和施工仪器仪表使用费。</w:t>
      </w:r>
    </w:p>
    <w:p w14:paraId="09A0C413">
      <w:pPr>
        <w:ind w:firstLine="560" w:firstLineChars="200"/>
        <w:textAlignment w:val="center"/>
        <w:rPr>
          <w:color w:val="auto"/>
          <w:highlight w:val="none"/>
        </w:rPr>
      </w:pPr>
      <w:r>
        <w:rPr>
          <w:color w:val="auto"/>
          <w:highlight w:val="none"/>
        </w:rPr>
        <w:t>（1）施工机械使用费是指施工机械作业发生的使用费或租赁费。由折旧费、检修费、维护费、安拆费、人工费、燃料动力费及其他费组成。</w:t>
      </w:r>
    </w:p>
    <w:p w14:paraId="29BC692D">
      <w:pPr>
        <w:ind w:firstLine="560" w:firstLineChars="200"/>
        <w:textAlignment w:val="center"/>
        <w:rPr>
          <w:color w:val="auto"/>
          <w:highlight w:val="none"/>
        </w:rPr>
      </w:pPr>
      <w:r>
        <w:rPr>
          <w:color w:val="auto"/>
          <w:highlight w:val="none"/>
        </w:rPr>
        <w:t>（2）施工仪器仪表使用费是指施工作业所发生的仪器仪表使用费或租赁费。由折旧费、维护费、校验费和动力费组成。</w:t>
      </w:r>
    </w:p>
    <w:p w14:paraId="3EA82FD7">
      <w:pPr>
        <w:ind w:firstLine="560" w:firstLineChars="200"/>
        <w:textAlignment w:val="center"/>
        <w:rPr>
          <w:color w:val="auto"/>
          <w:highlight w:val="none"/>
        </w:rPr>
      </w:pPr>
      <w:r>
        <w:rPr>
          <w:color w:val="auto"/>
          <w:highlight w:val="none"/>
        </w:rPr>
        <w:t>4．其他直接费：包括冬雨季施工增加费、夜间施工增加费、二次搬运费、检验试验费、工程定位复测费、工程移交费、退场清理费、特殊地区施工增加费、</w:t>
      </w:r>
      <w:r>
        <w:rPr>
          <w:color w:val="auto"/>
          <w:szCs w:val="28"/>
          <w:highlight w:val="none"/>
        </w:rPr>
        <w:t>安全生产费</w:t>
      </w:r>
      <w:r>
        <w:rPr>
          <w:color w:val="auto"/>
          <w:highlight w:val="none"/>
        </w:rPr>
        <w:t>、文明（绿色）施工费、施工现场环境保护费、临时设施费、内部转场费、已完工程及设备保护费等费用。</w:t>
      </w:r>
    </w:p>
    <w:p w14:paraId="3D4B8910">
      <w:pPr>
        <w:pStyle w:val="33"/>
        <w:numPr>
          <w:ilvl w:val="0"/>
          <w:numId w:val="1"/>
        </w:numPr>
        <w:spacing w:before="145" w:beforeLines="30" w:after="145" w:afterLines="30"/>
        <w:ind w:firstLineChars="0"/>
        <w:outlineLvl w:val="2"/>
        <w:rPr>
          <w:rFonts w:eastAsia="楷体_GB2312"/>
          <w:color w:val="auto"/>
          <w:sz w:val="30"/>
          <w:szCs w:val="30"/>
          <w:highlight w:val="none"/>
        </w:rPr>
      </w:pPr>
      <w:bookmarkStart w:id="66" w:name="_Toc10026"/>
      <w:r>
        <w:rPr>
          <w:rFonts w:eastAsia="楷体_GB2312"/>
          <w:color w:val="auto"/>
          <w:sz w:val="30"/>
          <w:szCs w:val="30"/>
          <w:highlight w:val="none"/>
        </w:rPr>
        <w:t>间接费</w:t>
      </w:r>
      <w:bookmarkEnd w:id="66"/>
    </w:p>
    <w:p w14:paraId="123FA360">
      <w:pPr>
        <w:ind w:firstLine="560" w:firstLineChars="200"/>
        <w:rPr>
          <w:color w:val="auto"/>
          <w:szCs w:val="28"/>
          <w:highlight w:val="none"/>
        </w:rPr>
      </w:pPr>
      <w:r>
        <w:rPr>
          <w:color w:val="auto"/>
          <w:szCs w:val="28"/>
          <w:highlight w:val="none"/>
        </w:rPr>
        <w:t>间接费</w:t>
      </w:r>
      <w:r>
        <w:rPr>
          <w:color w:val="auto"/>
          <w:highlight w:val="none"/>
        </w:rPr>
        <w:t>是指施工企业为组织施工现场管理和进行企业经营管理所发生的费用。包括管理人员费用、办公费、差旅交通费、施工单位进退场费、非生产性固定资产使用费、信息管理系统购置运维费、工具用具使用费、劳动保护费、财务费、其他税金，以及其他管理性费用。</w:t>
      </w:r>
    </w:p>
    <w:p w14:paraId="40117EED">
      <w:pPr>
        <w:pStyle w:val="33"/>
        <w:numPr>
          <w:ilvl w:val="0"/>
          <w:numId w:val="1"/>
        </w:numPr>
        <w:spacing w:before="145" w:beforeLines="30" w:after="145" w:afterLines="30"/>
        <w:ind w:firstLineChars="0"/>
        <w:textAlignment w:val="center"/>
        <w:outlineLvl w:val="2"/>
        <w:rPr>
          <w:rFonts w:eastAsia="楷体_GB2312"/>
          <w:color w:val="auto"/>
          <w:sz w:val="30"/>
          <w:szCs w:val="30"/>
          <w:highlight w:val="none"/>
        </w:rPr>
      </w:pPr>
      <w:bookmarkStart w:id="67" w:name="_Toc19119"/>
      <w:r>
        <w:rPr>
          <w:rFonts w:eastAsia="楷体_GB2312"/>
          <w:color w:val="auto"/>
          <w:sz w:val="30"/>
          <w:szCs w:val="30"/>
          <w:highlight w:val="none"/>
        </w:rPr>
        <w:t>利润</w:t>
      </w:r>
      <w:bookmarkEnd w:id="67"/>
    </w:p>
    <w:p w14:paraId="2B81A336">
      <w:pPr>
        <w:pStyle w:val="41"/>
        <w:wordWrap/>
        <w:ind w:firstLine="560" w:firstLineChars="200"/>
        <w:textAlignment w:val="center"/>
        <w:rPr>
          <w:sz w:val="28"/>
          <w:highlight w:val="none"/>
        </w:rPr>
      </w:pPr>
      <w:r>
        <w:rPr>
          <w:sz w:val="28"/>
          <w:highlight w:val="none"/>
        </w:rPr>
        <w:t>利润是指施工企业完成所承包工程获得的盈利。</w:t>
      </w:r>
    </w:p>
    <w:p w14:paraId="6AABBA45">
      <w:pPr>
        <w:pStyle w:val="33"/>
        <w:numPr>
          <w:ilvl w:val="0"/>
          <w:numId w:val="1"/>
        </w:numPr>
        <w:spacing w:before="145" w:beforeLines="30" w:after="145" w:afterLines="30"/>
        <w:ind w:firstLineChars="0"/>
        <w:textAlignment w:val="center"/>
        <w:outlineLvl w:val="2"/>
        <w:rPr>
          <w:rFonts w:eastAsia="楷体_GB2312"/>
          <w:color w:val="auto"/>
          <w:sz w:val="30"/>
          <w:szCs w:val="30"/>
          <w:highlight w:val="none"/>
        </w:rPr>
      </w:pPr>
      <w:bookmarkStart w:id="68" w:name="_Toc21186"/>
      <w:r>
        <w:rPr>
          <w:rFonts w:eastAsia="楷体_GB2312"/>
          <w:color w:val="auto"/>
          <w:sz w:val="30"/>
          <w:szCs w:val="30"/>
          <w:highlight w:val="none"/>
        </w:rPr>
        <w:t>增值税</w:t>
      </w:r>
      <w:bookmarkEnd w:id="68"/>
    </w:p>
    <w:p w14:paraId="3A452E34">
      <w:pPr>
        <w:ind w:firstLine="560" w:firstLineChars="200"/>
        <w:textAlignment w:val="center"/>
        <w:rPr>
          <w:color w:val="auto"/>
          <w:highlight w:val="none"/>
        </w:rPr>
      </w:pPr>
      <w:r>
        <w:rPr>
          <w:color w:val="auto"/>
          <w:highlight w:val="none"/>
        </w:rPr>
        <w:t>增值税是指是以商品（含应税劳务）在流转过程中产生的增值额作为计税依据而征收的流转税。根据“住房和城乡建设部办公厅关于做好建筑业营改增建设工程计价依据的调整工作的通知”（建办标〔2016〕4号）要求，工程造价=税前工程造价×（1+增值税率）；税前工程造价为人工费、材料费、施工机具使用费、企业管理费和利润之和，各项费用项目均以不包含增值税可抵扣的进项税额的价格计算。</w:t>
      </w:r>
    </w:p>
    <w:p w14:paraId="0D3E4996">
      <w:pPr>
        <w:ind w:firstLine="560" w:firstLineChars="200"/>
        <w:textAlignment w:val="center"/>
        <w:rPr>
          <w:color w:val="auto"/>
          <w:highlight w:val="none"/>
        </w:rPr>
      </w:pPr>
      <w:r>
        <w:rPr>
          <w:color w:val="auto"/>
          <w:highlight w:val="none"/>
        </w:rPr>
        <w:t>投资估算编制过程中应根据政策文件对税率进行调整。</w:t>
      </w:r>
    </w:p>
    <w:p w14:paraId="571F920A">
      <w:pPr>
        <w:pStyle w:val="3"/>
        <w:jc w:val="center"/>
        <w:rPr>
          <w:rFonts w:ascii="Times New Roman" w:hAnsi="Times New Roman" w:cs="Times New Roman"/>
          <w:color w:val="auto"/>
          <w:highlight w:val="none"/>
        </w:rPr>
      </w:pPr>
      <w:bookmarkStart w:id="69" w:name="_Toc4710"/>
      <w:bookmarkStart w:id="70" w:name="_Toc15253"/>
      <w:r>
        <w:rPr>
          <w:rFonts w:ascii="Times New Roman" w:hAnsi="Times New Roman" w:cs="Times New Roman"/>
          <w:color w:val="auto"/>
          <w:highlight w:val="none"/>
        </w:rPr>
        <w:t>第二节　设备购置费</w:t>
      </w:r>
      <w:bookmarkEnd w:id="69"/>
      <w:bookmarkEnd w:id="70"/>
    </w:p>
    <w:p w14:paraId="1A4EAF7F">
      <w:pPr>
        <w:ind w:firstLine="560" w:firstLineChars="200"/>
        <w:textAlignment w:val="center"/>
        <w:rPr>
          <w:color w:val="auto"/>
          <w:highlight w:val="none"/>
        </w:rPr>
      </w:pPr>
      <w:r>
        <w:rPr>
          <w:color w:val="auto"/>
          <w:highlight w:val="none"/>
        </w:rPr>
        <w:t>设备购置费是指为建设工程项目购置或自制的达到固定资产标准的设备、工具、器具的费用。固定资产标准是指使用年限在一年以上，单位价值在国家或各主管部门规定的限额以上的资产。</w:t>
      </w:r>
    </w:p>
    <w:p w14:paraId="750A0072">
      <w:pPr>
        <w:ind w:firstLine="560" w:firstLineChars="200"/>
        <w:textAlignment w:val="center"/>
        <w:rPr>
          <w:color w:val="auto"/>
          <w:highlight w:val="none"/>
        </w:rPr>
      </w:pPr>
      <w:r>
        <w:rPr>
          <w:color w:val="auto"/>
          <w:highlight w:val="none"/>
        </w:rPr>
        <w:t>设备购置费由设备原价和设备运杂费两部分组成，即：</w:t>
      </w:r>
    </w:p>
    <w:p w14:paraId="4C19DC1C">
      <w:pPr>
        <w:ind w:firstLine="560" w:firstLineChars="200"/>
        <w:textAlignment w:val="center"/>
        <w:rPr>
          <w:color w:val="auto"/>
          <w:highlight w:val="none"/>
        </w:rPr>
      </w:pPr>
      <w:r>
        <w:rPr>
          <w:color w:val="auto"/>
          <w:highlight w:val="none"/>
        </w:rPr>
        <w:t>设备购置费=设备原价+设备运杂费。其中：</w:t>
      </w:r>
    </w:p>
    <w:p w14:paraId="5BAB1602">
      <w:pPr>
        <w:ind w:firstLine="560" w:firstLineChars="200"/>
        <w:textAlignment w:val="center"/>
        <w:rPr>
          <w:color w:val="auto"/>
          <w:highlight w:val="none"/>
        </w:rPr>
      </w:pPr>
      <w:r>
        <w:rPr>
          <w:color w:val="auto"/>
          <w:highlight w:val="none"/>
        </w:rPr>
        <w:t>设备原价：是指国产设备或进口设备的原价；设备运杂费是指除设备原价之外的关于设备采购、运输、途中包装及仓库保管等方面支出费用的总和。</w:t>
      </w:r>
    </w:p>
    <w:bookmarkEnd w:id="64"/>
    <w:p w14:paraId="13C91B0C">
      <w:pPr>
        <w:spacing w:before="145" w:beforeLines="30" w:after="145" w:afterLines="30"/>
        <w:ind w:firstLine="560" w:firstLineChars="200"/>
        <w:outlineLvl w:val="2"/>
        <w:rPr>
          <w:rFonts w:eastAsia="楷体_GB2312"/>
          <w:color w:val="auto"/>
          <w:szCs w:val="24"/>
          <w:highlight w:val="none"/>
        </w:rPr>
      </w:pPr>
      <w:bookmarkStart w:id="71" w:name="_Toc13097"/>
      <w:bookmarkStart w:id="72" w:name="_Toc149827345"/>
      <w:bookmarkStart w:id="73" w:name="_Toc11753"/>
      <w:r>
        <w:rPr>
          <w:rFonts w:eastAsia="楷体_GB2312"/>
          <w:color w:val="auto"/>
          <w:szCs w:val="28"/>
          <w:highlight w:val="none"/>
        </w:rPr>
        <w:t>一、</w:t>
      </w:r>
      <w:r>
        <w:rPr>
          <w:rFonts w:eastAsia="楷体_GB2312"/>
          <w:color w:val="auto"/>
          <w:szCs w:val="24"/>
          <w:highlight w:val="none"/>
        </w:rPr>
        <w:t>国产设备原价的构成</w:t>
      </w:r>
      <w:bookmarkEnd w:id="71"/>
      <w:bookmarkEnd w:id="72"/>
      <w:bookmarkEnd w:id="73"/>
    </w:p>
    <w:p w14:paraId="15E51BD3">
      <w:pPr>
        <w:ind w:firstLine="560" w:firstLineChars="200"/>
        <w:textAlignment w:val="center"/>
        <w:rPr>
          <w:color w:val="auto"/>
          <w:highlight w:val="none"/>
        </w:rPr>
      </w:pPr>
      <w:r>
        <w:rPr>
          <w:color w:val="auto"/>
          <w:highlight w:val="none"/>
        </w:rPr>
        <w:t>国产设备原价：是指设备制造厂的交货价，或订货合同价。一般根据生产厂或供应商的询价、报价、合同价确定，或采用一定的方法计算确定。国产设备原价分为国产标准设备原价和国产非标准设备原价。</w:t>
      </w:r>
    </w:p>
    <w:p w14:paraId="64246D5C">
      <w:pPr>
        <w:ind w:firstLine="560" w:firstLineChars="200"/>
        <w:textAlignment w:val="center"/>
        <w:rPr>
          <w:color w:val="auto"/>
          <w:highlight w:val="none"/>
        </w:rPr>
      </w:pPr>
      <w:r>
        <w:rPr>
          <w:color w:val="auto"/>
          <w:highlight w:val="none"/>
        </w:rPr>
        <w:t>（一）国产标准设备原价</w:t>
      </w:r>
    </w:p>
    <w:p w14:paraId="1AB73B03">
      <w:pPr>
        <w:ind w:firstLine="560" w:firstLineChars="200"/>
        <w:textAlignment w:val="center"/>
        <w:rPr>
          <w:color w:val="auto"/>
          <w:highlight w:val="none"/>
        </w:rPr>
      </w:pPr>
      <w:r>
        <w:rPr>
          <w:color w:val="auto"/>
          <w:highlight w:val="none"/>
        </w:rPr>
        <w:t>国产标准设备：是指按照主管部门颁布的标准图纸和技术要求，由我国设备生产厂批量生产的，符合国家质量检测标准的设备。</w:t>
      </w:r>
    </w:p>
    <w:p w14:paraId="146F2975">
      <w:pPr>
        <w:ind w:firstLine="560" w:firstLineChars="200"/>
        <w:textAlignment w:val="center"/>
        <w:rPr>
          <w:color w:val="auto"/>
          <w:highlight w:val="none"/>
        </w:rPr>
      </w:pPr>
      <w:r>
        <w:rPr>
          <w:color w:val="auto"/>
          <w:highlight w:val="none"/>
        </w:rPr>
        <w:t>国产标准设备原价有两种，即带有备品备件的原价和不带有备品备件的原价。在编制估算时，应采用带有备品备件的原价，若采用不带有备品备件的原价，则另计取备品备件费。</w:t>
      </w:r>
    </w:p>
    <w:p w14:paraId="07D83531">
      <w:pPr>
        <w:ind w:firstLine="560" w:firstLineChars="200"/>
        <w:textAlignment w:val="center"/>
        <w:rPr>
          <w:color w:val="auto"/>
          <w:highlight w:val="none"/>
        </w:rPr>
      </w:pPr>
      <w:r>
        <w:rPr>
          <w:color w:val="auto"/>
          <w:highlight w:val="none"/>
        </w:rPr>
        <w:t>（二）国产非标准设备原价</w:t>
      </w:r>
    </w:p>
    <w:p w14:paraId="1913FBEF">
      <w:pPr>
        <w:ind w:firstLine="560" w:firstLineChars="200"/>
        <w:textAlignment w:val="center"/>
        <w:rPr>
          <w:color w:val="auto"/>
          <w:highlight w:val="none"/>
        </w:rPr>
      </w:pPr>
      <w:r>
        <w:rPr>
          <w:color w:val="auto"/>
          <w:highlight w:val="none"/>
        </w:rPr>
        <w:t>国产非标准设备：是指国家尚无定型标准，只能按订货要求并根据具体的设计图纸制造的设备。</w:t>
      </w:r>
    </w:p>
    <w:p w14:paraId="58792910">
      <w:pPr>
        <w:ind w:firstLine="560" w:firstLineChars="200"/>
        <w:textAlignment w:val="center"/>
        <w:rPr>
          <w:color w:val="auto"/>
          <w:highlight w:val="none"/>
        </w:rPr>
      </w:pPr>
      <w:r>
        <w:rPr>
          <w:color w:val="auto"/>
          <w:highlight w:val="none"/>
        </w:rPr>
        <w:t>国产非标准设备原价一般按其成本构成或相关技术参数估算其价格。</w:t>
      </w:r>
    </w:p>
    <w:p w14:paraId="60F93341">
      <w:pPr>
        <w:spacing w:before="145" w:beforeLines="30" w:after="145" w:afterLines="30"/>
        <w:ind w:firstLine="560" w:firstLineChars="200"/>
        <w:outlineLvl w:val="2"/>
        <w:rPr>
          <w:rFonts w:eastAsia="楷体_GB2312"/>
          <w:color w:val="auto"/>
          <w:szCs w:val="28"/>
          <w:highlight w:val="none"/>
        </w:rPr>
      </w:pPr>
      <w:bookmarkStart w:id="74" w:name="_Toc22196"/>
      <w:bookmarkStart w:id="75" w:name="_Toc149827348"/>
      <w:bookmarkStart w:id="76" w:name="_Toc29815"/>
      <w:r>
        <w:rPr>
          <w:rFonts w:eastAsia="楷体_GB2312"/>
          <w:color w:val="auto"/>
          <w:szCs w:val="28"/>
          <w:highlight w:val="none"/>
        </w:rPr>
        <w:t>二、进口设备原价的构成</w:t>
      </w:r>
      <w:bookmarkEnd w:id="74"/>
      <w:bookmarkEnd w:id="75"/>
      <w:bookmarkEnd w:id="76"/>
    </w:p>
    <w:p w14:paraId="56006CBB">
      <w:pPr>
        <w:ind w:firstLine="560" w:firstLineChars="200"/>
        <w:textAlignment w:val="center"/>
        <w:rPr>
          <w:color w:val="auto"/>
          <w:highlight w:val="none"/>
        </w:rPr>
      </w:pPr>
      <w:r>
        <w:rPr>
          <w:color w:val="auto"/>
          <w:highlight w:val="none"/>
        </w:rPr>
        <w:t>进口设备原价：是指进口设备的抵岸价，即设备抵达买方边境港口或边境车站，交纳完各种手续费、税费后的价格。</w:t>
      </w:r>
    </w:p>
    <w:p w14:paraId="1AA04195">
      <w:pPr>
        <w:ind w:firstLine="560" w:firstLineChars="200"/>
        <w:textAlignment w:val="center"/>
        <w:rPr>
          <w:color w:val="auto"/>
          <w:highlight w:val="none"/>
        </w:rPr>
      </w:pPr>
      <w:r>
        <w:rPr>
          <w:color w:val="auto"/>
          <w:highlight w:val="none"/>
        </w:rPr>
        <w:t>进口设备抵岸价：由设备到岸价（CIF）和进口从属费用构成。其中：</w:t>
      </w:r>
    </w:p>
    <w:p w14:paraId="4A728499">
      <w:pPr>
        <w:ind w:firstLine="560" w:firstLineChars="200"/>
        <w:textAlignment w:val="center"/>
        <w:rPr>
          <w:color w:val="auto"/>
          <w:highlight w:val="none"/>
        </w:rPr>
      </w:pPr>
      <w:r>
        <w:rPr>
          <w:color w:val="auto"/>
          <w:highlight w:val="none"/>
        </w:rPr>
        <w:t>进口设备到岸价（CIF）：由离岸价（FOB）、国际运费、运输保险费构成。</w:t>
      </w:r>
    </w:p>
    <w:p w14:paraId="14CE6E4E">
      <w:pPr>
        <w:ind w:firstLine="560" w:firstLineChars="200"/>
        <w:textAlignment w:val="center"/>
        <w:rPr>
          <w:color w:val="auto"/>
          <w:highlight w:val="none"/>
        </w:rPr>
      </w:pPr>
      <w:r>
        <w:rPr>
          <w:color w:val="auto"/>
          <w:highlight w:val="none"/>
        </w:rPr>
        <w:t>进口从属费用：由银行财务费、外贸手续费、进口关税、消费税、进口环节增值税等构成。进口车辆还需缴纳车辆购置税。</w:t>
      </w:r>
    </w:p>
    <w:p w14:paraId="7D788E5C">
      <w:pPr>
        <w:spacing w:before="145" w:beforeLines="30" w:after="145" w:afterLines="30"/>
        <w:ind w:firstLine="560" w:firstLineChars="200"/>
        <w:outlineLvl w:val="2"/>
        <w:rPr>
          <w:rFonts w:eastAsia="楷体_GB2312"/>
          <w:color w:val="auto"/>
          <w:sz w:val="30"/>
          <w:szCs w:val="30"/>
          <w:highlight w:val="none"/>
        </w:rPr>
      </w:pPr>
      <w:bookmarkStart w:id="77" w:name="_Toc11243"/>
      <w:bookmarkStart w:id="78" w:name="_Toc19118"/>
      <w:bookmarkStart w:id="79" w:name="_Toc149827349"/>
      <w:r>
        <w:rPr>
          <w:rFonts w:eastAsia="楷体_GB2312"/>
          <w:color w:val="auto"/>
          <w:szCs w:val="28"/>
          <w:highlight w:val="none"/>
        </w:rPr>
        <w:t>三、</w:t>
      </w:r>
      <w:r>
        <w:rPr>
          <w:rFonts w:eastAsia="楷体_GB2312"/>
          <w:color w:val="auto"/>
          <w:sz w:val="30"/>
          <w:szCs w:val="30"/>
          <w:highlight w:val="none"/>
        </w:rPr>
        <w:t>设备运杂费的构成</w:t>
      </w:r>
      <w:bookmarkEnd w:id="77"/>
      <w:bookmarkEnd w:id="78"/>
      <w:bookmarkEnd w:id="79"/>
    </w:p>
    <w:p w14:paraId="24E90AF1">
      <w:pPr>
        <w:ind w:firstLine="560" w:firstLineChars="200"/>
        <w:textAlignment w:val="center"/>
        <w:rPr>
          <w:color w:val="auto"/>
          <w:highlight w:val="none"/>
        </w:rPr>
      </w:pPr>
      <w:r>
        <w:rPr>
          <w:color w:val="auto"/>
          <w:highlight w:val="none"/>
        </w:rPr>
        <w:t>设备运杂费：是指国内采购设备自来源地、国外采购设备自到岸港口或边境车站运至工地或指定堆放地点发生的采购、运输、运输保险、保管、装卸等费用。</w:t>
      </w:r>
    </w:p>
    <w:p w14:paraId="3CD88A25">
      <w:pPr>
        <w:ind w:firstLine="560" w:firstLineChars="200"/>
        <w:textAlignment w:val="center"/>
        <w:rPr>
          <w:color w:val="auto"/>
          <w:highlight w:val="none"/>
        </w:rPr>
      </w:pPr>
      <w:r>
        <w:rPr>
          <w:color w:val="auto"/>
          <w:highlight w:val="none"/>
        </w:rPr>
        <w:t>设备运杂费由运输和装卸费、包装费、设备供销部门手续费、采购与仓库保管费构成。</w:t>
      </w:r>
    </w:p>
    <w:p w14:paraId="7C310F7C">
      <w:pPr>
        <w:ind w:firstLine="560" w:firstLineChars="200"/>
        <w:textAlignment w:val="center"/>
        <w:rPr>
          <w:color w:val="auto"/>
          <w:highlight w:val="none"/>
        </w:rPr>
      </w:pPr>
      <w:r>
        <w:rPr>
          <w:color w:val="auto"/>
          <w:highlight w:val="none"/>
        </w:rPr>
        <w:t>1．运输和装卸费：国产设备由设备制造厂交货地点起、进口设备由我国到岸港口或边境车站起至工地仓库（或工程筹划设计指定的需要安装设备的堆放地点）止所发生的运费和装卸费。</w:t>
      </w:r>
    </w:p>
    <w:p w14:paraId="31328F15">
      <w:pPr>
        <w:ind w:firstLine="560" w:firstLineChars="200"/>
        <w:textAlignment w:val="center"/>
        <w:rPr>
          <w:color w:val="auto"/>
          <w:highlight w:val="none"/>
        </w:rPr>
      </w:pPr>
      <w:r>
        <w:rPr>
          <w:color w:val="auto"/>
          <w:highlight w:val="none"/>
        </w:rPr>
        <w:t>2．包装费：在设备原价中未包含的，为运输而进行包装所支出的各种费用。</w:t>
      </w:r>
    </w:p>
    <w:p w14:paraId="47F073FA">
      <w:pPr>
        <w:ind w:firstLine="560" w:firstLineChars="200"/>
        <w:textAlignment w:val="center"/>
        <w:rPr>
          <w:color w:val="auto"/>
          <w:highlight w:val="none"/>
        </w:rPr>
      </w:pPr>
      <w:r>
        <w:rPr>
          <w:color w:val="auto"/>
          <w:highlight w:val="none"/>
        </w:rPr>
        <w:t>3．设备供销部门手续费：按有关部门规定的统一费率计算。</w:t>
      </w:r>
    </w:p>
    <w:p w14:paraId="5CB40D99">
      <w:pPr>
        <w:ind w:firstLine="560" w:firstLineChars="200"/>
        <w:textAlignment w:val="center"/>
        <w:rPr>
          <w:color w:val="auto"/>
          <w:highlight w:val="none"/>
        </w:rPr>
      </w:pPr>
      <w:r>
        <w:rPr>
          <w:color w:val="auto"/>
          <w:highlight w:val="none"/>
        </w:rPr>
        <w:t>4．采购与仓库保管费：是指采购、验收、保管和收发设备所发生的各种费用，包括设备采购人员、保管人员和管理人员的工资、工资附加费、办公费、差旅交通费，设备供应部门办公和仓库所占固定资产使用费、工具用具使用费、劳动保护费、检验试验费等。按主管部门规定的采购与保管费费率计算。</w:t>
      </w:r>
    </w:p>
    <w:p w14:paraId="01CDC068">
      <w:pPr>
        <w:spacing w:before="145" w:beforeLines="30" w:after="145" w:afterLines="30"/>
        <w:ind w:firstLine="600" w:firstLineChars="200"/>
        <w:outlineLvl w:val="2"/>
        <w:rPr>
          <w:rFonts w:eastAsia="楷体_GB2312"/>
          <w:color w:val="auto"/>
          <w:sz w:val="30"/>
          <w:szCs w:val="30"/>
          <w:highlight w:val="none"/>
        </w:rPr>
      </w:pPr>
      <w:bookmarkStart w:id="80" w:name="_Toc9745"/>
      <w:bookmarkStart w:id="81" w:name="_Toc149827350"/>
      <w:bookmarkStart w:id="82" w:name="_Toc4271"/>
      <w:r>
        <w:rPr>
          <w:rFonts w:eastAsia="楷体_GB2312"/>
          <w:color w:val="auto"/>
          <w:sz w:val="30"/>
          <w:szCs w:val="30"/>
          <w:highlight w:val="none"/>
        </w:rPr>
        <w:t>四、备品备件购置费</w:t>
      </w:r>
      <w:bookmarkEnd w:id="80"/>
      <w:bookmarkEnd w:id="81"/>
      <w:bookmarkEnd w:id="82"/>
    </w:p>
    <w:p w14:paraId="418CD505">
      <w:pPr>
        <w:ind w:firstLine="560" w:firstLineChars="200"/>
        <w:textAlignment w:val="center"/>
        <w:rPr>
          <w:color w:val="auto"/>
          <w:highlight w:val="none"/>
        </w:rPr>
      </w:pPr>
      <w:r>
        <w:rPr>
          <w:color w:val="auto"/>
          <w:highlight w:val="none"/>
        </w:rPr>
        <w:t>编制估算时，应采用包含备品备件费的设备原价。若设备原价不含备品备件费，其备品备件费按设备原价（不含软件费）的3%～5%计算。</w:t>
      </w:r>
    </w:p>
    <w:p w14:paraId="5C9355D0">
      <w:pPr>
        <w:spacing w:before="145" w:beforeLines="30" w:after="145" w:afterLines="30"/>
        <w:ind w:firstLine="600" w:firstLineChars="200"/>
        <w:outlineLvl w:val="2"/>
        <w:rPr>
          <w:rFonts w:eastAsia="楷体_GB2312"/>
          <w:color w:val="auto"/>
          <w:sz w:val="30"/>
          <w:szCs w:val="30"/>
          <w:highlight w:val="none"/>
        </w:rPr>
      </w:pPr>
      <w:bookmarkStart w:id="83" w:name="_Toc2397"/>
      <w:bookmarkStart w:id="84" w:name="_Toc9924"/>
      <w:bookmarkStart w:id="85" w:name="_Toc149827351"/>
      <w:r>
        <w:rPr>
          <w:rFonts w:eastAsia="楷体_GB2312"/>
          <w:color w:val="auto"/>
          <w:sz w:val="30"/>
          <w:szCs w:val="30"/>
          <w:highlight w:val="none"/>
        </w:rPr>
        <w:t>五、设备购置费的计算方法</w:t>
      </w:r>
      <w:bookmarkEnd w:id="83"/>
      <w:bookmarkEnd w:id="84"/>
      <w:bookmarkEnd w:id="85"/>
    </w:p>
    <w:p w14:paraId="43DB65E6">
      <w:pPr>
        <w:ind w:firstLine="560" w:firstLineChars="200"/>
        <w:textAlignment w:val="center"/>
        <w:rPr>
          <w:color w:val="auto"/>
          <w:highlight w:val="none"/>
        </w:rPr>
      </w:pPr>
      <w:r>
        <w:rPr>
          <w:color w:val="auto"/>
          <w:highlight w:val="none"/>
        </w:rPr>
        <w:t>编制估算时，设备原价应根据调查资料，结合估算文件编制期的价格水平综合确定。</w:t>
      </w:r>
    </w:p>
    <w:p w14:paraId="6EEB1ABE">
      <w:pPr>
        <w:ind w:firstLine="560" w:firstLineChars="200"/>
        <w:textAlignment w:val="center"/>
        <w:rPr>
          <w:color w:val="auto"/>
          <w:highlight w:val="none"/>
        </w:rPr>
      </w:pPr>
      <w:r>
        <w:rPr>
          <w:color w:val="auto"/>
          <w:highlight w:val="none"/>
        </w:rPr>
        <w:t>对于国内设备，为简化估算编制，设备购置费等于国内设备原价加国内设备运杂费。</w:t>
      </w:r>
    </w:p>
    <w:p w14:paraId="32280949">
      <w:pPr>
        <w:ind w:firstLine="560" w:firstLineChars="200"/>
        <w:textAlignment w:val="center"/>
        <w:rPr>
          <w:color w:val="auto"/>
          <w:highlight w:val="none"/>
        </w:rPr>
      </w:pPr>
      <w:r>
        <w:rPr>
          <w:color w:val="auto"/>
          <w:highlight w:val="none"/>
        </w:rPr>
        <w:t>对于进口设备，为简化估算编制，进口设备购置费等于进口设备到岸价（CIF）、进口从属费用加国内设备运杂费。</w:t>
      </w:r>
    </w:p>
    <w:p w14:paraId="0C4F1B92">
      <w:pPr>
        <w:pStyle w:val="3"/>
        <w:jc w:val="center"/>
        <w:rPr>
          <w:rFonts w:ascii="Times New Roman" w:hAnsi="Times New Roman" w:cs="Times New Roman"/>
          <w:color w:val="auto"/>
          <w:highlight w:val="none"/>
        </w:rPr>
      </w:pPr>
      <w:bookmarkStart w:id="86" w:name="_Toc30617"/>
      <w:bookmarkStart w:id="87" w:name="_Toc118989873"/>
      <w:bookmarkStart w:id="88" w:name="_Toc28115"/>
      <w:r>
        <w:rPr>
          <w:rFonts w:ascii="Times New Roman" w:hAnsi="Times New Roman" w:cs="Times New Roman"/>
          <w:color w:val="auto"/>
          <w:highlight w:val="none"/>
        </w:rPr>
        <w:t>第三节　工程建设其他费用</w:t>
      </w:r>
      <w:bookmarkEnd w:id="86"/>
      <w:bookmarkEnd w:id="87"/>
      <w:bookmarkEnd w:id="88"/>
    </w:p>
    <w:p w14:paraId="7BBFB03C">
      <w:pPr>
        <w:ind w:firstLine="560" w:firstLineChars="200"/>
        <w:textAlignment w:val="center"/>
        <w:rPr>
          <w:color w:val="auto"/>
          <w:highlight w:val="none"/>
        </w:rPr>
      </w:pPr>
      <w:r>
        <w:rPr>
          <w:color w:val="auto"/>
          <w:highlight w:val="none"/>
        </w:rPr>
        <w:t>工程建设其他费用是指从工程筹建起到工程竣工验收交付使用止的整个建设期间，应由基本建设投资支付并列入建设项目总估算内，除建筑安装工程费、设备购置费、预备费和专项费用以外的，为保证工程建设顺利完成和交付使用后，能够正常发挥效用而发生的各项费用。按资产属性分别形成固定资产其他费用、无形资产费用和其他资产费用（递延资产）。</w:t>
      </w:r>
    </w:p>
    <w:p w14:paraId="5F4F43E1">
      <w:pPr>
        <w:ind w:firstLine="560" w:firstLineChars="200"/>
        <w:textAlignment w:val="center"/>
        <w:rPr>
          <w:color w:val="auto"/>
          <w:highlight w:val="none"/>
        </w:rPr>
      </w:pPr>
      <w:r>
        <w:rPr>
          <w:color w:val="auto"/>
          <w:highlight w:val="none"/>
        </w:rPr>
        <w:t>以下为城市轨道交通工程建设通常发生的工程建设其他费用项目，在编制估算时，各项费用应结合工程建设实际和建设市场有关情况予以确定。</w:t>
      </w:r>
    </w:p>
    <w:p w14:paraId="34F44ABF">
      <w:pPr>
        <w:spacing w:before="145" w:beforeLines="30" w:after="145" w:afterLines="30"/>
        <w:ind w:firstLine="600" w:firstLineChars="200"/>
        <w:outlineLvl w:val="2"/>
        <w:rPr>
          <w:rFonts w:eastAsia="楷体_GB2312"/>
          <w:color w:val="auto"/>
          <w:sz w:val="30"/>
          <w:szCs w:val="30"/>
          <w:highlight w:val="none"/>
        </w:rPr>
      </w:pPr>
      <w:bookmarkStart w:id="89" w:name="_Toc15460"/>
      <w:bookmarkStart w:id="90" w:name="_Toc149827354"/>
      <w:bookmarkStart w:id="91" w:name="_Toc19100"/>
      <w:r>
        <w:rPr>
          <w:rFonts w:eastAsia="楷体_GB2312"/>
          <w:color w:val="auto"/>
          <w:sz w:val="30"/>
          <w:szCs w:val="30"/>
          <w:highlight w:val="none"/>
        </w:rPr>
        <w:t>一、前期工程费</w:t>
      </w:r>
      <w:bookmarkEnd w:id="89"/>
      <w:bookmarkEnd w:id="90"/>
      <w:bookmarkEnd w:id="91"/>
    </w:p>
    <w:p w14:paraId="56C4B489">
      <w:pPr>
        <w:ind w:firstLine="560" w:firstLineChars="200"/>
        <w:textAlignment w:val="center"/>
        <w:rPr>
          <w:color w:val="auto"/>
          <w:highlight w:val="none"/>
        </w:rPr>
      </w:pPr>
      <w:r>
        <w:rPr>
          <w:color w:val="auto"/>
          <w:highlight w:val="none"/>
        </w:rPr>
        <w:t>前期工程费：包括土地征用及补偿，临时占地，建（构）筑物拆迁补偿，树木及绿化赔偿，道路恢复，管线迁改，交通疏解，河道改移等发生的费用。</w:t>
      </w:r>
    </w:p>
    <w:p w14:paraId="13AC1344">
      <w:pPr>
        <w:ind w:firstLine="560" w:firstLineChars="200"/>
        <w:textAlignment w:val="center"/>
        <w:outlineLvl w:val="2"/>
        <w:rPr>
          <w:rFonts w:eastAsia="楷体"/>
          <w:color w:val="auto"/>
          <w:highlight w:val="none"/>
        </w:rPr>
      </w:pPr>
      <w:bookmarkStart w:id="92" w:name="_Toc149827355"/>
      <w:bookmarkStart w:id="93" w:name="_Toc16851"/>
      <w:bookmarkStart w:id="94" w:name="_Toc29874"/>
      <w:r>
        <w:rPr>
          <w:rFonts w:eastAsia="楷体"/>
          <w:color w:val="auto"/>
          <w:highlight w:val="none"/>
        </w:rPr>
        <w:t>（一）费用内容</w:t>
      </w:r>
      <w:bookmarkEnd w:id="92"/>
      <w:bookmarkEnd w:id="93"/>
      <w:bookmarkEnd w:id="94"/>
    </w:p>
    <w:p w14:paraId="2A38AEB6">
      <w:pPr>
        <w:ind w:firstLine="560" w:firstLineChars="200"/>
        <w:textAlignment w:val="center"/>
        <w:rPr>
          <w:color w:val="auto"/>
          <w:highlight w:val="none"/>
        </w:rPr>
      </w:pPr>
      <w:r>
        <w:rPr>
          <w:color w:val="auto"/>
          <w:highlight w:val="none"/>
        </w:rPr>
        <w:t>1．土地征用及补偿费：是指按照《中华人民共和国土地管理法》等规定，建设工程项目征用土地及补偿应支付的费用。包括土地补偿费，安置补助费，被征用土地地上、地下附着物及青苗补偿费，征用城市郊区菜地缴纳的新菜地开发建设基金，征用耕地缴纳的耕地开垦费，耕地占用税，以及在办理土地征用过程中所发生的相关人员的工作经费、土地登记管理费、土地测量测绘等费用。</w:t>
      </w:r>
    </w:p>
    <w:p w14:paraId="106323CE">
      <w:pPr>
        <w:ind w:firstLine="560" w:firstLineChars="200"/>
        <w:textAlignment w:val="center"/>
        <w:rPr>
          <w:color w:val="auto"/>
          <w:highlight w:val="none"/>
        </w:rPr>
      </w:pPr>
      <w:r>
        <w:rPr>
          <w:color w:val="auto"/>
          <w:highlight w:val="none"/>
        </w:rPr>
        <w:t>2．临时占地费：是指临时占用建设项目土地使用权在建设期内应支付的相关费用。</w:t>
      </w:r>
    </w:p>
    <w:p w14:paraId="24823875">
      <w:pPr>
        <w:ind w:firstLine="560" w:firstLineChars="200"/>
        <w:textAlignment w:val="center"/>
        <w:rPr>
          <w:color w:val="auto"/>
          <w:highlight w:val="none"/>
        </w:rPr>
      </w:pPr>
      <w:r>
        <w:rPr>
          <w:color w:val="auto"/>
          <w:highlight w:val="none"/>
        </w:rPr>
        <w:t>3．建（构）筑物拆迁补偿费：是指房屋及附属构筑物、城市公共设施等拆迁补偿费，以及在办理拆迁过程中所发生的相关人员的工作经费、资产评估费、建（构）筑物测量测绘等费用。</w:t>
      </w:r>
    </w:p>
    <w:p w14:paraId="49C67C11">
      <w:pPr>
        <w:ind w:firstLine="560" w:firstLineChars="200"/>
        <w:textAlignment w:val="center"/>
        <w:rPr>
          <w:color w:val="auto"/>
          <w:highlight w:val="none"/>
        </w:rPr>
      </w:pPr>
      <w:r>
        <w:rPr>
          <w:color w:val="auto"/>
          <w:highlight w:val="none"/>
        </w:rPr>
        <w:t>4．树木及绿化赔偿费：是指砍伐树木及铲除草坪等发生的补偿费用。</w:t>
      </w:r>
    </w:p>
    <w:p w14:paraId="4B845377">
      <w:pPr>
        <w:ind w:firstLine="560" w:firstLineChars="200"/>
        <w:textAlignment w:val="center"/>
        <w:rPr>
          <w:color w:val="auto"/>
          <w:highlight w:val="none"/>
        </w:rPr>
      </w:pPr>
      <w:r>
        <w:rPr>
          <w:color w:val="auto"/>
          <w:highlight w:val="none"/>
        </w:rPr>
        <w:t>5．道路恢复费：是指设计围挡范围内的道路恢复费用，相应凿除路面费用纳入主体工程费用中。</w:t>
      </w:r>
    </w:p>
    <w:p w14:paraId="6AA08DB7">
      <w:pPr>
        <w:ind w:firstLine="560" w:firstLineChars="200"/>
        <w:textAlignment w:val="center"/>
        <w:rPr>
          <w:color w:val="auto"/>
          <w:highlight w:val="none"/>
        </w:rPr>
      </w:pPr>
      <w:r>
        <w:rPr>
          <w:rFonts w:hint="eastAsia"/>
          <w:color w:val="auto"/>
          <w:highlight w:val="none"/>
        </w:rPr>
        <w:t>6</w:t>
      </w:r>
      <w:r>
        <w:rPr>
          <w:color w:val="auto"/>
          <w:highlight w:val="none"/>
        </w:rPr>
        <w:t>．管线迁改费：是指依据管线迁改设计方案，为保证工程实施而采取的对给水、排水、燃气、电力、电信、热力等管线进行迁改的费用。</w:t>
      </w:r>
    </w:p>
    <w:p w14:paraId="0EEB1E50">
      <w:pPr>
        <w:ind w:firstLine="560" w:firstLineChars="200"/>
        <w:textAlignment w:val="center"/>
        <w:rPr>
          <w:color w:val="auto"/>
          <w:highlight w:val="none"/>
        </w:rPr>
      </w:pPr>
      <w:r>
        <w:rPr>
          <w:rFonts w:hint="eastAsia"/>
          <w:color w:val="auto"/>
          <w:highlight w:val="none"/>
        </w:rPr>
        <w:t xml:space="preserve">7. </w:t>
      </w:r>
      <w:r>
        <w:rPr>
          <w:color w:val="auto"/>
          <w:highlight w:val="none"/>
        </w:rPr>
        <w:t>交通疏解费：是指依据交通疏解设计方案，为保证工程实施而采取的</w:t>
      </w:r>
      <w:r>
        <w:rPr>
          <w:rFonts w:hint="eastAsia"/>
          <w:color w:val="auto"/>
          <w:highlight w:val="none"/>
        </w:rPr>
        <w:t>对疏解工程进行建设及拆除恢复原状</w:t>
      </w:r>
      <w:r>
        <w:rPr>
          <w:color w:val="auto"/>
          <w:highlight w:val="none"/>
        </w:rPr>
        <w:t>的费用。</w:t>
      </w:r>
    </w:p>
    <w:p w14:paraId="13B8B996">
      <w:pPr>
        <w:ind w:firstLine="560" w:firstLineChars="200"/>
        <w:textAlignment w:val="center"/>
        <w:rPr>
          <w:color w:val="auto"/>
          <w:highlight w:val="none"/>
        </w:rPr>
      </w:pPr>
      <w:r>
        <w:rPr>
          <w:rFonts w:hint="eastAsia"/>
          <w:color w:val="auto"/>
          <w:highlight w:val="none"/>
        </w:rPr>
        <w:t>8</w:t>
      </w:r>
      <w:r>
        <w:rPr>
          <w:color w:val="auto"/>
          <w:highlight w:val="none"/>
        </w:rPr>
        <w:t>．河道改移费：是指依据河道改移设计方案，为保证工程实施而采取的河道改移措施所发生的费用。</w:t>
      </w:r>
    </w:p>
    <w:p w14:paraId="710EFE71">
      <w:pPr>
        <w:ind w:firstLine="560" w:firstLineChars="200"/>
        <w:textAlignment w:val="center"/>
        <w:outlineLvl w:val="2"/>
        <w:rPr>
          <w:rFonts w:eastAsia="楷体"/>
          <w:color w:val="auto"/>
          <w:highlight w:val="none"/>
        </w:rPr>
      </w:pPr>
      <w:bookmarkStart w:id="95" w:name="_Toc149827356"/>
      <w:bookmarkStart w:id="96" w:name="_Toc2319"/>
      <w:bookmarkStart w:id="97" w:name="_Toc22611"/>
      <w:r>
        <w:rPr>
          <w:rFonts w:eastAsia="楷体"/>
          <w:color w:val="auto"/>
          <w:highlight w:val="none"/>
        </w:rPr>
        <w:t>（二）计算方法</w:t>
      </w:r>
      <w:bookmarkEnd w:id="95"/>
      <w:bookmarkEnd w:id="96"/>
      <w:bookmarkEnd w:id="97"/>
    </w:p>
    <w:p w14:paraId="160A30B7">
      <w:pPr>
        <w:ind w:firstLine="560" w:firstLineChars="200"/>
        <w:textAlignment w:val="center"/>
        <w:rPr>
          <w:color w:val="auto"/>
          <w:highlight w:val="none"/>
        </w:rPr>
      </w:pPr>
      <w:r>
        <w:rPr>
          <w:color w:val="auto"/>
          <w:highlight w:val="none"/>
        </w:rPr>
        <w:t>1．土地征用及补偿费、临时占地费、建（构）筑物拆迁补偿费等应根据设计建设用地征用面积、临时占地面积、拆迁工程数量，按项目所在地省（自治区、直辖市）人民政府颁发的各项规定和标准计列。</w:t>
      </w:r>
    </w:p>
    <w:p w14:paraId="78EB8F3E">
      <w:pPr>
        <w:ind w:firstLine="560" w:firstLineChars="200"/>
        <w:textAlignment w:val="center"/>
        <w:rPr>
          <w:color w:val="auto"/>
          <w:highlight w:val="none"/>
        </w:rPr>
      </w:pPr>
      <w:r>
        <w:rPr>
          <w:color w:val="auto"/>
          <w:highlight w:val="none"/>
        </w:rPr>
        <w:t>2．树木及绿化赔偿费：按项目所在地省（自治区、直辖市）人民政府颁发的城市园林树木补偿标准计列。</w:t>
      </w:r>
    </w:p>
    <w:p w14:paraId="70ACA487">
      <w:pPr>
        <w:ind w:firstLine="560" w:firstLineChars="200"/>
        <w:textAlignment w:val="center"/>
        <w:rPr>
          <w:color w:val="auto"/>
          <w:highlight w:val="none"/>
        </w:rPr>
      </w:pPr>
      <w:r>
        <w:rPr>
          <w:color w:val="auto"/>
          <w:highlight w:val="none"/>
        </w:rPr>
        <w:t>3．道路恢复费：按项目所在地省（自治区、直辖市）人民政府颁发的道路恢复补偿标准计列。</w:t>
      </w:r>
    </w:p>
    <w:p w14:paraId="4A4ABCE6">
      <w:pPr>
        <w:ind w:firstLine="560" w:firstLineChars="200"/>
        <w:textAlignment w:val="center"/>
        <w:rPr>
          <w:color w:val="auto"/>
          <w:highlight w:val="none"/>
        </w:rPr>
      </w:pPr>
      <w:r>
        <w:rPr>
          <w:color w:val="auto"/>
          <w:highlight w:val="none"/>
        </w:rPr>
        <w:t>4．管线迁改费：按管线迁改设计方案，区分为上水、排水、燃气、电力（高压电和非高压电分列）、电信、热力等管线，按项目所在地省（自治区、直辖市）人民政府颁布的各类管线迁改补偿标准计列。</w:t>
      </w:r>
    </w:p>
    <w:p w14:paraId="2128FAD3">
      <w:pPr>
        <w:ind w:firstLine="560" w:firstLineChars="200"/>
        <w:textAlignment w:val="center"/>
        <w:rPr>
          <w:color w:val="auto"/>
          <w:highlight w:val="none"/>
        </w:rPr>
      </w:pPr>
      <w:r>
        <w:rPr>
          <w:color w:val="auto"/>
          <w:highlight w:val="none"/>
        </w:rPr>
        <w:t>5．交通疏解费：按交通疏解设计方案，按项目所在地省（自治区、直辖市）人民政府颁布的道路补偿标准计列。</w:t>
      </w:r>
    </w:p>
    <w:p w14:paraId="6D264951">
      <w:pPr>
        <w:ind w:firstLine="560" w:firstLineChars="200"/>
        <w:textAlignment w:val="center"/>
        <w:rPr>
          <w:color w:val="auto"/>
          <w:highlight w:val="none"/>
        </w:rPr>
      </w:pPr>
      <w:r>
        <w:rPr>
          <w:color w:val="auto"/>
          <w:highlight w:val="none"/>
        </w:rPr>
        <w:t>6．河道改移费：按河道改移设计方案，按项目所在地省（自治区、直辖市）人民政府颁布的河道改移补偿标准计列。</w:t>
      </w:r>
    </w:p>
    <w:p w14:paraId="29793AD4">
      <w:pPr>
        <w:spacing w:before="145" w:beforeLines="30" w:after="145" w:afterLines="30"/>
        <w:ind w:firstLine="600" w:firstLineChars="200"/>
        <w:outlineLvl w:val="2"/>
        <w:rPr>
          <w:rFonts w:eastAsia="楷体_GB2312"/>
          <w:color w:val="auto"/>
          <w:sz w:val="30"/>
          <w:szCs w:val="30"/>
          <w:highlight w:val="none"/>
        </w:rPr>
      </w:pPr>
      <w:bookmarkStart w:id="98" w:name="_Toc17650"/>
      <w:bookmarkStart w:id="99" w:name="_Toc149827357"/>
      <w:bookmarkStart w:id="100" w:name="_Toc24120"/>
      <w:bookmarkStart w:id="101" w:name="_Toc149827420"/>
      <w:r>
        <w:rPr>
          <w:rFonts w:eastAsia="楷体_GB2312"/>
          <w:color w:val="auto"/>
          <w:sz w:val="30"/>
          <w:szCs w:val="30"/>
          <w:highlight w:val="none"/>
        </w:rPr>
        <w:t>二、其他费用</w:t>
      </w:r>
      <w:bookmarkEnd w:id="98"/>
      <w:bookmarkEnd w:id="99"/>
      <w:bookmarkEnd w:id="100"/>
    </w:p>
    <w:p w14:paraId="714F18B3">
      <w:pPr>
        <w:keepNext/>
        <w:spacing w:before="145" w:beforeLines="30" w:after="145" w:afterLines="30"/>
        <w:ind w:firstLine="560" w:firstLineChars="200"/>
        <w:textAlignment w:val="center"/>
        <w:outlineLvl w:val="3"/>
        <w:rPr>
          <w:rFonts w:eastAsia="黑体"/>
          <w:color w:val="auto"/>
          <w:szCs w:val="24"/>
          <w:highlight w:val="none"/>
        </w:rPr>
      </w:pPr>
      <w:bookmarkStart w:id="102" w:name="_Toc149827358"/>
      <w:r>
        <w:rPr>
          <w:rFonts w:eastAsia="黑体"/>
          <w:color w:val="auto"/>
          <w:szCs w:val="24"/>
          <w:highlight w:val="none"/>
        </w:rPr>
        <w:t>（一）场地准备费</w:t>
      </w:r>
      <w:bookmarkEnd w:id="102"/>
    </w:p>
    <w:p w14:paraId="0A6ECC61">
      <w:pPr>
        <w:ind w:firstLine="560" w:firstLineChars="200"/>
        <w:textAlignment w:val="center"/>
        <w:outlineLvl w:val="4"/>
        <w:rPr>
          <w:rFonts w:eastAsia="楷体"/>
          <w:color w:val="auto"/>
          <w:highlight w:val="none"/>
        </w:rPr>
      </w:pPr>
      <w:bookmarkStart w:id="103" w:name="_Toc149827359"/>
      <w:r>
        <w:rPr>
          <w:rFonts w:eastAsia="楷体"/>
          <w:color w:val="auto"/>
          <w:highlight w:val="none"/>
        </w:rPr>
        <w:t>1．费用内容</w:t>
      </w:r>
      <w:bookmarkEnd w:id="103"/>
    </w:p>
    <w:p w14:paraId="7E1CB1C8">
      <w:pPr>
        <w:ind w:firstLine="560" w:firstLineChars="200"/>
        <w:textAlignment w:val="center"/>
        <w:rPr>
          <w:color w:val="auto"/>
          <w:highlight w:val="none"/>
        </w:rPr>
      </w:pPr>
      <w:bookmarkStart w:id="104" w:name="_Hlk118752513"/>
      <w:r>
        <w:rPr>
          <w:color w:val="auto"/>
          <w:highlight w:val="none"/>
        </w:rPr>
        <w:t>场地准备费：是指建设项目为达到工程开工条件所发生的场地平整和对建设场地遗留的有碍于施工建设的设施进行拆除清理的费用，以及为满足施工建设需要而供到场地界区的、未列入工程费用的临时水、电、路、讯、气等费用，以及施工期间专用公路养护费、维修费等费用。</w:t>
      </w:r>
      <w:bookmarkEnd w:id="104"/>
    </w:p>
    <w:p w14:paraId="6F255581">
      <w:pPr>
        <w:ind w:firstLine="560" w:firstLineChars="200"/>
        <w:textAlignment w:val="center"/>
        <w:outlineLvl w:val="4"/>
        <w:rPr>
          <w:rFonts w:eastAsia="楷体"/>
          <w:color w:val="auto"/>
          <w:highlight w:val="none"/>
        </w:rPr>
      </w:pPr>
      <w:bookmarkStart w:id="105" w:name="_Toc149827360"/>
      <w:r>
        <w:rPr>
          <w:rFonts w:eastAsia="楷体"/>
          <w:color w:val="auto"/>
          <w:highlight w:val="none"/>
        </w:rPr>
        <w:t>2．计算方法</w:t>
      </w:r>
      <w:bookmarkEnd w:id="105"/>
    </w:p>
    <w:p w14:paraId="27585C11">
      <w:pPr>
        <w:ind w:firstLine="560" w:firstLineChars="200"/>
        <w:textAlignment w:val="center"/>
        <w:rPr>
          <w:color w:val="auto"/>
          <w:highlight w:val="none"/>
        </w:rPr>
      </w:pPr>
      <w:r>
        <w:rPr>
          <w:color w:val="auto"/>
          <w:highlight w:val="none"/>
        </w:rPr>
        <w:t>一般应根据实际工程量估算，也可按工程费用的比例计列。即：</w:t>
      </w:r>
    </w:p>
    <w:p w14:paraId="32A680F0">
      <w:pPr>
        <w:ind w:firstLine="560" w:firstLineChars="200"/>
        <w:textAlignment w:val="center"/>
        <w:rPr>
          <w:rFonts w:eastAsia="黑体"/>
          <w:color w:val="auto"/>
          <w:szCs w:val="24"/>
          <w:highlight w:val="none"/>
        </w:rPr>
      </w:pPr>
      <w:r>
        <w:rPr>
          <w:color w:val="auto"/>
          <w:highlight w:val="none"/>
        </w:rPr>
        <w:t>场地准备费＝工程费用×费率，费率按1%～2%计列。</w:t>
      </w:r>
    </w:p>
    <w:p w14:paraId="63E7E136">
      <w:pPr>
        <w:keepNext/>
        <w:spacing w:before="145" w:beforeLines="30" w:after="145" w:afterLines="30"/>
        <w:ind w:firstLine="560" w:firstLineChars="200"/>
        <w:textAlignment w:val="center"/>
        <w:outlineLvl w:val="3"/>
        <w:rPr>
          <w:rFonts w:eastAsia="黑体"/>
          <w:color w:val="auto"/>
          <w:szCs w:val="24"/>
          <w:highlight w:val="none"/>
        </w:rPr>
      </w:pPr>
      <w:bookmarkStart w:id="106" w:name="_Toc149827361"/>
      <w:r>
        <w:rPr>
          <w:rFonts w:eastAsia="黑体"/>
          <w:color w:val="auto"/>
          <w:szCs w:val="24"/>
          <w:highlight w:val="none"/>
        </w:rPr>
        <w:t>（二）项目建设管理费</w:t>
      </w:r>
      <w:bookmarkEnd w:id="106"/>
    </w:p>
    <w:p w14:paraId="1E8EE1D7">
      <w:pPr>
        <w:ind w:firstLine="560" w:firstLineChars="200"/>
        <w:textAlignment w:val="center"/>
        <w:outlineLvl w:val="4"/>
        <w:rPr>
          <w:rFonts w:eastAsia="楷体"/>
          <w:color w:val="auto"/>
          <w:highlight w:val="none"/>
        </w:rPr>
      </w:pPr>
      <w:bookmarkStart w:id="107" w:name="_Toc149827362"/>
      <w:r>
        <w:rPr>
          <w:rFonts w:eastAsia="楷体"/>
          <w:color w:val="auto"/>
          <w:highlight w:val="none"/>
        </w:rPr>
        <w:t>1．费用内容</w:t>
      </w:r>
      <w:bookmarkEnd w:id="107"/>
    </w:p>
    <w:p w14:paraId="7638E31A">
      <w:pPr>
        <w:ind w:firstLine="560" w:firstLineChars="200"/>
        <w:textAlignment w:val="center"/>
        <w:rPr>
          <w:color w:val="auto"/>
          <w:highlight w:val="none"/>
        </w:rPr>
      </w:pPr>
      <w:r>
        <w:rPr>
          <w:color w:val="auto"/>
          <w:highlight w:val="none"/>
        </w:rPr>
        <w:t>项目建设管理费：是指项目建设单位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p>
    <w:p w14:paraId="004D10F1">
      <w:pPr>
        <w:ind w:firstLine="560" w:firstLineChars="200"/>
        <w:textAlignment w:val="center"/>
        <w:outlineLvl w:val="4"/>
        <w:rPr>
          <w:rFonts w:eastAsia="楷体"/>
          <w:color w:val="auto"/>
          <w:highlight w:val="none"/>
        </w:rPr>
      </w:pPr>
      <w:bookmarkStart w:id="108" w:name="_Toc149827363"/>
      <w:r>
        <w:rPr>
          <w:rFonts w:eastAsia="楷体"/>
          <w:color w:val="auto"/>
          <w:highlight w:val="none"/>
        </w:rPr>
        <w:t>2．计算方法</w:t>
      </w:r>
      <w:bookmarkEnd w:id="108"/>
    </w:p>
    <w:p w14:paraId="2CBA8FB8">
      <w:pPr>
        <w:ind w:firstLine="560" w:firstLineChars="200"/>
        <w:textAlignment w:val="center"/>
        <w:rPr>
          <w:color w:val="auto"/>
          <w:highlight w:val="none"/>
        </w:rPr>
      </w:pPr>
      <w:r>
        <w:rPr>
          <w:color w:val="auto"/>
          <w:highlight w:val="none"/>
        </w:rPr>
        <w:t>按工程费用和管线迁改费用之和的2.0%～2.5%计列。</w:t>
      </w:r>
    </w:p>
    <w:p w14:paraId="1D633DE3">
      <w:pPr>
        <w:keepNext/>
        <w:spacing w:before="145" w:beforeLines="30" w:after="145" w:afterLines="30"/>
        <w:ind w:firstLine="560" w:firstLineChars="200"/>
        <w:textAlignment w:val="center"/>
        <w:outlineLvl w:val="3"/>
        <w:rPr>
          <w:rFonts w:eastAsia="黑体"/>
          <w:color w:val="auto"/>
          <w:szCs w:val="24"/>
          <w:highlight w:val="none"/>
        </w:rPr>
      </w:pPr>
      <w:bookmarkStart w:id="109" w:name="_Toc149827364"/>
      <w:r>
        <w:rPr>
          <w:rFonts w:eastAsia="黑体"/>
          <w:color w:val="auto"/>
          <w:szCs w:val="24"/>
          <w:highlight w:val="none"/>
        </w:rPr>
        <w:t>（三）建设工程监理与相关服务费</w:t>
      </w:r>
      <w:bookmarkEnd w:id="109"/>
    </w:p>
    <w:p w14:paraId="72F8B3C8">
      <w:pPr>
        <w:ind w:firstLine="560" w:firstLineChars="200"/>
        <w:textAlignment w:val="center"/>
        <w:outlineLvl w:val="4"/>
        <w:rPr>
          <w:rFonts w:eastAsia="楷体"/>
          <w:color w:val="auto"/>
          <w:highlight w:val="none"/>
        </w:rPr>
      </w:pPr>
      <w:bookmarkStart w:id="110" w:name="_Toc149827365"/>
      <w:r>
        <w:rPr>
          <w:rFonts w:eastAsia="楷体"/>
          <w:color w:val="auto"/>
          <w:highlight w:val="none"/>
        </w:rPr>
        <w:t>1．费用内容</w:t>
      </w:r>
      <w:bookmarkEnd w:id="110"/>
    </w:p>
    <w:p w14:paraId="49A3972C">
      <w:pPr>
        <w:ind w:firstLine="560" w:firstLineChars="200"/>
        <w:textAlignment w:val="center"/>
        <w:rPr>
          <w:color w:val="auto"/>
          <w:highlight w:val="none"/>
        </w:rPr>
      </w:pPr>
      <w:r>
        <w:rPr>
          <w:color w:val="auto"/>
          <w:highlight w:val="none"/>
        </w:rPr>
        <w:t>建设工程监理与相关服务费：是指监理单位接受建设单位委托，提供建设工程施工阶段的质量、进度、费用控制管理和安全生产监督管理，合同、信息管理及相关各方协调管理服务，以及勘察、设计、保修等阶段的相关服务所收取的费用。</w:t>
      </w:r>
    </w:p>
    <w:p w14:paraId="23DAED75">
      <w:pPr>
        <w:ind w:firstLine="560" w:firstLineChars="200"/>
        <w:textAlignment w:val="center"/>
        <w:outlineLvl w:val="4"/>
        <w:rPr>
          <w:rFonts w:eastAsia="楷体"/>
          <w:color w:val="auto"/>
          <w:highlight w:val="none"/>
        </w:rPr>
      </w:pPr>
      <w:bookmarkStart w:id="111" w:name="_Toc149827366"/>
      <w:r>
        <w:rPr>
          <w:rFonts w:eastAsia="楷体"/>
          <w:color w:val="auto"/>
          <w:highlight w:val="none"/>
        </w:rPr>
        <w:t>2．计算方法</w:t>
      </w:r>
      <w:bookmarkEnd w:id="111"/>
    </w:p>
    <w:p w14:paraId="7D351106">
      <w:pPr>
        <w:ind w:firstLine="560" w:firstLineChars="200"/>
        <w:textAlignment w:val="center"/>
        <w:rPr>
          <w:color w:val="auto"/>
          <w:highlight w:val="none"/>
        </w:rPr>
      </w:pPr>
      <w:r>
        <w:rPr>
          <w:color w:val="auto"/>
          <w:highlight w:val="none"/>
        </w:rPr>
        <w:t>按工程费用的1.6%～1.8%计列。</w:t>
      </w:r>
    </w:p>
    <w:p w14:paraId="5F79063B">
      <w:pPr>
        <w:keepNext/>
        <w:spacing w:before="145" w:beforeLines="30" w:after="145" w:afterLines="30"/>
        <w:ind w:firstLine="560" w:firstLineChars="200"/>
        <w:textAlignment w:val="center"/>
        <w:outlineLvl w:val="3"/>
        <w:rPr>
          <w:rFonts w:eastAsia="黑体"/>
          <w:color w:val="auto"/>
          <w:szCs w:val="24"/>
          <w:highlight w:val="none"/>
        </w:rPr>
      </w:pPr>
      <w:bookmarkStart w:id="112" w:name="_Toc149827367"/>
      <w:r>
        <w:rPr>
          <w:rFonts w:eastAsia="黑体"/>
          <w:color w:val="auto"/>
          <w:szCs w:val="24"/>
          <w:highlight w:val="none"/>
        </w:rPr>
        <w:t>（四）招标代理服务费</w:t>
      </w:r>
      <w:bookmarkEnd w:id="112"/>
    </w:p>
    <w:p w14:paraId="234F3FDC">
      <w:pPr>
        <w:ind w:firstLine="560" w:firstLineChars="200"/>
        <w:textAlignment w:val="center"/>
        <w:outlineLvl w:val="4"/>
        <w:rPr>
          <w:rFonts w:eastAsia="楷体"/>
          <w:color w:val="auto"/>
          <w:highlight w:val="none"/>
        </w:rPr>
      </w:pPr>
      <w:bookmarkStart w:id="113" w:name="_Toc149827368"/>
      <w:r>
        <w:rPr>
          <w:rFonts w:eastAsia="楷体"/>
          <w:color w:val="auto"/>
          <w:highlight w:val="none"/>
        </w:rPr>
        <w:t>1．费用内容</w:t>
      </w:r>
      <w:bookmarkEnd w:id="113"/>
    </w:p>
    <w:p w14:paraId="450E12AA">
      <w:pPr>
        <w:ind w:firstLine="560" w:firstLineChars="200"/>
        <w:textAlignment w:val="center"/>
        <w:rPr>
          <w:color w:val="auto"/>
          <w:highlight w:val="none"/>
        </w:rPr>
      </w:pPr>
      <w:r>
        <w:rPr>
          <w:color w:val="auto"/>
          <w:highlight w:val="none"/>
        </w:rPr>
        <w:t>招标代理服务费：是指招标代理机构接受招标人委托，从事编制招标文件（包括编制资格预审文件和标底），审查投标人资格，组织答疑、开标、评标以及提供招标前期咨询、协调合同签订等所收取的费用。</w:t>
      </w:r>
    </w:p>
    <w:p w14:paraId="72DA64A0">
      <w:pPr>
        <w:ind w:firstLine="560" w:firstLineChars="200"/>
        <w:textAlignment w:val="center"/>
        <w:outlineLvl w:val="4"/>
        <w:rPr>
          <w:rFonts w:eastAsia="楷体"/>
          <w:color w:val="auto"/>
          <w:highlight w:val="none"/>
        </w:rPr>
      </w:pPr>
      <w:bookmarkStart w:id="114" w:name="_Toc149827369"/>
      <w:r>
        <w:rPr>
          <w:rFonts w:eastAsia="楷体"/>
          <w:color w:val="auto"/>
          <w:highlight w:val="none"/>
        </w:rPr>
        <w:t>2．计算方法</w:t>
      </w:r>
      <w:bookmarkEnd w:id="114"/>
    </w:p>
    <w:p w14:paraId="36BB84AE">
      <w:pPr>
        <w:ind w:firstLine="560" w:firstLineChars="200"/>
        <w:textAlignment w:val="center"/>
        <w:rPr>
          <w:color w:val="auto"/>
          <w:highlight w:val="none"/>
        </w:rPr>
      </w:pPr>
      <w:r>
        <w:rPr>
          <w:color w:val="auto"/>
          <w:highlight w:val="none"/>
        </w:rPr>
        <w:t>按工程费用的0.2%计列。</w:t>
      </w:r>
    </w:p>
    <w:p w14:paraId="44A48EB3">
      <w:pPr>
        <w:keepNext/>
        <w:spacing w:before="145" w:beforeLines="30" w:after="145" w:afterLines="30"/>
        <w:ind w:firstLine="560" w:firstLineChars="200"/>
        <w:textAlignment w:val="center"/>
        <w:outlineLvl w:val="3"/>
        <w:rPr>
          <w:rFonts w:eastAsia="黑体"/>
          <w:color w:val="auto"/>
          <w:szCs w:val="24"/>
          <w:highlight w:val="none"/>
        </w:rPr>
      </w:pPr>
      <w:bookmarkStart w:id="115" w:name="_Toc149827370"/>
      <w:r>
        <w:rPr>
          <w:rFonts w:eastAsia="黑体"/>
          <w:color w:val="auto"/>
          <w:szCs w:val="24"/>
          <w:highlight w:val="none"/>
        </w:rPr>
        <w:t>（五）招标交易服务费</w:t>
      </w:r>
      <w:bookmarkEnd w:id="115"/>
    </w:p>
    <w:p w14:paraId="1957C83C">
      <w:pPr>
        <w:ind w:firstLine="560" w:firstLineChars="200"/>
        <w:textAlignment w:val="center"/>
        <w:outlineLvl w:val="4"/>
        <w:rPr>
          <w:rFonts w:eastAsia="楷体"/>
          <w:color w:val="auto"/>
          <w:highlight w:val="none"/>
        </w:rPr>
      </w:pPr>
      <w:bookmarkStart w:id="116" w:name="_Toc149827371"/>
      <w:r>
        <w:rPr>
          <w:rFonts w:eastAsia="楷体"/>
          <w:color w:val="auto"/>
          <w:highlight w:val="none"/>
        </w:rPr>
        <w:t>1．费用内容</w:t>
      </w:r>
      <w:bookmarkEnd w:id="116"/>
    </w:p>
    <w:p w14:paraId="47EA2137">
      <w:pPr>
        <w:ind w:firstLine="560" w:firstLineChars="200"/>
        <w:textAlignment w:val="center"/>
        <w:rPr>
          <w:color w:val="auto"/>
          <w:highlight w:val="none"/>
        </w:rPr>
      </w:pPr>
      <w:r>
        <w:rPr>
          <w:color w:val="auto"/>
          <w:highlight w:val="none"/>
        </w:rPr>
        <w:t>招标交易服务费：是指工程建设期间，项目所在地建设交易部门为工程招投标工作提供交易场所和为招投标服务而收取的费用。</w:t>
      </w:r>
    </w:p>
    <w:p w14:paraId="7688EAB9">
      <w:pPr>
        <w:ind w:firstLine="560" w:firstLineChars="200"/>
        <w:textAlignment w:val="center"/>
        <w:outlineLvl w:val="4"/>
        <w:rPr>
          <w:rFonts w:eastAsia="楷体"/>
          <w:color w:val="auto"/>
          <w:highlight w:val="none"/>
        </w:rPr>
      </w:pPr>
      <w:bookmarkStart w:id="117" w:name="_Toc149827372"/>
      <w:r>
        <w:rPr>
          <w:rFonts w:eastAsia="楷体"/>
          <w:color w:val="auto"/>
          <w:highlight w:val="none"/>
        </w:rPr>
        <w:t>2．计算方法</w:t>
      </w:r>
      <w:bookmarkEnd w:id="117"/>
    </w:p>
    <w:p w14:paraId="2954CE8A">
      <w:pPr>
        <w:ind w:firstLine="560" w:firstLineChars="200"/>
        <w:textAlignment w:val="center"/>
        <w:rPr>
          <w:color w:val="auto"/>
          <w:highlight w:val="none"/>
        </w:rPr>
      </w:pPr>
      <w:r>
        <w:rPr>
          <w:color w:val="auto"/>
          <w:highlight w:val="none"/>
        </w:rPr>
        <w:t>按建设项目所在地省（自治区、直辖市）有关规定计列。</w:t>
      </w:r>
    </w:p>
    <w:p w14:paraId="61887D98">
      <w:pPr>
        <w:keepNext/>
        <w:spacing w:before="145" w:beforeLines="30" w:after="145" w:afterLines="30"/>
        <w:ind w:firstLine="560" w:firstLineChars="200"/>
        <w:textAlignment w:val="center"/>
        <w:outlineLvl w:val="3"/>
        <w:rPr>
          <w:rFonts w:eastAsia="黑体"/>
          <w:color w:val="auto"/>
          <w:szCs w:val="24"/>
          <w:highlight w:val="none"/>
        </w:rPr>
      </w:pPr>
      <w:bookmarkStart w:id="118" w:name="_Toc149827373"/>
      <w:r>
        <w:rPr>
          <w:rFonts w:eastAsia="黑体"/>
          <w:color w:val="auto"/>
          <w:szCs w:val="24"/>
          <w:highlight w:val="none"/>
        </w:rPr>
        <w:t>（六）前期工作费</w:t>
      </w:r>
      <w:bookmarkEnd w:id="118"/>
    </w:p>
    <w:p w14:paraId="011F4AF6">
      <w:pPr>
        <w:ind w:firstLine="560" w:firstLineChars="200"/>
        <w:textAlignment w:val="center"/>
        <w:rPr>
          <w:color w:val="auto"/>
          <w:highlight w:val="none"/>
        </w:rPr>
      </w:pPr>
      <w:r>
        <w:rPr>
          <w:color w:val="auto"/>
          <w:highlight w:val="none"/>
        </w:rPr>
        <w:t>前期工作费：是指由建设单位委托相关机构而发生的为建设项目前期工作支付的咨询服务费用，包括建设项目专题研究、编制和评估建设规划、编制和评估可行性研究报告，以及其他与建设项目前期工作有关的咨询服务费用。</w:t>
      </w:r>
    </w:p>
    <w:p w14:paraId="193B34BD">
      <w:pPr>
        <w:ind w:firstLine="560" w:firstLineChars="200"/>
        <w:textAlignment w:val="center"/>
        <w:outlineLvl w:val="4"/>
        <w:rPr>
          <w:rFonts w:eastAsia="楷体"/>
          <w:color w:val="auto"/>
          <w:highlight w:val="none"/>
        </w:rPr>
      </w:pPr>
      <w:bookmarkStart w:id="119" w:name="_Toc149827374"/>
      <w:r>
        <w:rPr>
          <w:rFonts w:eastAsia="楷体"/>
          <w:color w:val="auto"/>
          <w:highlight w:val="none"/>
        </w:rPr>
        <w:t>1．可行性研究费</w:t>
      </w:r>
      <w:bookmarkEnd w:id="119"/>
    </w:p>
    <w:p w14:paraId="3ECD578B">
      <w:pPr>
        <w:ind w:firstLine="560" w:firstLineChars="200"/>
        <w:textAlignment w:val="center"/>
        <w:rPr>
          <w:color w:val="auto"/>
          <w:highlight w:val="none"/>
        </w:rPr>
      </w:pPr>
      <w:r>
        <w:rPr>
          <w:color w:val="auto"/>
          <w:highlight w:val="none"/>
        </w:rPr>
        <w:t>（1）费用内容</w:t>
      </w:r>
    </w:p>
    <w:p w14:paraId="404FAA11">
      <w:pPr>
        <w:ind w:firstLine="560" w:firstLineChars="200"/>
        <w:textAlignment w:val="center"/>
        <w:rPr>
          <w:color w:val="auto"/>
          <w:highlight w:val="none"/>
        </w:rPr>
      </w:pPr>
      <w:r>
        <w:rPr>
          <w:color w:val="auto"/>
          <w:highlight w:val="none"/>
        </w:rPr>
        <w:t>可行性研究费：是指编制和评估建设规划（或预可行性研究报告）、可行性研究报告所需的费用。</w:t>
      </w:r>
    </w:p>
    <w:p w14:paraId="701C72E2">
      <w:pPr>
        <w:ind w:firstLine="560" w:firstLineChars="200"/>
        <w:textAlignment w:val="center"/>
        <w:rPr>
          <w:color w:val="auto"/>
          <w:highlight w:val="none"/>
        </w:rPr>
      </w:pPr>
      <w:r>
        <w:rPr>
          <w:color w:val="auto"/>
          <w:highlight w:val="none"/>
        </w:rPr>
        <w:t>（2）计算方法</w:t>
      </w:r>
    </w:p>
    <w:p w14:paraId="1FE87F91">
      <w:pPr>
        <w:ind w:firstLine="560" w:firstLineChars="200"/>
        <w:textAlignment w:val="center"/>
        <w:rPr>
          <w:color w:val="auto"/>
          <w:highlight w:val="none"/>
        </w:rPr>
      </w:pPr>
      <w:r>
        <w:rPr>
          <w:color w:val="auto"/>
          <w:highlight w:val="none"/>
        </w:rPr>
        <w:t>参照表4-1计费标准，根据建设项目估算投资额采用内插法计算。</w:t>
      </w:r>
    </w:p>
    <w:p w14:paraId="243A3CDA">
      <w:pPr>
        <w:jc w:val="center"/>
        <w:rPr>
          <w:b/>
          <w:bCs/>
          <w:color w:val="auto"/>
          <w:highlight w:val="none"/>
        </w:rPr>
      </w:pPr>
      <w:bookmarkStart w:id="120" w:name="_Toc149827375"/>
      <w:r>
        <w:rPr>
          <w:rFonts w:eastAsia="黑体"/>
          <w:color w:val="auto"/>
          <w:sz w:val="26"/>
          <w:highlight w:val="none"/>
        </w:rPr>
        <w:t>表4-1 编制和评估可行性研究报告计费标准表</w:t>
      </w:r>
      <w:bookmarkEnd w:id="120"/>
    </w:p>
    <w:tbl>
      <w:tblPr>
        <w:tblStyle w:val="24"/>
        <w:tblW w:w="91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70"/>
        <w:gridCol w:w="1995"/>
        <w:gridCol w:w="2261"/>
        <w:gridCol w:w="1995"/>
        <w:gridCol w:w="2261"/>
      </w:tblGrid>
      <w:tr w14:paraId="746A3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 w:hRule="atLeast"/>
          <w:tblHeader/>
        </w:trPr>
        <w:tc>
          <w:tcPr>
            <w:tcW w:w="670" w:type="dxa"/>
            <w:vMerge w:val="restart"/>
            <w:shd w:val="clear" w:color="auto" w:fill="auto"/>
            <w:vAlign w:val="center"/>
          </w:tcPr>
          <w:p w14:paraId="5CF0C13C">
            <w:pPr>
              <w:adjustRightInd w:val="0"/>
              <w:snapToGrid w:val="0"/>
              <w:jc w:val="center"/>
              <w:rPr>
                <w:color w:val="auto"/>
                <w:sz w:val="21"/>
                <w:szCs w:val="21"/>
                <w:highlight w:val="none"/>
              </w:rPr>
            </w:pPr>
            <w:r>
              <w:rPr>
                <w:color w:val="auto"/>
                <w:sz w:val="21"/>
                <w:szCs w:val="21"/>
                <w:highlight w:val="none"/>
              </w:rPr>
              <w:t>序号</w:t>
            </w:r>
          </w:p>
        </w:tc>
        <w:tc>
          <w:tcPr>
            <w:tcW w:w="4256" w:type="dxa"/>
            <w:gridSpan w:val="2"/>
            <w:shd w:val="clear" w:color="auto" w:fill="auto"/>
            <w:vAlign w:val="center"/>
          </w:tcPr>
          <w:p w14:paraId="5B81E7A9">
            <w:pPr>
              <w:adjustRightInd w:val="0"/>
              <w:snapToGrid w:val="0"/>
              <w:jc w:val="center"/>
              <w:rPr>
                <w:color w:val="auto"/>
                <w:sz w:val="21"/>
                <w:szCs w:val="21"/>
                <w:highlight w:val="none"/>
              </w:rPr>
            </w:pPr>
            <w:r>
              <w:rPr>
                <w:color w:val="auto"/>
                <w:sz w:val="21"/>
                <w:szCs w:val="21"/>
                <w:highlight w:val="none"/>
              </w:rPr>
              <w:t>编制</w:t>
            </w:r>
          </w:p>
        </w:tc>
        <w:tc>
          <w:tcPr>
            <w:tcW w:w="4256" w:type="dxa"/>
            <w:gridSpan w:val="2"/>
            <w:shd w:val="clear" w:color="auto" w:fill="auto"/>
            <w:vAlign w:val="center"/>
          </w:tcPr>
          <w:p w14:paraId="00143F76">
            <w:pPr>
              <w:adjustRightInd w:val="0"/>
              <w:snapToGrid w:val="0"/>
              <w:jc w:val="center"/>
              <w:rPr>
                <w:color w:val="auto"/>
                <w:sz w:val="21"/>
                <w:szCs w:val="21"/>
                <w:highlight w:val="none"/>
              </w:rPr>
            </w:pPr>
            <w:r>
              <w:rPr>
                <w:color w:val="auto"/>
                <w:sz w:val="21"/>
                <w:szCs w:val="21"/>
                <w:highlight w:val="none"/>
              </w:rPr>
              <w:t>评估</w:t>
            </w:r>
          </w:p>
        </w:tc>
      </w:tr>
      <w:tr w14:paraId="5490CA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 w:hRule="atLeast"/>
          <w:tblHeader/>
        </w:trPr>
        <w:tc>
          <w:tcPr>
            <w:tcW w:w="670" w:type="dxa"/>
            <w:vMerge w:val="continue"/>
            <w:shd w:val="clear" w:color="auto" w:fill="auto"/>
            <w:vAlign w:val="center"/>
          </w:tcPr>
          <w:p w14:paraId="0D42F516">
            <w:pPr>
              <w:adjustRightInd w:val="0"/>
              <w:snapToGrid w:val="0"/>
              <w:jc w:val="center"/>
              <w:rPr>
                <w:color w:val="auto"/>
                <w:sz w:val="21"/>
                <w:szCs w:val="21"/>
                <w:highlight w:val="none"/>
              </w:rPr>
            </w:pPr>
          </w:p>
        </w:tc>
        <w:tc>
          <w:tcPr>
            <w:tcW w:w="1995" w:type="dxa"/>
            <w:shd w:val="clear" w:color="auto" w:fill="auto"/>
            <w:vAlign w:val="center"/>
          </w:tcPr>
          <w:p w14:paraId="23D09D35">
            <w:pPr>
              <w:adjustRightInd w:val="0"/>
              <w:snapToGrid w:val="0"/>
              <w:jc w:val="center"/>
              <w:rPr>
                <w:color w:val="auto"/>
                <w:sz w:val="21"/>
                <w:szCs w:val="21"/>
                <w:highlight w:val="none"/>
              </w:rPr>
            </w:pPr>
            <w:r>
              <w:rPr>
                <w:color w:val="auto"/>
                <w:sz w:val="21"/>
                <w:szCs w:val="21"/>
                <w:highlight w:val="none"/>
              </w:rPr>
              <w:t>投资额（亿元）</w:t>
            </w:r>
          </w:p>
        </w:tc>
        <w:tc>
          <w:tcPr>
            <w:tcW w:w="2261" w:type="dxa"/>
            <w:shd w:val="clear" w:color="auto" w:fill="auto"/>
            <w:vAlign w:val="center"/>
          </w:tcPr>
          <w:p w14:paraId="3B1C9685">
            <w:pPr>
              <w:adjustRightInd w:val="0"/>
              <w:snapToGrid w:val="0"/>
              <w:jc w:val="center"/>
              <w:rPr>
                <w:color w:val="auto"/>
                <w:sz w:val="21"/>
                <w:szCs w:val="21"/>
                <w:highlight w:val="none"/>
              </w:rPr>
            </w:pPr>
            <w:r>
              <w:rPr>
                <w:color w:val="auto"/>
                <w:sz w:val="21"/>
                <w:szCs w:val="21"/>
                <w:highlight w:val="none"/>
              </w:rPr>
              <w:t>计费标准（万元）</w:t>
            </w:r>
          </w:p>
        </w:tc>
        <w:tc>
          <w:tcPr>
            <w:tcW w:w="1995" w:type="dxa"/>
            <w:shd w:val="clear" w:color="auto" w:fill="auto"/>
            <w:vAlign w:val="center"/>
          </w:tcPr>
          <w:p w14:paraId="30807282">
            <w:pPr>
              <w:adjustRightInd w:val="0"/>
              <w:snapToGrid w:val="0"/>
              <w:jc w:val="center"/>
              <w:rPr>
                <w:color w:val="auto"/>
                <w:sz w:val="21"/>
                <w:szCs w:val="21"/>
                <w:highlight w:val="none"/>
              </w:rPr>
            </w:pPr>
            <w:r>
              <w:rPr>
                <w:color w:val="auto"/>
                <w:sz w:val="21"/>
                <w:szCs w:val="21"/>
                <w:highlight w:val="none"/>
              </w:rPr>
              <w:t>投资额（亿元）</w:t>
            </w:r>
          </w:p>
        </w:tc>
        <w:tc>
          <w:tcPr>
            <w:tcW w:w="2261" w:type="dxa"/>
            <w:shd w:val="clear" w:color="auto" w:fill="auto"/>
            <w:vAlign w:val="center"/>
          </w:tcPr>
          <w:p w14:paraId="6FBA2061">
            <w:pPr>
              <w:adjustRightInd w:val="0"/>
              <w:snapToGrid w:val="0"/>
              <w:jc w:val="center"/>
              <w:rPr>
                <w:color w:val="auto"/>
                <w:sz w:val="21"/>
                <w:szCs w:val="21"/>
                <w:highlight w:val="none"/>
              </w:rPr>
            </w:pPr>
            <w:r>
              <w:rPr>
                <w:color w:val="auto"/>
                <w:sz w:val="21"/>
                <w:szCs w:val="21"/>
                <w:highlight w:val="none"/>
              </w:rPr>
              <w:t>计费标准（万元）</w:t>
            </w:r>
          </w:p>
        </w:tc>
      </w:tr>
      <w:tr w14:paraId="603C5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 w:hRule="atLeast"/>
        </w:trPr>
        <w:tc>
          <w:tcPr>
            <w:tcW w:w="670" w:type="dxa"/>
            <w:shd w:val="clear" w:color="auto" w:fill="auto"/>
            <w:vAlign w:val="center"/>
          </w:tcPr>
          <w:p w14:paraId="2A86D852">
            <w:pPr>
              <w:adjustRightInd w:val="0"/>
              <w:snapToGrid w:val="0"/>
              <w:jc w:val="center"/>
              <w:rPr>
                <w:color w:val="auto"/>
                <w:sz w:val="21"/>
                <w:szCs w:val="21"/>
                <w:highlight w:val="none"/>
              </w:rPr>
            </w:pPr>
            <w:r>
              <w:rPr>
                <w:color w:val="auto"/>
                <w:sz w:val="21"/>
                <w:szCs w:val="21"/>
                <w:highlight w:val="none"/>
              </w:rPr>
              <w:t>1</w:t>
            </w:r>
          </w:p>
        </w:tc>
        <w:tc>
          <w:tcPr>
            <w:tcW w:w="1995" w:type="dxa"/>
            <w:shd w:val="clear" w:color="auto" w:fill="auto"/>
            <w:vAlign w:val="center"/>
          </w:tcPr>
          <w:p w14:paraId="305484BC">
            <w:pPr>
              <w:adjustRightInd w:val="0"/>
              <w:snapToGrid w:val="0"/>
              <w:jc w:val="center"/>
              <w:rPr>
                <w:color w:val="auto"/>
                <w:sz w:val="21"/>
                <w:szCs w:val="21"/>
                <w:highlight w:val="none"/>
              </w:rPr>
            </w:pPr>
            <w:r>
              <w:rPr>
                <w:color w:val="auto"/>
                <w:sz w:val="21"/>
                <w:szCs w:val="21"/>
                <w:highlight w:val="none"/>
              </w:rPr>
              <w:t>≤20</w:t>
            </w:r>
          </w:p>
        </w:tc>
        <w:tc>
          <w:tcPr>
            <w:tcW w:w="2261" w:type="dxa"/>
            <w:shd w:val="clear" w:color="auto" w:fill="auto"/>
            <w:vAlign w:val="center"/>
          </w:tcPr>
          <w:p w14:paraId="4DF9896A">
            <w:pPr>
              <w:adjustRightInd w:val="0"/>
              <w:snapToGrid w:val="0"/>
              <w:jc w:val="center"/>
              <w:rPr>
                <w:color w:val="auto"/>
                <w:sz w:val="21"/>
                <w:szCs w:val="21"/>
                <w:highlight w:val="none"/>
              </w:rPr>
            </w:pPr>
            <w:r>
              <w:rPr>
                <w:color w:val="auto"/>
                <w:sz w:val="21"/>
                <w:szCs w:val="21"/>
                <w:highlight w:val="none"/>
              </w:rPr>
              <w:t>250</w:t>
            </w:r>
          </w:p>
        </w:tc>
        <w:tc>
          <w:tcPr>
            <w:tcW w:w="1995" w:type="dxa"/>
            <w:vMerge w:val="restart"/>
            <w:shd w:val="clear" w:color="auto" w:fill="auto"/>
            <w:vAlign w:val="center"/>
          </w:tcPr>
          <w:p w14:paraId="7508686C">
            <w:pPr>
              <w:adjustRightInd w:val="0"/>
              <w:snapToGrid w:val="0"/>
              <w:jc w:val="center"/>
              <w:rPr>
                <w:color w:val="auto"/>
                <w:sz w:val="21"/>
                <w:szCs w:val="21"/>
                <w:highlight w:val="none"/>
              </w:rPr>
            </w:pPr>
            <w:r>
              <w:rPr>
                <w:color w:val="auto"/>
                <w:sz w:val="21"/>
                <w:szCs w:val="21"/>
                <w:highlight w:val="none"/>
              </w:rPr>
              <w:t>≤100</w:t>
            </w:r>
          </w:p>
        </w:tc>
        <w:tc>
          <w:tcPr>
            <w:tcW w:w="2261" w:type="dxa"/>
            <w:vMerge w:val="restart"/>
            <w:shd w:val="clear" w:color="auto" w:fill="auto"/>
            <w:vAlign w:val="center"/>
          </w:tcPr>
          <w:p w14:paraId="3402BC88">
            <w:pPr>
              <w:adjustRightInd w:val="0"/>
              <w:snapToGrid w:val="0"/>
              <w:jc w:val="center"/>
              <w:rPr>
                <w:color w:val="auto"/>
                <w:sz w:val="21"/>
                <w:szCs w:val="21"/>
                <w:highlight w:val="none"/>
              </w:rPr>
            </w:pPr>
            <w:r>
              <w:rPr>
                <w:color w:val="auto"/>
                <w:sz w:val="21"/>
                <w:szCs w:val="21"/>
                <w:highlight w:val="none"/>
              </w:rPr>
              <w:t>50</w:t>
            </w:r>
          </w:p>
        </w:tc>
      </w:tr>
      <w:tr w14:paraId="50DE9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 w:hRule="atLeast"/>
        </w:trPr>
        <w:tc>
          <w:tcPr>
            <w:tcW w:w="670" w:type="dxa"/>
            <w:shd w:val="clear" w:color="auto" w:fill="auto"/>
            <w:vAlign w:val="center"/>
          </w:tcPr>
          <w:p w14:paraId="66F6AF87">
            <w:pPr>
              <w:adjustRightInd w:val="0"/>
              <w:snapToGrid w:val="0"/>
              <w:jc w:val="center"/>
              <w:rPr>
                <w:color w:val="auto"/>
                <w:sz w:val="21"/>
                <w:szCs w:val="21"/>
                <w:highlight w:val="none"/>
              </w:rPr>
            </w:pPr>
            <w:r>
              <w:rPr>
                <w:color w:val="auto"/>
                <w:sz w:val="21"/>
                <w:szCs w:val="21"/>
                <w:highlight w:val="none"/>
              </w:rPr>
              <w:t>2</w:t>
            </w:r>
          </w:p>
        </w:tc>
        <w:tc>
          <w:tcPr>
            <w:tcW w:w="1995" w:type="dxa"/>
            <w:shd w:val="clear" w:color="auto" w:fill="auto"/>
            <w:vAlign w:val="center"/>
          </w:tcPr>
          <w:p w14:paraId="1A219E39">
            <w:pPr>
              <w:adjustRightInd w:val="0"/>
              <w:snapToGrid w:val="0"/>
              <w:jc w:val="center"/>
              <w:rPr>
                <w:color w:val="auto"/>
                <w:sz w:val="21"/>
                <w:szCs w:val="21"/>
                <w:highlight w:val="none"/>
              </w:rPr>
            </w:pPr>
            <w:r>
              <w:rPr>
                <w:color w:val="auto"/>
                <w:sz w:val="21"/>
                <w:szCs w:val="21"/>
                <w:highlight w:val="none"/>
              </w:rPr>
              <w:t>50</w:t>
            </w:r>
          </w:p>
        </w:tc>
        <w:tc>
          <w:tcPr>
            <w:tcW w:w="2261" w:type="dxa"/>
            <w:shd w:val="clear" w:color="auto" w:fill="auto"/>
            <w:vAlign w:val="center"/>
          </w:tcPr>
          <w:p w14:paraId="563CBD8F">
            <w:pPr>
              <w:adjustRightInd w:val="0"/>
              <w:snapToGrid w:val="0"/>
              <w:jc w:val="center"/>
              <w:rPr>
                <w:color w:val="auto"/>
                <w:sz w:val="21"/>
                <w:szCs w:val="21"/>
                <w:highlight w:val="none"/>
              </w:rPr>
            </w:pPr>
            <w:r>
              <w:rPr>
                <w:color w:val="auto"/>
                <w:sz w:val="21"/>
                <w:szCs w:val="21"/>
                <w:highlight w:val="none"/>
              </w:rPr>
              <w:t>300</w:t>
            </w:r>
          </w:p>
        </w:tc>
        <w:tc>
          <w:tcPr>
            <w:tcW w:w="1995" w:type="dxa"/>
            <w:vMerge w:val="continue"/>
            <w:shd w:val="clear" w:color="auto" w:fill="auto"/>
            <w:vAlign w:val="center"/>
          </w:tcPr>
          <w:p w14:paraId="62424DB1">
            <w:pPr>
              <w:adjustRightInd w:val="0"/>
              <w:snapToGrid w:val="0"/>
              <w:jc w:val="center"/>
              <w:rPr>
                <w:color w:val="auto"/>
                <w:sz w:val="21"/>
                <w:szCs w:val="21"/>
                <w:highlight w:val="none"/>
              </w:rPr>
            </w:pPr>
          </w:p>
        </w:tc>
        <w:tc>
          <w:tcPr>
            <w:tcW w:w="2261" w:type="dxa"/>
            <w:vMerge w:val="continue"/>
            <w:shd w:val="clear" w:color="auto" w:fill="auto"/>
            <w:vAlign w:val="center"/>
          </w:tcPr>
          <w:p w14:paraId="0E1638A5">
            <w:pPr>
              <w:adjustRightInd w:val="0"/>
              <w:snapToGrid w:val="0"/>
              <w:jc w:val="center"/>
              <w:rPr>
                <w:color w:val="auto"/>
                <w:sz w:val="21"/>
                <w:szCs w:val="21"/>
                <w:highlight w:val="none"/>
              </w:rPr>
            </w:pPr>
          </w:p>
        </w:tc>
      </w:tr>
      <w:tr w14:paraId="75A41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 w:hRule="atLeast"/>
        </w:trPr>
        <w:tc>
          <w:tcPr>
            <w:tcW w:w="670" w:type="dxa"/>
            <w:shd w:val="clear" w:color="auto" w:fill="auto"/>
            <w:vAlign w:val="center"/>
          </w:tcPr>
          <w:p w14:paraId="3F352E83">
            <w:pPr>
              <w:adjustRightInd w:val="0"/>
              <w:snapToGrid w:val="0"/>
              <w:jc w:val="center"/>
              <w:rPr>
                <w:color w:val="auto"/>
                <w:sz w:val="21"/>
                <w:szCs w:val="21"/>
                <w:highlight w:val="none"/>
              </w:rPr>
            </w:pPr>
            <w:r>
              <w:rPr>
                <w:color w:val="auto"/>
                <w:sz w:val="21"/>
                <w:szCs w:val="21"/>
                <w:highlight w:val="none"/>
              </w:rPr>
              <w:t>3</w:t>
            </w:r>
          </w:p>
        </w:tc>
        <w:tc>
          <w:tcPr>
            <w:tcW w:w="1995" w:type="dxa"/>
            <w:shd w:val="clear" w:color="auto" w:fill="auto"/>
            <w:vAlign w:val="center"/>
          </w:tcPr>
          <w:p w14:paraId="1AA14A2F">
            <w:pPr>
              <w:adjustRightInd w:val="0"/>
              <w:snapToGrid w:val="0"/>
              <w:jc w:val="center"/>
              <w:rPr>
                <w:color w:val="auto"/>
                <w:sz w:val="21"/>
                <w:szCs w:val="21"/>
                <w:highlight w:val="none"/>
              </w:rPr>
            </w:pPr>
            <w:r>
              <w:rPr>
                <w:color w:val="auto"/>
                <w:sz w:val="21"/>
                <w:szCs w:val="21"/>
                <w:highlight w:val="none"/>
              </w:rPr>
              <w:t>100</w:t>
            </w:r>
          </w:p>
        </w:tc>
        <w:tc>
          <w:tcPr>
            <w:tcW w:w="2261" w:type="dxa"/>
            <w:shd w:val="clear" w:color="auto" w:fill="auto"/>
            <w:vAlign w:val="center"/>
          </w:tcPr>
          <w:p w14:paraId="66B0A1D9">
            <w:pPr>
              <w:adjustRightInd w:val="0"/>
              <w:snapToGrid w:val="0"/>
              <w:jc w:val="center"/>
              <w:rPr>
                <w:color w:val="auto"/>
                <w:sz w:val="21"/>
                <w:szCs w:val="21"/>
                <w:highlight w:val="none"/>
              </w:rPr>
            </w:pPr>
            <w:r>
              <w:rPr>
                <w:color w:val="auto"/>
                <w:sz w:val="21"/>
                <w:szCs w:val="21"/>
                <w:highlight w:val="none"/>
              </w:rPr>
              <w:t>350</w:t>
            </w:r>
          </w:p>
        </w:tc>
        <w:tc>
          <w:tcPr>
            <w:tcW w:w="1995" w:type="dxa"/>
            <w:vMerge w:val="restart"/>
            <w:shd w:val="clear" w:color="auto" w:fill="auto"/>
            <w:vAlign w:val="center"/>
          </w:tcPr>
          <w:p w14:paraId="5E68C73B">
            <w:pPr>
              <w:adjustRightInd w:val="0"/>
              <w:snapToGrid w:val="0"/>
              <w:jc w:val="center"/>
              <w:rPr>
                <w:color w:val="auto"/>
                <w:sz w:val="21"/>
                <w:szCs w:val="21"/>
                <w:highlight w:val="none"/>
              </w:rPr>
            </w:pPr>
            <w:r>
              <w:rPr>
                <w:color w:val="auto"/>
                <w:sz w:val="21"/>
                <w:szCs w:val="21"/>
                <w:highlight w:val="none"/>
              </w:rPr>
              <w:t>100～200</w:t>
            </w:r>
          </w:p>
        </w:tc>
        <w:tc>
          <w:tcPr>
            <w:tcW w:w="2261" w:type="dxa"/>
            <w:vMerge w:val="restart"/>
            <w:shd w:val="clear" w:color="auto" w:fill="auto"/>
            <w:vAlign w:val="center"/>
          </w:tcPr>
          <w:p w14:paraId="1C311BDA">
            <w:pPr>
              <w:adjustRightInd w:val="0"/>
              <w:snapToGrid w:val="0"/>
              <w:jc w:val="center"/>
              <w:rPr>
                <w:color w:val="auto"/>
                <w:sz w:val="21"/>
                <w:szCs w:val="21"/>
                <w:highlight w:val="none"/>
              </w:rPr>
            </w:pPr>
            <w:r>
              <w:rPr>
                <w:color w:val="auto"/>
                <w:sz w:val="21"/>
                <w:szCs w:val="21"/>
                <w:highlight w:val="none"/>
              </w:rPr>
              <w:t>60</w:t>
            </w:r>
          </w:p>
        </w:tc>
      </w:tr>
      <w:tr w14:paraId="2EEDB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 w:hRule="atLeast"/>
        </w:trPr>
        <w:tc>
          <w:tcPr>
            <w:tcW w:w="670" w:type="dxa"/>
            <w:shd w:val="clear" w:color="auto" w:fill="auto"/>
            <w:vAlign w:val="center"/>
          </w:tcPr>
          <w:p w14:paraId="7007A179">
            <w:pPr>
              <w:adjustRightInd w:val="0"/>
              <w:snapToGrid w:val="0"/>
              <w:jc w:val="center"/>
              <w:rPr>
                <w:color w:val="auto"/>
                <w:sz w:val="21"/>
                <w:szCs w:val="21"/>
                <w:highlight w:val="none"/>
              </w:rPr>
            </w:pPr>
            <w:r>
              <w:rPr>
                <w:color w:val="auto"/>
                <w:sz w:val="21"/>
                <w:szCs w:val="21"/>
                <w:highlight w:val="none"/>
              </w:rPr>
              <w:t>4</w:t>
            </w:r>
          </w:p>
        </w:tc>
        <w:tc>
          <w:tcPr>
            <w:tcW w:w="1995" w:type="dxa"/>
            <w:shd w:val="clear" w:color="auto" w:fill="auto"/>
            <w:vAlign w:val="center"/>
          </w:tcPr>
          <w:p w14:paraId="120F56B2">
            <w:pPr>
              <w:adjustRightInd w:val="0"/>
              <w:snapToGrid w:val="0"/>
              <w:jc w:val="center"/>
              <w:rPr>
                <w:color w:val="auto"/>
                <w:sz w:val="21"/>
                <w:szCs w:val="21"/>
                <w:highlight w:val="none"/>
              </w:rPr>
            </w:pPr>
            <w:r>
              <w:rPr>
                <w:color w:val="auto"/>
                <w:sz w:val="21"/>
                <w:szCs w:val="21"/>
                <w:highlight w:val="none"/>
              </w:rPr>
              <w:t>200</w:t>
            </w:r>
          </w:p>
        </w:tc>
        <w:tc>
          <w:tcPr>
            <w:tcW w:w="2261" w:type="dxa"/>
            <w:shd w:val="clear" w:color="auto" w:fill="auto"/>
            <w:vAlign w:val="center"/>
          </w:tcPr>
          <w:p w14:paraId="515E248A">
            <w:pPr>
              <w:adjustRightInd w:val="0"/>
              <w:snapToGrid w:val="0"/>
              <w:jc w:val="center"/>
              <w:rPr>
                <w:color w:val="auto"/>
                <w:sz w:val="21"/>
                <w:szCs w:val="21"/>
                <w:highlight w:val="none"/>
              </w:rPr>
            </w:pPr>
            <w:r>
              <w:rPr>
                <w:color w:val="auto"/>
                <w:sz w:val="21"/>
                <w:szCs w:val="21"/>
                <w:highlight w:val="none"/>
              </w:rPr>
              <w:t>400</w:t>
            </w:r>
          </w:p>
        </w:tc>
        <w:tc>
          <w:tcPr>
            <w:tcW w:w="1995" w:type="dxa"/>
            <w:vMerge w:val="continue"/>
            <w:shd w:val="clear" w:color="auto" w:fill="auto"/>
            <w:vAlign w:val="center"/>
          </w:tcPr>
          <w:p w14:paraId="0BDFD036">
            <w:pPr>
              <w:adjustRightInd w:val="0"/>
              <w:snapToGrid w:val="0"/>
              <w:jc w:val="center"/>
              <w:rPr>
                <w:color w:val="auto"/>
                <w:sz w:val="21"/>
                <w:szCs w:val="21"/>
                <w:highlight w:val="none"/>
              </w:rPr>
            </w:pPr>
          </w:p>
        </w:tc>
        <w:tc>
          <w:tcPr>
            <w:tcW w:w="2261" w:type="dxa"/>
            <w:vMerge w:val="continue"/>
            <w:shd w:val="clear" w:color="auto" w:fill="auto"/>
            <w:vAlign w:val="center"/>
          </w:tcPr>
          <w:p w14:paraId="4791E1CE">
            <w:pPr>
              <w:adjustRightInd w:val="0"/>
              <w:snapToGrid w:val="0"/>
              <w:jc w:val="center"/>
              <w:rPr>
                <w:color w:val="auto"/>
                <w:sz w:val="21"/>
                <w:szCs w:val="21"/>
                <w:highlight w:val="none"/>
              </w:rPr>
            </w:pPr>
          </w:p>
        </w:tc>
      </w:tr>
      <w:tr w14:paraId="4F3C3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 w:hRule="atLeast"/>
        </w:trPr>
        <w:tc>
          <w:tcPr>
            <w:tcW w:w="670" w:type="dxa"/>
            <w:shd w:val="clear" w:color="auto" w:fill="auto"/>
            <w:vAlign w:val="center"/>
          </w:tcPr>
          <w:p w14:paraId="2628BE8F">
            <w:pPr>
              <w:adjustRightInd w:val="0"/>
              <w:snapToGrid w:val="0"/>
              <w:jc w:val="center"/>
              <w:rPr>
                <w:color w:val="auto"/>
                <w:sz w:val="21"/>
                <w:szCs w:val="21"/>
                <w:highlight w:val="none"/>
              </w:rPr>
            </w:pPr>
            <w:r>
              <w:rPr>
                <w:color w:val="auto"/>
                <w:sz w:val="21"/>
                <w:szCs w:val="21"/>
                <w:highlight w:val="none"/>
              </w:rPr>
              <w:t>5</w:t>
            </w:r>
          </w:p>
        </w:tc>
        <w:tc>
          <w:tcPr>
            <w:tcW w:w="1995" w:type="dxa"/>
            <w:shd w:val="clear" w:color="auto" w:fill="auto"/>
            <w:vAlign w:val="center"/>
          </w:tcPr>
          <w:p w14:paraId="5FDA2352">
            <w:pPr>
              <w:adjustRightInd w:val="0"/>
              <w:snapToGrid w:val="0"/>
              <w:jc w:val="center"/>
              <w:rPr>
                <w:color w:val="auto"/>
                <w:sz w:val="21"/>
                <w:szCs w:val="21"/>
                <w:highlight w:val="none"/>
              </w:rPr>
            </w:pPr>
            <w:r>
              <w:rPr>
                <w:color w:val="auto"/>
                <w:sz w:val="21"/>
                <w:szCs w:val="21"/>
                <w:highlight w:val="none"/>
              </w:rPr>
              <w:t>300</w:t>
            </w:r>
          </w:p>
        </w:tc>
        <w:tc>
          <w:tcPr>
            <w:tcW w:w="2261" w:type="dxa"/>
            <w:shd w:val="clear" w:color="auto" w:fill="auto"/>
            <w:vAlign w:val="center"/>
          </w:tcPr>
          <w:p w14:paraId="144C2DAE">
            <w:pPr>
              <w:adjustRightInd w:val="0"/>
              <w:snapToGrid w:val="0"/>
              <w:jc w:val="center"/>
              <w:rPr>
                <w:color w:val="auto"/>
                <w:sz w:val="21"/>
                <w:szCs w:val="21"/>
                <w:highlight w:val="none"/>
              </w:rPr>
            </w:pPr>
            <w:r>
              <w:rPr>
                <w:color w:val="auto"/>
                <w:sz w:val="21"/>
                <w:szCs w:val="21"/>
                <w:highlight w:val="none"/>
              </w:rPr>
              <w:t>450</w:t>
            </w:r>
          </w:p>
        </w:tc>
        <w:tc>
          <w:tcPr>
            <w:tcW w:w="1995" w:type="dxa"/>
            <w:vMerge w:val="restart"/>
            <w:shd w:val="clear" w:color="auto" w:fill="auto"/>
            <w:vAlign w:val="center"/>
          </w:tcPr>
          <w:p w14:paraId="6EB6960A">
            <w:pPr>
              <w:adjustRightInd w:val="0"/>
              <w:snapToGrid w:val="0"/>
              <w:jc w:val="center"/>
              <w:rPr>
                <w:color w:val="auto"/>
                <w:sz w:val="21"/>
                <w:szCs w:val="21"/>
                <w:highlight w:val="none"/>
              </w:rPr>
            </w:pPr>
            <w:r>
              <w:rPr>
                <w:color w:val="auto"/>
                <w:sz w:val="21"/>
                <w:szCs w:val="21"/>
                <w:highlight w:val="none"/>
              </w:rPr>
              <w:t>≥200</w:t>
            </w:r>
          </w:p>
        </w:tc>
        <w:tc>
          <w:tcPr>
            <w:tcW w:w="2261" w:type="dxa"/>
            <w:vMerge w:val="restart"/>
            <w:shd w:val="clear" w:color="auto" w:fill="auto"/>
            <w:vAlign w:val="center"/>
          </w:tcPr>
          <w:p w14:paraId="01668468">
            <w:pPr>
              <w:adjustRightInd w:val="0"/>
              <w:snapToGrid w:val="0"/>
              <w:jc w:val="center"/>
              <w:rPr>
                <w:color w:val="auto"/>
                <w:sz w:val="21"/>
                <w:szCs w:val="21"/>
                <w:highlight w:val="none"/>
              </w:rPr>
            </w:pPr>
            <w:r>
              <w:rPr>
                <w:color w:val="auto"/>
                <w:sz w:val="21"/>
                <w:szCs w:val="21"/>
                <w:highlight w:val="none"/>
              </w:rPr>
              <w:t>80</w:t>
            </w:r>
          </w:p>
        </w:tc>
      </w:tr>
      <w:tr w14:paraId="1B64C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 w:hRule="atLeast"/>
        </w:trPr>
        <w:tc>
          <w:tcPr>
            <w:tcW w:w="670" w:type="dxa"/>
            <w:shd w:val="clear" w:color="auto" w:fill="auto"/>
            <w:vAlign w:val="center"/>
          </w:tcPr>
          <w:p w14:paraId="1BEF79A4">
            <w:pPr>
              <w:adjustRightInd w:val="0"/>
              <w:snapToGrid w:val="0"/>
              <w:jc w:val="center"/>
              <w:rPr>
                <w:color w:val="auto"/>
                <w:sz w:val="21"/>
                <w:szCs w:val="21"/>
                <w:highlight w:val="none"/>
              </w:rPr>
            </w:pPr>
            <w:r>
              <w:rPr>
                <w:color w:val="auto"/>
                <w:sz w:val="21"/>
                <w:szCs w:val="21"/>
                <w:highlight w:val="none"/>
              </w:rPr>
              <w:t>6</w:t>
            </w:r>
          </w:p>
        </w:tc>
        <w:tc>
          <w:tcPr>
            <w:tcW w:w="1995" w:type="dxa"/>
            <w:shd w:val="clear" w:color="auto" w:fill="auto"/>
            <w:vAlign w:val="center"/>
          </w:tcPr>
          <w:p w14:paraId="04510BD6">
            <w:pPr>
              <w:adjustRightInd w:val="0"/>
              <w:snapToGrid w:val="0"/>
              <w:jc w:val="center"/>
              <w:rPr>
                <w:color w:val="auto"/>
                <w:sz w:val="21"/>
                <w:szCs w:val="21"/>
                <w:highlight w:val="none"/>
              </w:rPr>
            </w:pPr>
            <w:r>
              <w:rPr>
                <w:color w:val="auto"/>
                <w:sz w:val="21"/>
                <w:szCs w:val="21"/>
                <w:highlight w:val="none"/>
              </w:rPr>
              <w:t>≥400</w:t>
            </w:r>
          </w:p>
        </w:tc>
        <w:tc>
          <w:tcPr>
            <w:tcW w:w="2261" w:type="dxa"/>
            <w:shd w:val="clear" w:color="auto" w:fill="auto"/>
            <w:vAlign w:val="center"/>
          </w:tcPr>
          <w:p w14:paraId="04791E48">
            <w:pPr>
              <w:adjustRightInd w:val="0"/>
              <w:snapToGrid w:val="0"/>
              <w:jc w:val="center"/>
              <w:rPr>
                <w:color w:val="auto"/>
                <w:sz w:val="21"/>
                <w:szCs w:val="21"/>
                <w:highlight w:val="none"/>
              </w:rPr>
            </w:pPr>
            <w:r>
              <w:rPr>
                <w:color w:val="auto"/>
                <w:sz w:val="21"/>
                <w:szCs w:val="21"/>
                <w:highlight w:val="none"/>
              </w:rPr>
              <w:t>500</w:t>
            </w:r>
          </w:p>
        </w:tc>
        <w:tc>
          <w:tcPr>
            <w:tcW w:w="1995" w:type="dxa"/>
            <w:vMerge w:val="continue"/>
            <w:shd w:val="clear" w:color="auto" w:fill="auto"/>
            <w:vAlign w:val="center"/>
          </w:tcPr>
          <w:p w14:paraId="5334A375">
            <w:pPr>
              <w:adjustRightInd w:val="0"/>
              <w:snapToGrid w:val="0"/>
              <w:jc w:val="center"/>
              <w:rPr>
                <w:color w:val="auto"/>
                <w:sz w:val="21"/>
                <w:szCs w:val="21"/>
                <w:highlight w:val="none"/>
              </w:rPr>
            </w:pPr>
          </w:p>
        </w:tc>
        <w:tc>
          <w:tcPr>
            <w:tcW w:w="2261" w:type="dxa"/>
            <w:vMerge w:val="continue"/>
            <w:shd w:val="clear" w:color="auto" w:fill="auto"/>
            <w:vAlign w:val="center"/>
          </w:tcPr>
          <w:p w14:paraId="584156CC">
            <w:pPr>
              <w:adjustRightInd w:val="0"/>
              <w:snapToGrid w:val="0"/>
              <w:jc w:val="center"/>
              <w:rPr>
                <w:color w:val="auto"/>
                <w:sz w:val="21"/>
                <w:szCs w:val="21"/>
                <w:highlight w:val="none"/>
              </w:rPr>
            </w:pPr>
          </w:p>
        </w:tc>
      </w:tr>
    </w:tbl>
    <w:p w14:paraId="14C93818">
      <w:pPr>
        <w:spacing w:line="360" w:lineRule="exact"/>
        <w:ind w:left="420" w:hanging="420" w:hangingChars="200"/>
        <w:rPr>
          <w:rFonts w:eastAsia="仿宋_GB2312"/>
          <w:color w:val="auto"/>
          <w:sz w:val="21"/>
          <w:szCs w:val="24"/>
          <w:highlight w:val="none"/>
        </w:rPr>
      </w:pPr>
      <w:r>
        <w:rPr>
          <w:rFonts w:eastAsia="仿宋_GB2312"/>
          <w:color w:val="auto"/>
          <w:sz w:val="21"/>
          <w:szCs w:val="24"/>
          <w:highlight w:val="none"/>
        </w:rPr>
        <w:t>注：①建设项目估算投资额：是指建设规划或可行性研究报告的估算投资额。</w:t>
      </w:r>
    </w:p>
    <w:p w14:paraId="6D227580">
      <w:pPr>
        <w:spacing w:line="360" w:lineRule="exact"/>
        <w:ind w:left="420"/>
        <w:rPr>
          <w:rFonts w:eastAsia="仿宋_GB2312"/>
          <w:color w:val="auto"/>
          <w:sz w:val="21"/>
          <w:szCs w:val="24"/>
          <w:highlight w:val="none"/>
        </w:rPr>
      </w:pPr>
      <w:r>
        <w:rPr>
          <w:rFonts w:eastAsia="仿宋_GB2312"/>
          <w:color w:val="auto"/>
          <w:sz w:val="21"/>
          <w:szCs w:val="24"/>
          <w:highlight w:val="none"/>
        </w:rPr>
        <w:t>②建设项目在工程条件、技术条件、环境保护、文物保护、安全等方面可能存在特殊要求时，可根据实际情况计取难度调整系数，调整系数按1.1～1.5计取；必要时开展的专题研究费用另计，且主报告收费不再考虑调整系数。</w:t>
      </w:r>
    </w:p>
    <w:p w14:paraId="2D13929C">
      <w:pPr>
        <w:spacing w:line="360" w:lineRule="exact"/>
        <w:ind w:left="420"/>
        <w:rPr>
          <w:rFonts w:eastAsia="仿宋_GB2312"/>
          <w:color w:val="auto"/>
          <w:sz w:val="21"/>
          <w:szCs w:val="24"/>
          <w:highlight w:val="none"/>
        </w:rPr>
      </w:pPr>
      <w:r>
        <w:rPr>
          <w:rFonts w:eastAsia="仿宋_GB2312"/>
          <w:color w:val="auto"/>
          <w:sz w:val="21"/>
          <w:szCs w:val="24"/>
          <w:highlight w:val="none"/>
        </w:rPr>
        <w:t>③对于分期分段建设的线路，应分别计费。原则上视线路分期分段规模比例及研究难度，在上述计费方案基础上，首期工程乘以1.2～1.5的调整系数，后续工程乘以0.6～0.9的调整系数。</w:t>
      </w:r>
    </w:p>
    <w:p w14:paraId="6AA1F06D">
      <w:pPr>
        <w:spacing w:line="360" w:lineRule="exact"/>
        <w:ind w:left="420"/>
        <w:rPr>
          <w:rFonts w:eastAsia="仿宋_GB2312"/>
          <w:color w:val="auto"/>
          <w:sz w:val="21"/>
          <w:szCs w:val="24"/>
          <w:highlight w:val="none"/>
        </w:rPr>
      </w:pPr>
      <w:r>
        <w:rPr>
          <w:rFonts w:eastAsia="仿宋_GB2312"/>
          <w:color w:val="auto"/>
          <w:sz w:val="21"/>
          <w:szCs w:val="24"/>
          <w:highlight w:val="none"/>
        </w:rPr>
        <w:t>④上述计费标准为主报告编制费用，各类专题研究费用另行计列。</w:t>
      </w:r>
    </w:p>
    <w:p w14:paraId="1D222449">
      <w:pPr>
        <w:ind w:firstLine="560" w:firstLineChars="200"/>
        <w:textAlignment w:val="center"/>
        <w:outlineLvl w:val="4"/>
        <w:rPr>
          <w:rFonts w:eastAsia="楷体"/>
          <w:color w:val="auto"/>
          <w:highlight w:val="none"/>
        </w:rPr>
      </w:pPr>
      <w:bookmarkStart w:id="121" w:name="_Toc149827376"/>
      <w:r>
        <w:rPr>
          <w:rFonts w:eastAsia="楷体"/>
          <w:color w:val="auto"/>
          <w:highlight w:val="none"/>
        </w:rPr>
        <w:t>2．环境影响评价费</w:t>
      </w:r>
      <w:bookmarkEnd w:id="121"/>
    </w:p>
    <w:p w14:paraId="0E83F98C">
      <w:pPr>
        <w:ind w:firstLine="560" w:firstLineChars="200"/>
        <w:textAlignment w:val="center"/>
        <w:rPr>
          <w:color w:val="auto"/>
          <w:highlight w:val="none"/>
        </w:rPr>
      </w:pPr>
      <w:r>
        <w:rPr>
          <w:color w:val="auto"/>
          <w:highlight w:val="none"/>
        </w:rPr>
        <w:t>（1）费用内容</w:t>
      </w:r>
    </w:p>
    <w:p w14:paraId="6E78AEDC">
      <w:pPr>
        <w:ind w:firstLine="560" w:firstLineChars="200"/>
        <w:textAlignment w:val="center"/>
        <w:rPr>
          <w:color w:val="auto"/>
          <w:highlight w:val="none"/>
        </w:rPr>
      </w:pPr>
      <w:r>
        <w:rPr>
          <w:color w:val="auto"/>
          <w:highlight w:val="none"/>
        </w:rPr>
        <w:t>环境影响评价费：是指按照《中华人民共和国环境保护法》、《中华人民共和国环境影响评价法》等规定，为全面、详细评价建设项目对环境可能产生的污染或造成的重大影响所需的费用。包括编制和评估环境影响报告书（含大纲）、环境影响报告表和环境影响登记表等所需的费用。</w:t>
      </w:r>
    </w:p>
    <w:p w14:paraId="4F4447AE">
      <w:pPr>
        <w:ind w:firstLine="560" w:firstLineChars="200"/>
        <w:textAlignment w:val="center"/>
        <w:rPr>
          <w:color w:val="auto"/>
          <w:highlight w:val="none"/>
        </w:rPr>
      </w:pPr>
      <w:r>
        <w:rPr>
          <w:color w:val="auto"/>
          <w:highlight w:val="none"/>
        </w:rPr>
        <w:t>（2）计算方法</w:t>
      </w:r>
    </w:p>
    <w:p w14:paraId="1C41671A">
      <w:pPr>
        <w:ind w:firstLine="560" w:firstLineChars="200"/>
        <w:textAlignment w:val="center"/>
        <w:rPr>
          <w:color w:val="auto"/>
          <w:highlight w:val="none"/>
        </w:rPr>
      </w:pPr>
      <w:r>
        <w:rPr>
          <w:color w:val="auto"/>
          <w:highlight w:val="none"/>
        </w:rPr>
        <w:t>参照表4-2计费标准，根据建设项目估算投资额采用内插法计算，并适当考虑环境敏感程度调整系数。</w:t>
      </w:r>
    </w:p>
    <w:p w14:paraId="1A00CFF5">
      <w:pPr>
        <w:jc w:val="center"/>
        <w:rPr>
          <w:rFonts w:eastAsia="黑体"/>
          <w:color w:val="auto"/>
          <w:sz w:val="21"/>
          <w:highlight w:val="none"/>
        </w:rPr>
      </w:pPr>
      <w:bookmarkStart w:id="122" w:name="_Toc149827377"/>
      <w:r>
        <w:rPr>
          <w:rFonts w:eastAsia="黑体"/>
          <w:color w:val="auto"/>
          <w:sz w:val="26"/>
          <w:highlight w:val="none"/>
        </w:rPr>
        <w:t xml:space="preserve">              表4-2 环境影响评价收费表          </w:t>
      </w:r>
      <w:r>
        <w:rPr>
          <w:rFonts w:eastAsia="黑体"/>
          <w:color w:val="auto"/>
          <w:sz w:val="21"/>
          <w:highlight w:val="none"/>
        </w:rPr>
        <w:t>单位：万元</w:t>
      </w:r>
      <w:bookmarkEnd w:id="122"/>
    </w:p>
    <w:tbl>
      <w:tblPr>
        <w:tblStyle w:val="24"/>
        <w:tblW w:w="91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80"/>
        <w:gridCol w:w="3669"/>
        <w:gridCol w:w="1067"/>
        <w:gridCol w:w="1071"/>
        <w:gridCol w:w="1222"/>
        <w:gridCol w:w="1277"/>
      </w:tblGrid>
      <w:tr w14:paraId="7DD347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80" w:type="dxa"/>
            <w:shd w:val="clear" w:color="auto" w:fill="auto"/>
            <w:vAlign w:val="center"/>
          </w:tcPr>
          <w:p w14:paraId="29AFE775">
            <w:pPr>
              <w:keepNext/>
              <w:adjustRightInd w:val="0"/>
              <w:snapToGrid w:val="0"/>
              <w:jc w:val="center"/>
              <w:rPr>
                <w:color w:val="auto"/>
                <w:sz w:val="21"/>
                <w:szCs w:val="21"/>
                <w:highlight w:val="none"/>
              </w:rPr>
            </w:pPr>
            <w:r>
              <w:rPr>
                <w:color w:val="auto"/>
                <w:sz w:val="21"/>
                <w:szCs w:val="21"/>
                <w:highlight w:val="none"/>
              </w:rPr>
              <w:t>序号</w:t>
            </w:r>
          </w:p>
        </w:tc>
        <w:tc>
          <w:tcPr>
            <w:tcW w:w="3669" w:type="dxa"/>
            <w:shd w:val="clear" w:color="auto" w:fill="auto"/>
            <w:vAlign w:val="center"/>
          </w:tcPr>
          <w:p w14:paraId="01E733DF">
            <w:pPr>
              <w:keepNext/>
              <w:adjustRightInd w:val="0"/>
              <w:snapToGrid w:val="0"/>
              <w:jc w:val="center"/>
              <w:rPr>
                <w:color w:val="auto"/>
                <w:sz w:val="21"/>
                <w:szCs w:val="21"/>
                <w:highlight w:val="none"/>
              </w:rPr>
            </w:pPr>
            <w:r>
              <w:rPr>
                <w:color w:val="auto"/>
                <w:sz w:val="21"/>
                <w:szCs w:val="21"/>
                <w:highlight w:val="none"/>
              </w:rPr>
              <w:t>估算投资额（亿元）</w:t>
            </w:r>
          </w:p>
        </w:tc>
        <w:tc>
          <w:tcPr>
            <w:tcW w:w="1067" w:type="dxa"/>
            <w:shd w:val="clear" w:color="auto" w:fill="auto"/>
            <w:vAlign w:val="center"/>
          </w:tcPr>
          <w:p w14:paraId="7FB57E18">
            <w:pPr>
              <w:keepNext/>
              <w:adjustRightInd w:val="0"/>
              <w:snapToGrid w:val="0"/>
              <w:jc w:val="center"/>
              <w:rPr>
                <w:color w:val="auto"/>
                <w:sz w:val="21"/>
                <w:szCs w:val="21"/>
                <w:highlight w:val="none"/>
              </w:rPr>
            </w:pPr>
            <w:r>
              <w:rPr>
                <w:color w:val="auto"/>
                <w:sz w:val="21"/>
                <w:szCs w:val="21"/>
                <w:highlight w:val="none"/>
              </w:rPr>
              <w:t>2～10</w:t>
            </w:r>
          </w:p>
        </w:tc>
        <w:tc>
          <w:tcPr>
            <w:tcW w:w="1071" w:type="dxa"/>
            <w:shd w:val="clear" w:color="auto" w:fill="auto"/>
            <w:vAlign w:val="center"/>
          </w:tcPr>
          <w:p w14:paraId="06A5CD79">
            <w:pPr>
              <w:keepNext/>
              <w:adjustRightInd w:val="0"/>
              <w:snapToGrid w:val="0"/>
              <w:jc w:val="center"/>
              <w:rPr>
                <w:color w:val="auto"/>
                <w:sz w:val="21"/>
                <w:szCs w:val="21"/>
                <w:highlight w:val="none"/>
              </w:rPr>
            </w:pPr>
            <w:r>
              <w:rPr>
                <w:color w:val="auto"/>
                <w:sz w:val="21"/>
                <w:szCs w:val="21"/>
                <w:highlight w:val="none"/>
              </w:rPr>
              <w:t>10～50</w:t>
            </w:r>
          </w:p>
        </w:tc>
        <w:tc>
          <w:tcPr>
            <w:tcW w:w="1222" w:type="dxa"/>
            <w:shd w:val="clear" w:color="auto" w:fill="auto"/>
            <w:vAlign w:val="center"/>
          </w:tcPr>
          <w:p w14:paraId="436DEE42">
            <w:pPr>
              <w:keepNext/>
              <w:adjustRightInd w:val="0"/>
              <w:snapToGrid w:val="0"/>
              <w:jc w:val="center"/>
              <w:rPr>
                <w:color w:val="auto"/>
                <w:sz w:val="21"/>
                <w:szCs w:val="21"/>
                <w:highlight w:val="none"/>
              </w:rPr>
            </w:pPr>
            <w:r>
              <w:rPr>
                <w:color w:val="auto"/>
                <w:sz w:val="21"/>
                <w:szCs w:val="21"/>
                <w:highlight w:val="none"/>
              </w:rPr>
              <w:t>50～100</w:t>
            </w:r>
          </w:p>
        </w:tc>
        <w:tc>
          <w:tcPr>
            <w:tcW w:w="1277" w:type="dxa"/>
            <w:shd w:val="clear" w:color="auto" w:fill="auto"/>
            <w:vAlign w:val="center"/>
          </w:tcPr>
          <w:p w14:paraId="13A9086E">
            <w:pPr>
              <w:keepNext/>
              <w:adjustRightInd w:val="0"/>
              <w:snapToGrid w:val="0"/>
              <w:jc w:val="center"/>
              <w:rPr>
                <w:color w:val="auto"/>
                <w:sz w:val="21"/>
                <w:szCs w:val="21"/>
                <w:highlight w:val="none"/>
              </w:rPr>
            </w:pPr>
            <w:r>
              <w:rPr>
                <w:color w:val="auto"/>
                <w:sz w:val="21"/>
                <w:szCs w:val="21"/>
                <w:highlight w:val="none"/>
              </w:rPr>
              <w:t>100以上</w:t>
            </w:r>
          </w:p>
        </w:tc>
      </w:tr>
      <w:tr w14:paraId="6979B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80" w:type="dxa"/>
            <w:shd w:val="clear" w:color="auto" w:fill="auto"/>
            <w:vAlign w:val="center"/>
          </w:tcPr>
          <w:p w14:paraId="6A456F78">
            <w:pPr>
              <w:keepNext/>
              <w:adjustRightInd w:val="0"/>
              <w:snapToGrid w:val="0"/>
              <w:jc w:val="center"/>
              <w:rPr>
                <w:color w:val="auto"/>
                <w:sz w:val="21"/>
                <w:szCs w:val="21"/>
                <w:highlight w:val="none"/>
              </w:rPr>
            </w:pPr>
            <w:r>
              <w:rPr>
                <w:color w:val="auto"/>
                <w:sz w:val="21"/>
                <w:szCs w:val="21"/>
                <w:highlight w:val="none"/>
              </w:rPr>
              <w:t>1</w:t>
            </w:r>
          </w:p>
        </w:tc>
        <w:tc>
          <w:tcPr>
            <w:tcW w:w="3669" w:type="dxa"/>
            <w:shd w:val="clear" w:color="auto" w:fill="auto"/>
            <w:vAlign w:val="center"/>
          </w:tcPr>
          <w:p w14:paraId="60DCE924">
            <w:pPr>
              <w:keepNext/>
              <w:adjustRightInd w:val="0"/>
              <w:snapToGrid w:val="0"/>
              <w:rPr>
                <w:color w:val="auto"/>
                <w:sz w:val="21"/>
                <w:szCs w:val="21"/>
                <w:highlight w:val="none"/>
              </w:rPr>
            </w:pPr>
            <w:r>
              <w:rPr>
                <w:color w:val="auto"/>
                <w:sz w:val="21"/>
                <w:szCs w:val="21"/>
                <w:highlight w:val="none"/>
              </w:rPr>
              <w:t>编制环境影响报告书（含大纲）</w:t>
            </w:r>
          </w:p>
        </w:tc>
        <w:tc>
          <w:tcPr>
            <w:tcW w:w="1067" w:type="dxa"/>
            <w:shd w:val="clear" w:color="auto" w:fill="auto"/>
            <w:vAlign w:val="center"/>
          </w:tcPr>
          <w:p w14:paraId="771E5E78">
            <w:pPr>
              <w:keepNext/>
              <w:adjustRightInd w:val="0"/>
              <w:snapToGrid w:val="0"/>
              <w:jc w:val="center"/>
              <w:rPr>
                <w:color w:val="auto"/>
                <w:sz w:val="21"/>
                <w:szCs w:val="21"/>
                <w:highlight w:val="none"/>
              </w:rPr>
            </w:pPr>
            <w:r>
              <w:rPr>
                <w:color w:val="auto"/>
                <w:sz w:val="21"/>
                <w:szCs w:val="21"/>
                <w:highlight w:val="none"/>
              </w:rPr>
              <w:t>15～35</w:t>
            </w:r>
          </w:p>
        </w:tc>
        <w:tc>
          <w:tcPr>
            <w:tcW w:w="1071" w:type="dxa"/>
            <w:shd w:val="clear" w:color="auto" w:fill="auto"/>
            <w:vAlign w:val="center"/>
          </w:tcPr>
          <w:p w14:paraId="1707634D">
            <w:pPr>
              <w:keepNext/>
              <w:adjustRightInd w:val="0"/>
              <w:snapToGrid w:val="0"/>
              <w:jc w:val="center"/>
              <w:rPr>
                <w:color w:val="auto"/>
                <w:sz w:val="21"/>
                <w:szCs w:val="21"/>
                <w:highlight w:val="none"/>
              </w:rPr>
            </w:pPr>
            <w:r>
              <w:rPr>
                <w:color w:val="auto"/>
                <w:sz w:val="21"/>
                <w:szCs w:val="21"/>
                <w:highlight w:val="none"/>
              </w:rPr>
              <w:t>35～75</w:t>
            </w:r>
          </w:p>
        </w:tc>
        <w:tc>
          <w:tcPr>
            <w:tcW w:w="1222" w:type="dxa"/>
            <w:shd w:val="clear" w:color="auto" w:fill="auto"/>
            <w:vAlign w:val="center"/>
          </w:tcPr>
          <w:p w14:paraId="0EA1F7F9">
            <w:pPr>
              <w:keepNext/>
              <w:adjustRightInd w:val="0"/>
              <w:snapToGrid w:val="0"/>
              <w:jc w:val="center"/>
              <w:rPr>
                <w:color w:val="auto"/>
                <w:sz w:val="21"/>
                <w:szCs w:val="21"/>
                <w:highlight w:val="none"/>
              </w:rPr>
            </w:pPr>
            <w:r>
              <w:rPr>
                <w:color w:val="auto"/>
                <w:sz w:val="21"/>
                <w:szCs w:val="21"/>
                <w:highlight w:val="none"/>
              </w:rPr>
              <w:t>75～110</w:t>
            </w:r>
          </w:p>
        </w:tc>
        <w:tc>
          <w:tcPr>
            <w:tcW w:w="1277" w:type="dxa"/>
            <w:shd w:val="clear" w:color="auto" w:fill="auto"/>
            <w:vAlign w:val="center"/>
          </w:tcPr>
          <w:p w14:paraId="3CED3275">
            <w:pPr>
              <w:keepNext/>
              <w:adjustRightInd w:val="0"/>
              <w:snapToGrid w:val="0"/>
              <w:jc w:val="center"/>
              <w:rPr>
                <w:color w:val="auto"/>
                <w:sz w:val="21"/>
                <w:szCs w:val="21"/>
                <w:highlight w:val="none"/>
              </w:rPr>
            </w:pPr>
            <w:r>
              <w:rPr>
                <w:color w:val="auto"/>
                <w:sz w:val="21"/>
                <w:szCs w:val="21"/>
                <w:highlight w:val="none"/>
              </w:rPr>
              <w:t>110</w:t>
            </w:r>
          </w:p>
        </w:tc>
      </w:tr>
      <w:tr w14:paraId="1CA95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80" w:type="dxa"/>
            <w:shd w:val="clear" w:color="auto" w:fill="auto"/>
            <w:vAlign w:val="center"/>
          </w:tcPr>
          <w:p w14:paraId="02842FDE">
            <w:pPr>
              <w:keepNext/>
              <w:adjustRightInd w:val="0"/>
              <w:snapToGrid w:val="0"/>
              <w:jc w:val="center"/>
              <w:rPr>
                <w:color w:val="auto"/>
                <w:sz w:val="21"/>
                <w:szCs w:val="21"/>
                <w:highlight w:val="none"/>
              </w:rPr>
            </w:pPr>
            <w:r>
              <w:rPr>
                <w:color w:val="auto"/>
                <w:sz w:val="21"/>
                <w:szCs w:val="21"/>
                <w:highlight w:val="none"/>
              </w:rPr>
              <w:t>2</w:t>
            </w:r>
          </w:p>
        </w:tc>
        <w:tc>
          <w:tcPr>
            <w:tcW w:w="3669" w:type="dxa"/>
            <w:shd w:val="clear" w:color="auto" w:fill="auto"/>
            <w:vAlign w:val="center"/>
          </w:tcPr>
          <w:p w14:paraId="79D3287C">
            <w:pPr>
              <w:keepNext/>
              <w:adjustRightInd w:val="0"/>
              <w:snapToGrid w:val="0"/>
              <w:rPr>
                <w:color w:val="auto"/>
                <w:sz w:val="21"/>
                <w:szCs w:val="21"/>
                <w:highlight w:val="none"/>
              </w:rPr>
            </w:pPr>
            <w:r>
              <w:rPr>
                <w:color w:val="auto"/>
                <w:sz w:val="21"/>
                <w:szCs w:val="21"/>
                <w:highlight w:val="none"/>
              </w:rPr>
              <w:t>编制环境影响报告表</w:t>
            </w:r>
          </w:p>
        </w:tc>
        <w:tc>
          <w:tcPr>
            <w:tcW w:w="1067" w:type="dxa"/>
            <w:shd w:val="clear" w:color="auto" w:fill="auto"/>
            <w:vAlign w:val="center"/>
          </w:tcPr>
          <w:p w14:paraId="74240DE4">
            <w:pPr>
              <w:keepNext/>
              <w:adjustRightInd w:val="0"/>
              <w:snapToGrid w:val="0"/>
              <w:jc w:val="center"/>
              <w:rPr>
                <w:color w:val="auto"/>
                <w:sz w:val="21"/>
                <w:szCs w:val="21"/>
                <w:highlight w:val="none"/>
              </w:rPr>
            </w:pPr>
            <w:r>
              <w:rPr>
                <w:color w:val="auto"/>
                <w:sz w:val="21"/>
                <w:szCs w:val="21"/>
                <w:highlight w:val="none"/>
              </w:rPr>
              <w:t>4～7</w:t>
            </w:r>
          </w:p>
        </w:tc>
        <w:tc>
          <w:tcPr>
            <w:tcW w:w="3570" w:type="dxa"/>
            <w:gridSpan w:val="3"/>
            <w:shd w:val="clear" w:color="auto" w:fill="auto"/>
            <w:vAlign w:val="center"/>
          </w:tcPr>
          <w:p w14:paraId="60D73FB0">
            <w:pPr>
              <w:keepNext/>
              <w:adjustRightInd w:val="0"/>
              <w:snapToGrid w:val="0"/>
              <w:jc w:val="center"/>
              <w:rPr>
                <w:color w:val="auto"/>
                <w:sz w:val="21"/>
                <w:szCs w:val="21"/>
                <w:highlight w:val="none"/>
              </w:rPr>
            </w:pPr>
            <w:r>
              <w:rPr>
                <w:color w:val="auto"/>
                <w:sz w:val="21"/>
                <w:szCs w:val="21"/>
                <w:highlight w:val="none"/>
              </w:rPr>
              <w:t>7以上</w:t>
            </w:r>
          </w:p>
        </w:tc>
      </w:tr>
      <w:tr w14:paraId="76C51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80" w:type="dxa"/>
            <w:shd w:val="clear" w:color="auto" w:fill="auto"/>
            <w:vAlign w:val="center"/>
          </w:tcPr>
          <w:p w14:paraId="60FE3112">
            <w:pPr>
              <w:adjustRightInd w:val="0"/>
              <w:snapToGrid w:val="0"/>
              <w:jc w:val="center"/>
              <w:rPr>
                <w:color w:val="auto"/>
                <w:sz w:val="21"/>
                <w:szCs w:val="21"/>
                <w:highlight w:val="none"/>
              </w:rPr>
            </w:pPr>
            <w:r>
              <w:rPr>
                <w:color w:val="auto"/>
                <w:sz w:val="21"/>
                <w:szCs w:val="21"/>
                <w:highlight w:val="none"/>
              </w:rPr>
              <w:t>3</w:t>
            </w:r>
          </w:p>
        </w:tc>
        <w:tc>
          <w:tcPr>
            <w:tcW w:w="3669" w:type="dxa"/>
            <w:shd w:val="clear" w:color="auto" w:fill="auto"/>
            <w:vAlign w:val="center"/>
          </w:tcPr>
          <w:p w14:paraId="08C95641">
            <w:pPr>
              <w:adjustRightInd w:val="0"/>
              <w:snapToGrid w:val="0"/>
              <w:rPr>
                <w:color w:val="auto"/>
                <w:sz w:val="21"/>
                <w:szCs w:val="21"/>
                <w:highlight w:val="none"/>
              </w:rPr>
            </w:pPr>
            <w:r>
              <w:rPr>
                <w:color w:val="auto"/>
                <w:sz w:val="21"/>
                <w:szCs w:val="21"/>
                <w:highlight w:val="none"/>
              </w:rPr>
              <w:t>编制环境影响登记表</w:t>
            </w:r>
          </w:p>
        </w:tc>
        <w:tc>
          <w:tcPr>
            <w:tcW w:w="1067" w:type="dxa"/>
            <w:shd w:val="clear" w:color="auto" w:fill="auto"/>
            <w:vAlign w:val="center"/>
          </w:tcPr>
          <w:p w14:paraId="343A3E38">
            <w:pPr>
              <w:adjustRightInd w:val="0"/>
              <w:snapToGrid w:val="0"/>
              <w:jc w:val="center"/>
              <w:rPr>
                <w:color w:val="auto"/>
                <w:sz w:val="21"/>
                <w:szCs w:val="21"/>
                <w:highlight w:val="none"/>
              </w:rPr>
            </w:pPr>
            <w:r>
              <w:rPr>
                <w:color w:val="auto"/>
                <w:sz w:val="21"/>
                <w:szCs w:val="21"/>
                <w:highlight w:val="none"/>
              </w:rPr>
              <w:t>3～4</w:t>
            </w:r>
          </w:p>
        </w:tc>
        <w:tc>
          <w:tcPr>
            <w:tcW w:w="3570" w:type="dxa"/>
            <w:gridSpan w:val="3"/>
            <w:shd w:val="clear" w:color="auto" w:fill="auto"/>
            <w:vAlign w:val="center"/>
          </w:tcPr>
          <w:p w14:paraId="09B7B9D1">
            <w:pPr>
              <w:adjustRightInd w:val="0"/>
              <w:snapToGrid w:val="0"/>
              <w:jc w:val="center"/>
              <w:rPr>
                <w:color w:val="auto"/>
                <w:sz w:val="21"/>
                <w:szCs w:val="21"/>
                <w:highlight w:val="none"/>
              </w:rPr>
            </w:pPr>
            <w:r>
              <w:rPr>
                <w:color w:val="auto"/>
                <w:sz w:val="21"/>
                <w:szCs w:val="21"/>
                <w:highlight w:val="none"/>
              </w:rPr>
              <w:t>4以上</w:t>
            </w:r>
          </w:p>
        </w:tc>
      </w:tr>
      <w:tr w14:paraId="03141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80" w:type="dxa"/>
            <w:shd w:val="clear" w:color="auto" w:fill="auto"/>
            <w:vAlign w:val="center"/>
          </w:tcPr>
          <w:p w14:paraId="33D6926A">
            <w:pPr>
              <w:adjustRightInd w:val="0"/>
              <w:snapToGrid w:val="0"/>
              <w:jc w:val="center"/>
              <w:rPr>
                <w:color w:val="auto"/>
                <w:sz w:val="21"/>
                <w:szCs w:val="21"/>
                <w:highlight w:val="none"/>
              </w:rPr>
            </w:pPr>
            <w:r>
              <w:rPr>
                <w:color w:val="auto"/>
                <w:sz w:val="21"/>
                <w:szCs w:val="21"/>
                <w:highlight w:val="none"/>
              </w:rPr>
              <w:t>4</w:t>
            </w:r>
          </w:p>
        </w:tc>
        <w:tc>
          <w:tcPr>
            <w:tcW w:w="3669" w:type="dxa"/>
            <w:shd w:val="clear" w:color="auto" w:fill="auto"/>
            <w:vAlign w:val="center"/>
          </w:tcPr>
          <w:p w14:paraId="66DB5D9C">
            <w:pPr>
              <w:adjustRightInd w:val="0"/>
              <w:snapToGrid w:val="0"/>
              <w:rPr>
                <w:color w:val="auto"/>
                <w:sz w:val="21"/>
                <w:szCs w:val="21"/>
                <w:highlight w:val="none"/>
              </w:rPr>
            </w:pPr>
            <w:r>
              <w:rPr>
                <w:color w:val="auto"/>
                <w:sz w:val="21"/>
                <w:szCs w:val="21"/>
                <w:highlight w:val="none"/>
              </w:rPr>
              <w:t>评估环境影响报告书（含大纲）</w:t>
            </w:r>
          </w:p>
        </w:tc>
        <w:tc>
          <w:tcPr>
            <w:tcW w:w="1067" w:type="dxa"/>
            <w:shd w:val="clear" w:color="auto" w:fill="auto"/>
            <w:vAlign w:val="center"/>
          </w:tcPr>
          <w:p w14:paraId="3F4CE71D">
            <w:pPr>
              <w:adjustRightInd w:val="0"/>
              <w:snapToGrid w:val="0"/>
              <w:jc w:val="center"/>
              <w:rPr>
                <w:color w:val="auto"/>
                <w:sz w:val="21"/>
                <w:szCs w:val="21"/>
                <w:highlight w:val="none"/>
              </w:rPr>
            </w:pPr>
            <w:r>
              <w:rPr>
                <w:color w:val="auto"/>
                <w:sz w:val="21"/>
                <w:szCs w:val="21"/>
                <w:highlight w:val="none"/>
              </w:rPr>
              <w:t>3～7</w:t>
            </w:r>
          </w:p>
        </w:tc>
        <w:tc>
          <w:tcPr>
            <w:tcW w:w="1071" w:type="dxa"/>
            <w:shd w:val="clear" w:color="auto" w:fill="auto"/>
            <w:vAlign w:val="center"/>
          </w:tcPr>
          <w:p w14:paraId="639CCAEB">
            <w:pPr>
              <w:adjustRightInd w:val="0"/>
              <w:snapToGrid w:val="0"/>
              <w:jc w:val="center"/>
              <w:rPr>
                <w:color w:val="auto"/>
                <w:sz w:val="21"/>
                <w:szCs w:val="21"/>
                <w:highlight w:val="none"/>
              </w:rPr>
            </w:pPr>
            <w:r>
              <w:rPr>
                <w:color w:val="auto"/>
                <w:sz w:val="21"/>
                <w:szCs w:val="21"/>
                <w:highlight w:val="none"/>
              </w:rPr>
              <w:t>7～9</w:t>
            </w:r>
          </w:p>
        </w:tc>
        <w:tc>
          <w:tcPr>
            <w:tcW w:w="1222" w:type="dxa"/>
            <w:shd w:val="clear" w:color="auto" w:fill="auto"/>
            <w:vAlign w:val="center"/>
          </w:tcPr>
          <w:p w14:paraId="2112656C">
            <w:pPr>
              <w:adjustRightInd w:val="0"/>
              <w:snapToGrid w:val="0"/>
              <w:jc w:val="center"/>
              <w:rPr>
                <w:color w:val="auto"/>
                <w:sz w:val="21"/>
                <w:szCs w:val="21"/>
                <w:highlight w:val="none"/>
              </w:rPr>
            </w:pPr>
            <w:r>
              <w:rPr>
                <w:color w:val="auto"/>
                <w:sz w:val="21"/>
                <w:szCs w:val="21"/>
                <w:highlight w:val="none"/>
              </w:rPr>
              <w:t>9～13</w:t>
            </w:r>
          </w:p>
        </w:tc>
        <w:tc>
          <w:tcPr>
            <w:tcW w:w="1277" w:type="dxa"/>
            <w:shd w:val="clear" w:color="auto" w:fill="auto"/>
            <w:vAlign w:val="center"/>
          </w:tcPr>
          <w:p w14:paraId="6B5E448E">
            <w:pPr>
              <w:adjustRightInd w:val="0"/>
              <w:snapToGrid w:val="0"/>
              <w:jc w:val="center"/>
              <w:rPr>
                <w:color w:val="auto"/>
                <w:sz w:val="21"/>
                <w:szCs w:val="21"/>
                <w:highlight w:val="none"/>
              </w:rPr>
            </w:pPr>
            <w:r>
              <w:rPr>
                <w:color w:val="auto"/>
                <w:sz w:val="21"/>
                <w:szCs w:val="21"/>
                <w:highlight w:val="none"/>
              </w:rPr>
              <w:t>13以上</w:t>
            </w:r>
          </w:p>
        </w:tc>
      </w:tr>
      <w:tr w14:paraId="7ADB2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80" w:type="dxa"/>
            <w:shd w:val="clear" w:color="auto" w:fill="auto"/>
            <w:vAlign w:val="center"/>
          </w:tcPr>
          <w:p w14:paraId="0DF3E88B">
            <w:pPr>
              <w:adjustRightInd w:val="0"/>
              <w:snapToGrid w:val="0"/>
              <w:jc w:val="center"/>
              <w:rPr>
                <w:color w:val="auto"/>
                <w:sz w:val="21"/>
                <w:szCs w:val="21"/>
                <w:highlight w:val="none"/>
              </w:rPr>
            </w:pPr>
            <w:r>
              <w:rPr>
                <w:color w:val="auto"/>
                <w:sz w:val="21"/>
                <w:szCs w:val="21"/>
                <w:highlight w:val="none"/>
              </w:rPr>
              <w:t>5</w:t>
            </w:r>
          </w:p>
        </w:tc>
        <w:tc>
          <w:tcPr>
            <w:tcW w:w="3669" w:type="dxa"/>
            <w:shd w:val="clear" w:color="auto" w:fill="auto"/>
            <w:vAlign w:val="center"/>
          </w:tcPr>
          <w:p w14:paraId="5902AD19">
            <w:pPr>
              <w:adjustRightInd w:val="0"/>
              <w:snapToGrid w:val="0"/>
              <w:rPr>
                <w:color w:val="auto"/>
                <w:sz w:val="21"/>
                <w:szCs w:val="21"/>
                <w:highlight w:val="none"/>
              </w:rPr>
            </w:pPr>
            <w:r>
              <w:rPr>
                <w:color w:val="auto"/>
                <w:sz w:val="21"/>
                <w:szCs w:val="21"/>
                <w:highlight w:val="none"/>
              </w:rPr>
              <w:t>评估环境影响报告表</w:t>
            </w:r>
          </w:p>
        </w:tc>
        <w:tc>
          <w:tcPr>
            <w:tcW w:w="1067" w:type="dxa"/>
            <w:shd w:val="clear" w:color="auto" w:fill="auto"/>
            <w:vAlign w:val="center"/>
          </w:tcPr>
          <w:p w14:paraId="364347F6">
            <w:pPr>
              <w:adjustRightInd w:val="0"/>
              <w:snapToGrid w:val="0"/>
              <w:jc w:val="center"/>
              <w:rPr>
                <w:color w:val="auto"/>
                <w:sz w:val="21"/>
                <w:szCs w:val="21"/>
                <w:highlight w:val="none"/>
              </w:rPr>
            </w:pPr>
            <w:r>
              <w:rPr>
                <w:color w:val="auto"/>
                <w:sz w:val="21"/>
                <w:szCs w:val="21"/>
                <w:highlight w:val="none"/>
              </w:rPr>
              <w:t>1.5～2</w:t>
            </w:r>
          </w:p>
        </w:tc>
        <w:tc>
          <w:tcPr>
            <w:tcW w:w="3570" w:type="dxa"/>
            <w:gridSpan w:val="3"/>
            <w:shd w:val="clear" w:color="auto" w:fill="auto"/>
            <w:vAlign w:val="center"/>
          </w:tcPr>
          <w:p w14:paraId="5BB0942F">
            <w:pPr>
              <w:adjustRightInd w:val="0"/>
              <w:snapToGrid w:val="0"/>
              <w:jc w:val="center"/>
              <w:rPr>
                <w:color w:val="auto"/>
                <w:sz w:val="21"/>
                <w:szCs w:val="21"/>
                <w:highlight w:val="none"/>
              </w:rPr>
            </w:pPr>
            <w:r>
              <w:rPr>
                <w:color w:val="auto"/>
                <w:sz w:val="21"/>
                <w:szCs w:val="21"/>
                <w:highlight w:val="none"/>
              </w:rPr>
              <w:t>2以上</w:t>
            </w:r>
          </w:p>
        </w:tc>
      </w:tr>
      <w:tr w14:paraId="32546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80" w:type="dxa"/>
            <w:shd w:val="clear" w:color="auto" w:fill="auto"/>
            <w:vAlign w:val="center"/>
          </w:tcPr>
          <w:p w14:paraId="67364464">
            <w:pPr>
              <w:keepNext/>
              <w:adjustRightInd w:val="0"/>
              <w:snapToGrid w:val="0"/>
              <w:jc w:val="center"/>
              <w:rPr>
                <w:color w:val="auto"/>
                <w:sz w:val="21"/>
                <w:szCs w:val="21"/>
                <w:highlight w:val="none"/>
              </w:rPr>
            </w:pPr>
            <w:r>
              <w:rPr>
                <w:color w:val="auto"/>
                <w:sz w:val="21"/>
                <w:szCs w:val="21"/>
                <w:highlight w:val="none"/>
              </w:rPr>
              <w:t>6</w:t>
            </w:r>
          </w:p>
        </w:tc>
        <w:tc>
          <w:tcPr>
            <w:tcW w:w="3669" w:type="dxa"/>
            <w:shd w:val="clear" w:color="auto" w:fill="auto"/>
            <w:vAlign w:val="center"/>
          </w:tcPr>
          <w:p w14:paraId="2230E93A">
            <w:pPr>
              <w:keepNext/>
              <w:adjustRightInd w:val="0"/>
              <w:snapToGrid w:val="0"/>
              <w:rPr>
                <w:color w:val="auto"/>
                <w:sz w:val="21"/>
                <w:szCs w:val="21"/>
                <w:highlight w:val="none"/>
              </w:rPr>
            </w:pPr>
            <w:r>
              <w:rPr>
                <w:color w:val="auto"/>
                <w:sz w:val="21"/>
                <w:szCs w:val="21"/>
                <w:highlight w:val="none"/>
              </w:rPr>
              <w:t>评估环境影响登记表</w:t>
            </w:r>
          </w:p>
        </w:tc>
        <w:tc>
          <w:tcPr>
            <w:tcW w:w="1067" w:type="dxa"/>
            <w:shd w:val="clear" w:color="auto" w:fill="auto"/>
            <w:vAlign w:val="center"/>
          </w:tcPr>
          <w:p w14:paraId="59CF323E">
            <w:pPr>
              <w:keepNext/>
              <w:adjustRightInd w:val="0"/>
              <w:snapToGrid w:val="0"/>
              <w:jc w:val="center"/>
              <w:rPr>
                <w:color w:val="auto"/>
                <w:sz w:val="21"/>
                <w:szCs w:val="21"/>
                <w:highlight w:val="none"/>
              </w:rPr>
            </w:pPr>
            <w:r>
              <w:rPr>
                <w:color w:val="auto"/>
                <w:sz w:val="21"/>
                <w:szCs w:val="21"/>
                <w:highlight w:val="none"/>
              </w:rPr>
              <w:t>1～1.5</w:t>
            </w:r>
          </w:p>
        </w:tc>
        <w:tc>
          <w:tcPr>
            <w:tcW w:w="3570" w:type="dxa"/>
            <w:gridSpan w:val="3"/>
            <w:shd w:val="clear" w:color="auto" w:fill="auto"/>
            <w:vAlign w:val="center"/>
          </w:tcPr>
          <w:p w14:paraId="2AC64FC1">
            <w:pPr>
              <w:keepNext/>
              <w:adjustRightInd w:val="0"/>
              <w:snapToGrid w:val="0"/>
              <w:jc w:val="center"/>
              <w:rPr>
                <w:color w:val="auto"/>
                <w:sz w:val="21"/>
                <w:szCs w:val="21"/>
                <w:highlight w:val="none"/>
              </w:rPr>
            </w:pPr>
            <w:r>
              <w:rPr>
                <w:color w:val="auto"/>
                <w:sz w:val="21"/>
                <w:szCs w:val="21"/>
                <w:highlight w:val="none"/>
              </w:rPr>
              <w:t>1.5以上</w:t>
            </w:r>
          </w:p>
        </w:tc>
      </w:tr>
    </w:tbl>
    <w:p w14:paraId="616DFAF4">
      <w:pPr>
        <w:spacing w:line="360" w:lineRule="exact"/>
        <w:ind w:left="420" w:hanging="420" w:hangingChars="200"/>
        <w:rPr>
          <w:rFonts w:eastAsia="仿宋_GB2312"/>
          <w:color w:val="auto"/>
          <w:sz w:val="21"/>
          <w:szCs w:val="24"/>
          <w:highlight w:val="none"/>
        </w:rPr>
      </w:pPr>
      <w:r>
        <w:rPr>
          <w:rFonts w:eastAsia="仿宋_GB2312"/>
          <w:color w:val="auto"/>
          <w:sz w:val="21"/>
          <w:szCs w:val="24"/>
          <w:highlight w:val="none"/>
        </w:rPr>
        <w:t>注：①建设项目估算投资额：是指建设规划或可行性研究报告的估算投资额。</w:t>
      </w:r>
    </w:p>
    <w:p w14:paraId="0C6B9AB4">
      <w:pPr>
        <w:spacing w:line="360" w:lineRule="exact"/>
        <w:ind w:left="420"/>
        <w:rPr>
          <w:rFonts w:eastAsia="仿宋_GB2312"/>
          <w:color w:val="auto"/>
          <w:sz w:val="21"/>
          <w:szCs w:val="24"/>
          <w:highlight w:val="none"/>
        </w:rPr>
      </w:pPr>
      <w:r>
        <w:rPr>
          <w:rFonts w:eastAsia="仿宋_GB2312"/>
          <w:color w:val="auto"/>
          <w:sz w:val="21"/>
          <w:szCs w:val="24"/>
          <w:highlight w:val="none"/>
        </w:rPr>
        <w:t>②评估环境影响报告书（含大纲）的费用不含专家参加审查会议的差旅费；环境影响评价大纲的技术评估费用占环境影响报告书评估费用的40％；</w:t>
      </w:r>
    </w:p>
    <w:p w14:paraId="04573CE8">
      <w:pPr>
        <w:spacing w:line="360" w:lineRule="exact"/>
        <w:ind w:left="420"/>
        <w:rPr>
          <w:rFonts w:eastAsia="仿宋_GB2312"/>
          <w:color w:val="auto"/>
          <w:sz w:val="21"/>
          <w:szCs w:val="24"/>
          <w:highlight w:val="none"/>
        </w:rPr>
      </w:pPr>
      <w:r>
        <w:rPr>
          <w:rFonts w:eastAsia="仿宋_GB2312"/>
          <w:color w:val="auto"/>
          <w:sz w:val="21"/>
          <w:szCs w:val="24"/>
          <w:highlight w:val="none"/>
        </w:rPr>
        <w:t>③本表所列编制环境影响报告表收费标准为不设评价专题的基准价，每增加一个专题加收50％；</w:t>
      </w:r>
    </w:p>
    <w:p w14:paraId="5CB17F38">
      <w:pPr>
        <w:spacing w:line="360" w:lineRule="exact"/>
        <w:ind w:left="420"/>
        <w:rPr>
          <w:rFonts w:eastAsia="仿宋_GB2312"/>
          <w:color w:val="auto"/>
          <w:sz w:val="21"/>
          <w:szCs w:val="24"/>
          <w:highlight w:val="none"/>
        </w:rPr>
      </w:pPr>
      <w:r>
        <w:rPr>
          <w:rFonts w:eastAsia="仿宋_GB2312"/>
          <w:color w:val="auto"/>
          <w:sz w:val="21"/>
          <w:szCs w:val="24"/>
          <w:highlight w:val="none"/>
        </w:rPr>
        <w:t>④本表中费用不包括遥感、遥测、风洞试验、污染气象观测、示踪试验、地探、物探、卫星图片解读、需要动用船、飞机等特殊监测等费用。</w:t>
      </w:r>
    </w:p>
    <w:p w14:paraId="174D5A35">
      <w:pPr>
        <w:ind w:firstLine="560" w:firstLineChars="200"/>
        <w:textAlignment w:val="center"/>
        <w:outlineLvl w:val="4"/>
        <w:rPr>
          <w:rFonts w:eastAsia="楷体"/>
          <w:color w:val="auto"/>
          <w:highlight w:val="none"/>
        </w:rPr>
      </w:pPr>
      <w:bookmarkStart w:id="123" w:name="_Toc149827378"/>
      <w:r>
        <w:rPr>
          <w:rFonts w:eastAsia="楷体"/>
          <w:color w:val="auto"/>
          <w:highlight w:val="none"/>
        </w:rPr>
        <w:t>3．客流预测报告费</w:t>
      </w:r>
      <w:bookmarkEnd w:id="123"/>
    </w:p>
    <w:p w14:paraId="1183298E">
      <w:pPr>
        <w:ind w:firstLine="560" w:firstLineChars="200"/>
        <w:textAlignment w:val="center"/>
        <w:rPr>
          <w:color w:val="auto"/>
          <w:highlight w:val="none"/>
        </w:rPr>
      </w:pPr>
      <w:r>
        <w:rPr>
          <w:color w:val="auto"/>
          <w:highlight w:val="none"/>
        </w:rPr>
        <w:t>（1）费用内容</w:t>
      </w:r>
    </w:p>
    <w:p w14:paraId="60F72563">
      <w:pPr>
        <w:ind w:firstLine="560" w:firstLineChars="200"/>
        <w:textAlignment w:val="center"/>
        <w:rPr>
          <w:color w:val="auto"/>
          <w:highlight w:val="none"/>
        </w:rPr>
      </w:pPr>
      <w:r>
        <w:rPr>
          <w:color w:val="auto"/>
          <w:highlight w:val="none"/>
        </w:rPr>
        <w:t>客流预测报告费：是指以城市、社会经济、人口、土地使用、交通等方面的现状和规划基础资料为依据，利用交通模型等技术手段，预测各目标年限城市轨道交通网络或线路相关客流指标，编制和评估客流预测报告所需的费用。</w:t>
      </w:r>
    </w:p>
    <w:p w14:paraId="4B58B8E7">
      <w:pPr>
        <w:ind w:firstLine="560" w:firstLineChars="200"/>
        <w:textAlignment w:val="center"/>
        <w:rPr>
          <w:color w:val="auto"/>
          <w:highlight w:val="none"/>
        </w:rPr>
      </w:pPr>
      <w:r>
        <w:rPr>
          <w:color w:val="auto"/>
          <w:highlight w:val="none"/>
        </w:rPr>
        <w:t>（2）计算方法</w:t>
      </w:r>
    </w:p>
    <w:p w14:paraId="7BEBDB52">
      <w:pPr>
        <w:ind w:firstLine="560" w:firstLineChars="200"/>
        <w:textAlignment w:val="center"/>
        <w:rPr>
          <w:color w:val="auto"/>
          <w:highlight w:val="none"/>
        </w:rPr>
      </w:pPr>
      <w:r>
        <w:rPr>
          <w:color w:val="auto"/>
          <w:highlight w:val="none"/>
        </w:rPr>
        <w:t>编制费用参照表4-3计费标准计列，评估费用</w:t>
      </w:r>
      <w:r>
        <w:rPr>
          <w:rFonts w:hint="eastAsia"/>
          <w:color w:val="auto"/>
          <w:highlight w:val="none"/>
        </w:rPr>
        <w:t>参照</w:t>
      </w:r>
      <w:r>
        <w:rPr>
          <w:color w:val="auto"/>
          <w:highlight w:val="none"/>
        </w:rPr>
        <w:t>相关合同计列。</w:t>
      </w:r>
    </w:p>
    <w:p w14:paraId="10B39E94">
      <w:pPr>
        <w:jc w:val="center"/>
        <w:rPr>
          <w:rFonts w:eastAsia="黑体"/>
          <w:color w:val="auto"/>
          <w:sz w:val="26"/>
          <w:szCs w:val="26"/>
          <w:highlight w:val="none"/>
        </w:rPr>
      </w:pPr>
      <w:bookmarkStart w:id="124" w:name="_Toc149827379"/>
      <w:r>
        <w:rPr>
          <w:rFonts w:eastAsia="黑体"/>
          <w:color w:val="auto"/>
          <w:sz w:val="26"/>
          <w:szCs w:val="26"/>
          <w:highlight w:val="none"/>
        </w:rPr>
        <w:t>表4-3 客流预测报告编制计费</w:t>
      </w:r>
      <w:bookmarkEnd w:id="124"/>
    </w:p>
    <w:tbl>
      <w:tblPr>
        <w:tblStyle w:val="24"/>
        <w:tblW w:w="91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176"/>
        <w:gridCol w:w="3368"/>
        <w:gridCol w:w="4642"/>
      </w:tblGrid>
      <w:tr w14:paraId="70BB8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76" w:type="dxa"/>
            <w:shd w:val="clear" w:color="auto" w:fill="auto"/>
            <w:vAlign w:val="center"/>
          </w:tcPr>
          <w:p w14:paraId="5803D1B8">
            <w:pPr>
              <w:keepNext/>
              <w:adjustRightInd w:val="0"/>
              <w:snapToGrid w:val="0"/>
              <w:jc w:val="center"/>
              <w:rPr>
                <w:color w:val="auto"/>
                <w:sz w:val="21"/>
                <w:szCs w:val="21"/>
                <w:highlight w:val="none"/>
              </w:rPr>
            </w:pPr>
            <w:r>
              <w:rPr>
                <w:color w:val="auto"/>
                <w:sz w:val="21"/>
                <w:szCs w:val="21"/>
                <w:highlight w:val="none"/>
              </w:rPr>
              <w:t>序号</w:t>
            </w:r>
          </w:p>
        </w:tc>
        <w:tc>
          <w:tcPr>
            <w:tcW w:w="3368" w:type="dxa"/>
            <w:shd w:val="clear" w:color="auto" w:fill="auto"/>
            <w:vAlign w:val="center"/>
          </w:tcPr>
          <w:p w14:paraId="62C55AD3">
            <w:pPr>
              <w:keepNext/>
              <w:adjustRightInd w:val="0"/>
              <w:snapToGrid w:val="0"/>
              <w:jc w:val="center"/>
              <w:rPr>
                <w:color w:val="auto"/>
                <w:sz w:val="21"/>
                <w:szCs w:val="21"/>
                <w:highlight w:val="none"/>
              </w:rPr>
            </w:pPr>
            <w:r>
              <w:rPr>
                <w:color w:val="auto"/>
                <w:sz w:val="21"/>
                <w:szCs w:val="21"/>
                <w:highlight w:val="none"/>
              </w:rPr>
              <w:t>工作阶段</w:t>
            </w:r>
          </w:p>
        </w:tc>
        <w:tc>
          <w:tcPr>
            <w:tcW w:w="4642" w:type="dxa"/>
            <w:shd w:val="clear" w:color="auto" w:fill="auto"/>
            <w:vAlign w:val="center"/>
          </w:tcPr>
          <w:p w14:paraId="4E35064A">
            <w:pPr>
              <w:keepNext/>
              <w:adjustRightInd w:val="0"/>
              <w:snapToGrid w:val="0"/>
              <w:jc w:val="center"/>
              <w:rPr>
                <w:color w:val="auto"/>
                <w:sz w:val="21"/>
                <w:szCs w:val="21"/>
                <w:highlight w:val="none"/>
              </w:rPr>
            </w:pPr>
            <w:r>
              <w:rPr>
                <w:color w:val="auto"/>
                <w:sz w:val="21"/>
                <w:szCs w:val="21"/>
                <w:highlight w:val="none"/>
              </w:rPr>
              <w:t>计费标准</w:t>
            </w:r>
          </w:p>
        </w:tc>
      </w:tr>
      <w:tr w14:paraId="65C2C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76" w:type="dxa"/>
            <w:shd w:val="clear" w:color="auto" w:fill="auto"/>
            <w:vAlign w:val="center"/>
          </w:tcPr>
          <w:p w14:paraId="2572B27B">
            <w:pPr>
              <w:keepNext/>
              <w:adjustRightInd w:val="0"/>
              <w:snapToGrid w:val="0"/>
              <w:jc w:val="center"/>
              <w:rPr>
                <w:color w:val="auto"/>
                <w:sz w:val="21"/>
                <w:szCs w:val="21"/>
                <w:highlight w:val="none"/>
              </w:rPr>
            </w:pPr>
            <w:r>
              <w:rPr>
                <w:color w:val="auto"/>
                <w:sz w:val="21"/>
                <w:szCs w:val="21"/>
                <w:highlight w:val="none"/>
              </w:rPr>
              <w:t>1</w:t>
            </w:r>
          </w:p>
        </w:tc>
        <w:tc>
          <w:tcPr>
            <w:tcW w:w="3368" w:type="dxa"/>
            <w:shd w:val="clear" w:color="auto" w:fill="auto"/>
            <w:vAlign w:val="center"/>
          </w:tcPr>
          <w:p w14:paraId="66E5F2C0">
            <w:pPr>
              <w:keepNext/>
              <w:adjustRightInd w:val="0"/>
              <w:snapToGrid w:val="0"/>
              <w:jc w:val="center"/>
              <w:rPr>
                <w:color w:val="auto"/>
                <w:sz w:val="21"/>
                <w:szCs w:val="21"/>
                <w:highlight w:val="none"/>
              </w:rPr>
            </w:pPr>
            <w:r>
              <w:rPr>
                <w:color w:val="auto"/>
                <w:sz w:val="21"/>
                <w:szCs w:val="21"/>
                <w:highlight w:val="none"/>
              </w:rPr>
              <w:t>线网规划阶段</w:t>
            </w:r>
          </w:p>
        </w:tc>
        <w:tc>
          <w:tcPr>
            <w:tcW w:w="4642" w:type="dxa"/>
            <w:vMerge w:val="restart"/>
            <w:shd w:val="clear" w:color="auto" w:fill="auto"/>
            <w:vAlign w:val="center"/>
          </w:tcPr>
          <w:p w14:paraId="0813DC03">
            <w:pPr>
              <w:keepNext/>
              <w:adjustRightInd w:val="0"/>
              <w:snapToGrid w:val="0"/>
              <w:jc w:val="center"/>
              <w:rPr>
                <w:color w:val="auto"/>
                <w:sz w:val="21"/>
                <w:szCs w:val="21"/>
                <w:highlight w:val="none"/>
              </w:rPr>
            </w:pPr>
            <w:r>
              <w:rPr>
                <w:color w:val="auto"/>
                <w:sz w:val="21"/>
                <w:szCs w:val="21"/>
                <w:highlight w:val="none"/>
              </w:rPr>
              <w:t>按相应阶段主报告编制费用的30%～40%计取</w:t>
            </w:r>
          </w:p>
        </w:tc>
      </w:tr>
      <w:tr w14:paraId="18CDA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76" w:type="dxa"/>
            <w:shd w:val="clear" w:color="auto" w:fill="auto"/>
            <w:vAlign w:val="center"/>
          </w:tcPr>
          <w:p w14:paraId="5388DA5C">
            <w:pPr>
              <w:keepNext/>
              <w:adjustRightInd w:val="0"/>
              <w:snapToGrid w:val="0"/>
              <w:jc w:val="center"/>
              <w:rPr>
                <w:color w:val="auto"/>
                <w:sz w:val="21"/>
                <w:szCs w:val="21"/>
                <w:highlight w:val="none"/>
              </w:rPr>
            </w:pPr>
            <w:r>
              <w:rPr>
                <w:color w:val="auto"/>
                <w:sz w:val="21"/>
                <w:szCs w:val="21"/>
                <w:highlight w:val="none"/>
              </w:rPr>
              <w:t>2</w:t>
            </w:r>
          </w:p>
        </w:tc>
        <w:tc>
          <w:tcPr>
            <w:tcW w:w="3368" w:type="dxa"/>
            <w:shd w:val="clear" w:color="auto" w:fill="auto"/>
            <w:vAlign w:val="center"/>
          </w:tcPr>
          <w:p w14:paraId="3E458C9E">
            <w:pPr>
              <w:keepNext/>
              <w:adjustRightInd w:val="0"/>
              <w:snapToGrid w:val="0"/>
              <w:jc w:val="center"/>
              <w:rPr>
                <w:color w:val="auto"/>
                <w:sz w:val="21"/>
                <w:szCs w:val="21"/>
                <w:highlight w:val="none"/>
              </w:rPr>
            </w:pPr>
            <w:r>
              <w:rPr>
                <w:color w:val="auto"/>
                <w:sz w:val="21"/>
                <w:szCs w:val="21"/>
                <w:highlight w:val="none"/>
              </w:rPr>
              <w:t>近期建设规划阶段</w:t>
            </w:r>
          </w:p>
        </w:tc>
        <w:tc>
          <w:tcPr>
            <w:tcW w:w="4642" w:type="dxa"/>
            <w:vMerge w:val="continue"/>
            <w:shd w:val="clear" w:color="auto" w:fill="auto"/>
            <w:vAlign w:val="center"/>
          </w:tcPr>
          <w:p w14:paraId="0E6E0760">
            <w:pPr>
              <w:keepNext/>
              <w:adjustRightInd w:val="0"/>
              <w:snapToGrid w:val="0"/>
              <w:jc w:val="center"/>
              <w:rPr>
                <w:color w:val="auto"/>
                <w:sz w:val="21"/>
                <w:szCs w:val="21"/>
                <w:highlight w:val="none"/>
              </w:rPr>
            </w:pPr>
          </w:p>
        </w:tc>
      </w:tr>
      <w:tr w14:paraId="39BD6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76" w:type="dxa"/>
            <w:shd w:val="clear" w:color="auto" w:fill="auto"/>
            <w:vAlign w:val="center"/>
          </w:tcPr>
          <w:p w14:paraId="74F98372">
            <w:pPr>
              <w:adjustRightInd w:val="0"/>
              <w:snapToGrid w:val="0"/>
              <w:jc w:val="center"/>
              <w:rPr>
                <w:color w:val="auto"/>
                <w:sz w:val="21"/>
                <w:szCs w:val="21"/>
                <w:highlight w:val="none"/>
              </w:rPr>
            </w:pPr>
            <w:r>
              <w:rPr>
                <w:color w:val="auto"/>
                <w:sz w:val="21"/>
                <w:szCs w:val="21"/>
                <w:highlight w:val="none"/>
              </w:rPr>
              <w:t>3</w:t>
            </w:r>
          </w:p>
        </w:tc>
        <w:tc>
          <w:tcPr>
            <w:tcW w:w="3368" w:type="dxa"/>
            <w:shd w:val="clear" w:color="auto" w:fill="auto"/>
            <w:vAlign w:val="center"/>
          </w:tcPr>
          <w:p w14:paraId="647C200E">
            <w:pPr>
              <w:adjustRightInd w:val="0"/>
              <w:snapToGrid w:val="0"/>
              <w:jc w:val="center"/>
              <w:rPr>
                <w:color w:val="auto"/>
                <w:sz w:val="21"/>
                <w:szCs w:val="21"/>
                <w:highlight w:val="none"/>
              </w:rPr>
            </w:pPr>
            <w:r>
              <w:rPr>
                <w:color w:val="auto"/>
                <w:sz w:val="21"/>
                <w:szCs w:val="21"/>
                <w:highlight w:val="none"/>
              </w:rPr>
              <w:t>可行性研究阶段</w:t>
            </w:r>
          </w:p>
        </w:tc>
        <w:tc>
          <w:tcPr>
            <w:tcW w:w="4642" w:type="dxa"/>
            <w:vMerge w:val="continue"/>
            <w:shd w:val="clear" w:color="auto" w:fill="auto"/>
            <w:vAlign w:val="center"/>
          </w:tcPr>
          <w:p w14:paraId="682640BB">
            <w:pPr>
              <w:adjustRightInd w:val="0"/>
              <w:snapToGrid w:val="0"/>
              <w:jc w:val="center"/>
              <w:rPr>
                <w:color w:val="auto"/>
                <w:sz w:val="21"/>
                <w:szCs w:val="21"/>
                <w:highlight w:val="none"/>
              </w:rPr>
            </w:pPr>
          </w:p>
        </w:tc>
      </w:tr>
    </w:tbl>
    <w:p w14:paraId="60584903">
      <w:pPr>
        <w:ind w:firstLine="560" w:firstLineChars="200"/>
        <w:textAlignment w:val="center"/>
        <w:outlineLvl w:val="4"/>
        <w:rPr>
          <w:rFonts w:eastAsia="楷体"/>
          <w:color w:val="auto"/>
          <w:highlight w:val="none"/>
        </w:rPr>
      </w:pPr>
      <w:bookmarkStart w:id="125" w:name="_Toc149827380"/>
      <w:r>
        <w:rPr>
          <w:rFonts w:eastAsia="楷体"/>
          <w:color w:val="auto"/>
          <w:highlight w:val="none"/>
        </w:rPr>
        <w:t>4．地震安全性评价费</w:t>
      </w:r>
      <w:bookmarkEnd w:id="125"/>
    </w:p>
    <w:p w14:paraId="2EE4E12D">
      <w:pPr>
        <w:ind w:firstLine="560" w:firstLineChars="200"/>
        <w:textAlignment w:val="center"/>
        <w:rPr>
          <w:color w:val="auto"/>
          <w:highlight w:val="none"/>
        </w:rPr>
      </w:pPr>
      <w:r>
        <w:rPr>
          <w:color w:val="auto"/>
          <w:highlight w:val="none"/>
        </w:rPr>
        <w:t>（1）费用内容</w:t>
      </w:r>
    </w:p>
    <w:p w14:paraId="5D5ACB7B">
      <w:pPr>
        <w:ind w:firstLine="560" w:firstLineChars="200"/>
        <w:textAlignment w:val="center"/>
        <w:rPr>
          <w:color w:val="auto"/>
          <w:highlight w:val="none"/>
        </w:rPr>
      </w:pPr>
      <w:r>
        <w:rPr>
          <w:color w:val="auto"/>
          <w:highlight w:val="none"/>
        </w:rPr>
        <w:t>地震安全性评价费：是指按照《中华人民共和国防震减灾法》、《地震安全性评价管理条例》等规定，为建设项目提供地震安全性评价服务所需的费用。</w:t>
      </w:r>
    </w:p>
    <w:p w14:paraId="0A1DAFF7">
      <w:pPr>
        <w:ind w:firstLine="560" w:firstLineChars="200"/>
        <w:textAlignment w:val="center"/>
        <w:rPr>
          <w:color w:val="auto"/>
          <w:highlight w:val="none"/>
        </w:rPr>
      </w:pPr>
      <w:r>
        <w:rPr>
          <w:color w:val="auto"/>
          <w:highlight w:val="none"/>
        </w:rPr>
        <w:t>（2）计算方法</w:t>
      </w:r>
    </w:p>
    <w:p w14:paraId="4FE58427">
      <w:pPr>
        <w:ind w:firstLine="560" w:firstLineChars="200"/>
        <w:textAlignment w:val="center"/>
        <w:rPr>
          <w:color w:val="auto"/>
          <w:highlight w:val="none"/>
        </w:rPr>
      </w:pPr>
      <w:r>
        <w:rPr>
          <w:color w:val="auto"/>
          <w:highlight w:val="none"/>
        </w:rPr>
        <w:t>按项目所在地省（自治区、直辖市）有关规定计列。</w:t>
      </w:r>
    </w:p>
    <w:p w14:paraId="1187AA0A">
      <w:pPr>
        <w:ind w:firstLine="560" w:firstLineChars="200"/>
        <w:textAlignment w:val="center"/>
        <w:outlineLvl w:val="4"/>
        <w:rPr>
          <w:rFonts w:eastAsia="楷体"/>
          <w:color w:val="auto"/>
          <w:highlight w:val="none"/>
        </w:rPr>
      </w:pPr>
      <w:bookmarkStart w:id="126" w:name="_Toc149827381"/>
      <w:r>
        <w:rPr>
          <w:rFonts w:eastAsia="楷体"/>
          <w:color w:val="auto"/>
          <w:highlight w:val="none"/>
        </w:rPr>
        <w:t>5．地质灾害危险性评估费</w:t>
      </w:r>
      <w:bookmarkEnd w:id="126"/>
    </w:p>
    <w:p w14:paraId="3BE08282">
      <w:pPr>
        <w:ind w:firstLine="560" w:firstLineChars="200"/>
        <w:textAlignment w:val="center"/>
        <w:rPr>
          <w:color w:val="auto"/>
          <w:highlight w:val="none"/>
        </w:rPr>
      </w:pPr>
      <w:r>
        <w:rPr>
          <w:color w:val="auto"/>
          <w:highlight w:val="none"/>
        </w:rPr>
        <w:t>（1）费用内容</w:t>
      </w:r>
    </w:p>
    <w:p w14:paraId="04532EB7">
      <w:pPr>
        <w:ind w:firstLine="560" w:firstLineChars="200"/>
        <w:textAlignment w:val="center"/>
        <w:rPr>
          <w:color w:val="auto"/>
          <w:highlight w:val="none"/>
        </w:rPr>
      </w:pPr>
      <w:r>
        <w:rPr>
          <w:color w:val="auto"/>
          <w:highlight w:val="none"/>
        </w:rPr>
        <w:t>地质灾害危险性评估费：是指评估机构接受委托，按照相应的技术规程和规范要求，收集相关资料，进行现场调查和技术分析，以及编制评估报告和组织报告评审等收取的费用。</w:t>
      </w:r>
    </w:p>
    <w:p w14:paraId="107F832F">
      <w:pPr>
        <w:ind w:firstLine="560" w:firstLineChars="200"/>
        <w:textAlignment w:val="center"/>
        <w:rPr>
          <w:color w:val="auto"/>
          <w:highlight w:val="none"/>
        </w:rPr>
      </w:pPr>
      <w:r>
        <w:rPr>
          <w:color w:val="auto"/>
          <w:highlight w:val="none"/>
        </w:rPr>
        <w:t>（2）计算方法</w:t>
      </w:r>
    </w:p>
    <w:p w14:paraId="1837C583">
      <w:pPr>
        <w:ind w:firstLine="560" w:firstLineChars="200"/>
        <w:textAlignment w:val="center"/>
        <w:rPr>
          <w:color w:val="auto"/>
          <w:highlight w:val="none"/>
        </w:rPr>
      </w:pPr>
      <w:r>
        <w:rPr>
          <w:color w:val="auto"/>
          <w:highlight w:val="none"/>
        </w:rPr>
        <w:t>参照相关部门规定计列。</w:t>
      </w:r>
    </w:p>
    <w:p w14:paraId="519319D4">
      <w:pPr>
        <w:ind w:firstLine="560" w:firstLineChars="200"/>
        <w:textAlignment w:val="center"/>
        <w:outlineLvl w:val="4"/>
        <w:rPr>
          <w:rFonts w:eastAsia="楷体"/>
          <w:color w:val="auto"/>
          <w:highlight w:val="none"/>
        </w:rPr>
      </w:pPr>
      <w:bookmarkStart w:id="127" w:name="_Toc149827382"/>
      <w:r>
        <w:rPr>
          <w:rFonts w:eastAsia="楷体"/>
          <w:color w:val="auto"/>
          <w:highlight w:val="none"/>
        </w:rPr>
        <w:t>6．节能评估费</w:t>
      </w:r>
      <w:bookmarkEnd w:id="127"/>
    </w:p>
    <w:p w14:paraId="7058BB62">
      <w:pPr>
        <w:ind w:firstLine="560" w:firstLineChars="200"/>
        <w:textAlignment w:val="center"/>
        <w:rPr>
          <w:color w:val="auto"/>
          <w:highlight w:val="none"/>
        </w:rPr>
      </w:pPr>
      <w:r>
        <w:rPr>
          <w:color w:val="auto"/>
          <w:highlight w:val="none"/>
        </w:rPr>
        <w:t>（1）费用内容</w:t>
      </w:r>
    </w:p>
    <w:p w14:paraId="5A787C91">
      <w:pPr>
        <w:ind w:firstLine="560" w:firstLineChars="200"/>
        <w:textAlignment w:val="center"/>
        <w:rPr>
          <w:color w:val="auto"/>
          <w:highlight w:val="none"/>
        </w:rPr>
      </w:pPr>
      <w:r>
        <w:rPr>
          <w:color w:val="auto"/>
          <w:highlight w:val="none"/>
        </w:rPr>
        <w:t>节能评估费：是指分析建设项目的建筑、设备、工艺等的能耗水平和其使用的用能产品的效率或能耗指标，编制及评审节能评估报告的费用。</w:t>
      </w:r>
    </w:p>
    <w:p w14:paraId="0C42ABFE">
      <w:pPr>
        <w:ind w:firstLine="560" w:firstLineChars="200"/>
        <w:textAlignment w:val="center"/>
        <w:rPr>
          <w:color w:val="auto"/>
          <w:highlight w:val="none"/>
        </w:rPr>
      </w:pPr>
      <w:r>
        <w:rPr>
          <w:color w:val="auto"/>
          <w:highlight w:val="none"/>
        </w:rPr>
        <w:t>（2）计算方法</w:t>
      </w:r>
    </w:p>
    <w:p w14:paraId="11761284">
      <w:pPr>
        <w:ind w:firstLine="560" w:firstLineChars="200"/>
        <w:textAlignment w:val="center"/>
        <w:rPr>
          <w:color w:val="auto"/>
          <w:highlight w:val="none"/>
        </w:rPr>
      </w:pPr>
      <w:r>
        <w:rPr>
          <w:color w:val="auto"/>
          <w:highlight w:val="none"/>
        </w:rPr>
        <w:t>参照表4-4计费标准计列。</w:t>
      </w:r>
    </w:p>
    <w:p w14:paraId="7265656C">
      <w:pPr>
        <w:jc w:val="center"/>
        <w:rPr>
          <w:rFonts w:eastAsia="黑体"/>
          <w:color w:val="auto"/>
          <w:highlight w:val="none"/>
        </w:rPr>
      </w:pPr>
      <w:bookmarkStart w:id="128" w:name="_Toc149827383"/>
      <w:r>
        <w:rPr>
          <w:rFonts w:eastAsia="黑体"/>
          <w:color w:val="auto"/>
          <w:sz w:val="26"/>
          <w:szCs w:val="26"/>
          <w:highlight w:val="none"/>
        </w:rPr>
        <w:t>表4-4 节能评估报告编制与评审计费表</w:t>
      </w:r>
      <w:bookmarkEnd w:id="128"/>
    </w:p>
    <w:tbl>
      <w:tblPr>
        <w:tblStyle w:val="24"/>
        <w:tblW w:w="91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24"/>
        <w:gridCol w:w="3252"/>
        <w:gridCol w:w="5310"/>
      </w:tblGrid>
      <w:tr w14:paraId="59DBE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624" w:type="dxa"/>
            <w:shd w:val="clear" w:color="auto" w:fill="auto"/>
            <w:vAlign w:val="center"/>
          </w:tcPr>
          <w:p w14:paraId="30E86801">
            <w:pPr>
              <w:keepNext/>
              <w:adjustRightInd w:val="0"/>
              <w:snapToGrid w:val="0"/>
              <w:jc w:val="center"/>
              <w:rPr>
                <w:color w:val="auto"/>
                <w:sz w:val="21"/>
                <w:szCs w:val="21"/>
                <w:highlight w:val="none"/>
              </w:rPr>
            </w:pPr>
            <w:r>
              <w:rPr>
                <w:color w:val="auto"/>
                <w:sz w:val="21"/>
                <w:szCs w:val="21"/>
                <w:highlight w:val="none"/>
              </w:rPr>
              <w:t>序号</w:t>
            </w:r>
          </w:p>
        </w:tc>
        <w:tc>
          <w:tcPr>
            <w:tcW w:w="3252" w:type="dxa"/>
            <w:shd w:val="clear" w:color="auto" w:fill="auto"/>
            <w:vAlign w:val="center"/>
          </w:tcPr>
          <w:p w14:paraId="10B55264">
            <w:pPr>
              <w:keepNext/>
              <w:adjustRightInd w:val="0"/>
              <w:snapToGrid w:val="0"/>
              <w:jc w:val="center"/>
              <w:rPr>
                <w:color w:val="auto"/>
                <w:sz w:val="21"/>
                <w:szCs w:val="21"/>
                <w:highlight w:val="none"/>
              </w:rPr>
            </w:pPr>
            <w:r>
              <w:rPr>
                <w:color w:val="auto"/>
                <w:sz w:val="21"/>
                <w:szCs w:val="21"/>
                <w:highlight w:val="none"/>
              </w:rPr>
              <w:t>项目</w:t>
            </w:r>
          </w:p>
        </w:tc>
        <w:tc>
          <w:tcPr>
            <w:tcW w:w="5310" w:type="dxa"/>
            <w:shd w:val="clear" w:color="auto" w:fill="auto"/>
            <w:vAlign w:val="center"/>
          </w:tcPr>
          <w:p w14:paraId="0153B6F6">
            <w:pPr>
              <w:keepNext/>
              <w:adjustRightInd w:val="0"/>
              <w:snapToGrid w:val="0"/>
              <w:jc w:val="center"/>
              <w:rPr>
                <w:color w:val="auto"/>
                <w:sz w:val="21"/>
                <w:szCs w:val="21"/>
                <w:highlight w:val="none"/>
              </w:rPr>
            </w:pPr>
            <w:r>
              <w:rPr>
                <w:color w:val="auto"/>
                <w:sz w:val="21"/>
                <w:szCs w:val="21"/>
                <w:highlight w:val="none"/>
              </w:rPr>
              <w:t>可行性研究阶段</w:t>
            </w:r>
          </w:p>
        </w:tc>
      </w:tr>
      <w:tr w14:paraId="3D5D3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624" w:type="dxa"/>
            <w:shd w:val="clear" w:color="auto" w:fill="auto"/>
            <w:vAlign w:val="center"/>
          </w:tcPr>
          <w:p w14:paraId="17D9438B">
            <w:pPr>
              <w:keepNext/>
              <w:adjustRightInd w:val="0"/>
              <w:snapToGrid w:val="0"/>
              <w:jc w:val="center"/>
              <w:rPr>
                <w:color w:val="auto"/>
                <w:sz w:val="21"/>
                <w:szCs w:val="21"/>
                <w:highlight w:val="none"/>
              </w:rPr>
            </w:pPr>
            <w:r>
              <w:rPr>
                <w:color w:val="auto"/>
                <w:sz w:val="21"/>
                <w:szCs w:val="21"/>
                <w:highlight w:val="none"/>
              </w:rPr>
              <w:t>1</w:t>
            </w:r>
          </w:p>
        </w:tc>
        <w:tc>
          <w:tcPr>
            <w:tcW w:w="3252" w:type="dxa"/>
            <w:shd w:val="clear" w:color="auto" w:fill="auto"/>
            <w:vAlign w:val="center"/>
          </w:tcPr>
          <w:p w14:paraId="668A4852">
            <w:pPr>
              <w:keepNext/>
              <w:adjustRightInd w:val="0"/>
              <w:snapToGrid w:val="0"/>
              <w:jc w:val="center"/>
              <w:rPr>
                <w:color w:val="auto"/>
                <w:sz w:val="21"/>
                <w:szCs w:val="21"/>
                <w:highlight w:val="none"/>
              </w:rPr>
            </w:pPr>
            <w:r>
              <w:rPr>
                <w:color w:val="auto"/>
                <w:sz w:val="21"/>
                <w:szCs w:val="21"/>
                <w:highlight w:val="none"/>
              </w:rPr>
              <w:t>节能评估专题报告编制</w:t>
            </w:r>
          </w:p>
        </w:tc>
        <w:tc>
          <w:tcPr>
            <w:tcW w:w="5310" w:type="dxa"/>
            <w:shd w:val="clear" w:color="auto" w:fill="auto"/>
            <w:vAlign w:val="center"/>
          </w:tcPr>
          <w:p w14:paraId="0C8665C3">
            <w:pPr>
              <w:keepNext/>
              <w:adjustRightInd w:val="0"/>
              <w:snapToGrid w:val="0"/>
              <w:jc w:val="center"/>
              <w:rPr>
                <w:color w:val="auto"/>
                <w:sz w:val="21"/>
                <w:szCs w:val="21"/>
                <w:highlight w:val="none"/>
              </w:rPr>
            </w:pPr>
            <w:r>
              <w:rPr>
                <w:color w:val="auto"/>
                <w:sz w:val="21"/>
                <w:szCs w:val="21"/>
                <w:highlight w:val="none"/>
              </w:rPr>
              <w:t>按可行性研究主报告编制费用的20%～30%计取</w:t>
            </w:r>
          </w:p>
        </w:tc>
      </w:tr>
      <w:tr w14:paraId="09447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624" w:type="dxa"/>
            <w:shd w:val="clear" w:color="auto" w:fill="auto"/>
            <w:vAlign w:val="center"/>
          </w:tcPr>
          <w:p w14:paraId="171DC989">
            <w:pPr>
              <w:adjustRightInd w:val="0"/>
              <w:snapToGrid w:val="0"/>
              <w:jc w:val="center"/>
              <w:rPr>
                <w:color w:val="auto"/>
                <w:sz w:val="21"/>
                <w:szCs w:val="21"/>
                <w:highlight w:val="none"/>
              </w:rPr>
            </w:pPr>
            <w:r>
              <w:rPr>
                <w:color w:val="auto"/>
                <w:sz w:val="21"/>
                <w:szCs w:val="21"/>
                <w:highlight w:val="none"/>
              </w:rPr>
              <w:t>2</w:t>
            </w:r>
          </w:p>
        </w:tc>
        <w:tc>
          <w:tcPr>
            <w:tcW w:w="3252" w:type="dxa"/>
            <w:shd w:val="clear" w:color="auto" w:fill="auto"/>
            <w:vAlign w:val="center"/>
          </w:tcPr>
          <w:p w14:paraId="7315FEAC">
            <w:pPr>
              <w:adjustRightInd w:val="0"/>
              <w:snapToGrid w:val="0"/>
              <w:jc w:val="center"/>
              <w:rPr>
                <w:color w:val="auto"/>
                <w:sz w:val="21"/>
                <w:szCs w:val="21"/>
                <w:highlight w:val="none"/>
              </w:rPr>
            </w:pPr>
            <w:r>
              <w:rPr>
                <w:color w:val="auto"/>
                <w:sz w:val="21"/>
                <w:szCs w:val="21"/>
                <w:highlight w:val="none"/>
              </w:rPr>
              <w:t>节能评估专题报告评审</w:t>
            </w:r>
          </w:p>
        </w:tc>
        <w:tc>
          <w:tcPr>
            <w:tcW w:w="5310" w:type="dxa"/>
            <w:shd w:val="clear" w:color="auto" w:fill="auto"/>
            <w:vAlign w:val="center"/>
          </w:tcPr>
          <w:p w14:paraId="503DF156">
            <w:pPr>
              <w:adjustRightInd w:val="0"/>
              <w:snapToGrid w:val="0"/>
              <w:jc w:val="center"/>
              <w:rPr>
                <w:color w:val="auto"/>
                <w:sz w:val="21"/>
                <w:szCs w:val="21"/>
                <w:highlight w:val="none"/>
              </w:rPr>
            </w:pPr>
            <w:r>
              <w:rPr>
                <w:color w:val="auto"/>
                <w:sz w:val="21"/>
                <w:szCs w:val="21"/>
                <w:highlight w:val="none"/>
              </w:rPr>
              <w:t>按节能评估专题报告编制费用的20%～30%计取</w:t>
            </w:r>
          </w:p>
        </w:tc>
      </w:tr>
    </w:tbl>
    <w:p w14:paraId="1AD5A9C3">
      <w:pPr>
        <w:ind w:firstLine="560" w:firstLineChars="200"/>
        <w:textAlignment w:val="center"/>
        <w:outlineLvl w:val="4"/>
        <w:rPr>
          <w:rFonts w:eastAsia="楷体"/>
          <w:color w:val="auto"/>
          <w:highlight w:val="none"/>
        </w:rPr>
      </w:pPr>
      <w:bookmarkStart w:id="129" w:name="_Toc149827384"/>
      <w:r>
        <w:rPr>
          <w:rFonts w:eastAsia="楷体"/>
          <w:color w:val="auto"/>
          <w:highlight w:val="none"/>
        </w:rPr>
        <w:t>7．社会稳定风险评估费</w:t>
      </w:r>
      <w:bookmarkEnd w:id="129"/>
    </w:p>
    <w:p w14:paraId="528F0664">
      <w:pPr>
        <w:ind w:firstLine="560" w:firstLineChars="200"/>
        <w:textAlignment w:val="center"/>
        <w:rPr>
          <w:color w:val="auto"/>
          <w:highlight w:val="none"/>
        </w:rPr>
      </w:pPr>
      <w:r>
        <w:rPr>
          <w:color w:val="auto"/>
          <w:highlight w:val="none"/>
        </w:rPr>
        <w:t>（1）费用内容</w:t>
      </w:r>
    </w:p>
    <w:p w14:paraId="0EDC575E">
      <w:pPr>
        <w:ind w:firstLine="560" w:firstLineChars="200"/>
        <w:textAlignment w:val="center"/>
        <w:rPr>
          <w:color w:val="auto"/>
          <w:highlight w:val="none"/>
        </w:rPr>
      </w:pPr>
      <w:r>
        <w:rPr>
          <w:color w:val="auto"/>
          <w:highlight w:val="none"/>
        </w:rPr>
        <w:t>社会稳定风险评估费：是指编制和评价社会稳定风险分析报告所需的费用。</w:t>
      </w:r>
    </w:p>
    <w:p w14:paraId="4CC5158E">
      <w:pPr>
        <w:ind w:firstLine="560" w:firstLineChars="200"/>
        <w:textAlignment w:val="center"/>
        <w:rPr>
          <w:color w:val="auto"/>
          <w:highlight w:val="none"/>
        </w:rPr>
      </w:pPr>
      <w:r>
        <w:rPr>
          <w:color w:val="auto"/>
          <w:highlight w:val="none"/>
        </w:rPr>
        <w:t>（2）计算方法</w:t>
      </w:r>
    </w:p>
    <w:p w14:paraId="08B85BE8">
      <w:pPr>
        <w:ind w:firstLine="560" w:firstLineChars="200"/>
        <w:textAlignment w:val="center"/>
        <w:rPr>
          <w:color w:val="auto"/>
          <w:highlight w:val="none"/>
        </w:rPr>
      </w:pPr>
      <w:r>
        <w:rPr>
          <w:color w:val="auto"/>
          <w:highlight w:val="none"/>
        </w:rPr>
        <w:t>参照表4-5费用标准计列。</w:t>
      </w:r>
    </w:p>
    <w:p w14:paraId="3721F30B">
      <w:pPr>
        <w:jc w:val="center"/>
        <w:rPr>
          <w:rFonts w:eastAsia="黑体"/>
          <w:color w:val="auto"/>
          <w:sz w:val="26"/>
          <w:szCs w:val="26"/>
          <w:highlight w:val="none"/>
        </w:rPr>
      </w:pPr>
      <w:bookmarkStart w:id="130" w:name="_Toc149827385"/>
      <w:r>
        <w:rPr>
          <w:rFonts w:eastAsia="黑体"/>
          <w:color w:val="auto"/>
          <w:sz w:val="26"/>
          <w:szCs w:val="26"/>
          <w:highlight w:val="none"/>
        </w:rPr>
        <w:t>表4-5 社会稳定风险评估计费</w:t>
      </w:r>
      <w:bookmarkEnd w:id="130"/>
    </w:p>
    <w:tbl>
      <w:tblPr>
        <w:tblStyle w:val="24"/>
        <w:tblW w:w="91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97"/>
        <w:gridCol w:w="3289"/>
        <w:gridCol w:w="5300"/>
      </w:tblGrid>
      <w:tr w14:paraId="60497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97" w:type="dxa"/>
            <w:shd w:val="clear" w:color="auto" w:fill="auto"/>
            <w:vAlign w:val="center"/>
          </w:tcPr>
          <w:p w14:paraId="319D22DF">
            <w:pPr>
              <w:keepNext/>
              <w:adjustRightInd w:val="0"/>
              <w:snapToGrid w:val="0"/>
              <w:jc w:val="center"/>
              <w:rPr>
                <w:color w:val="auto"/>
                <w:sz w:val="21"/>
                <w:szCs w:val="21"/>
                <w:highlight w:val="none"/>
              </w:rPr>
            </w:pPr>
            <w:r>
              <w:rPr>
                <w:color w:val="auto"/>
                <w:sz w:val="21"/>
                <w:szCs w:val="21"/>
                <w:highlight w:val="none"/>
              </w:rPr>
              <w:t>序号</w:t>
            </w:r>
          </w:p>
        </w:tc>
        <w:tc>
          <w:tcPr>
            <w:tcW w:w="3289" w:type="dxa"/>
            <w:shd w:val="clear" w:color="auto" w:fill="auto"/>
            <w:vAlign w:val="center"/>
          </w:tcPr>
          <w:p w14:paraId="34861B6E">
            <w:pPr>
              <w:keepNext/>
              <w:adjustRightInd w:val="0"/>
              <w:snapToGrid w:val="0"/>
              <w:jc w:val="center"/>
              <w:rPr>
                <w:color w:val="auto"/>
                <w:sz w:val="21"/>
                <w:szCs w:val="21"/>
                <w:highlight w:val="none"/>
              </w:rPr>
            </w:pPr>
            <w:r>
              <w:rPr>
                <w:color w:val="auto"/>
                <w:sz w:val="21"/>
                <w:szCs w:val="21"/>
                <w:highlight w:val="none"/>
              </w:rPr>
              <w:t>项目</w:t>
            </w:r>
          </w:p>
        </w:tc>
        <w:tc>
          <w:tcPr>
            <w:tcW w:w="5300" w:type="dxa"/>
            <w:shd w:val="clear" w:color="auto" w:fill="auto"/>
            <w:vAlign w:val="center"/>
          </w:tcPr>
          <w:p w14:paraId="69F5055A">
            <w:pPr>
              <w:keepNext/>
              <w:adjustRightInd w:val="0"/>
              <w:snapToGrid w:val="0"/>
              <w:jc w:val="center"/>
              <w:rPr>
                <w:color w:val="auto"/>
                <w:sz w:val="21"/>
                <w:szCs w:val="21"/>
                <w:highlight w:val="none"/>
              </w:rPr>
            </w:pPr>
            <w:r>
              <w:rPr>
                <w:color w:val="auto"/>
                <w:sz w:val="21"/>
                <w:szCs w:val="21"/>
                <w:highlight w:val="none"/>
              </w:rPr>
              <w:t>可行性研究阶段</w:t>
            </w:r>
          </w:p>
        </w:tc>
      </w:tr>
      <w:tr w14:paraId="7193D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97" w:type="dxa"/>
            <w:shd w:val="clear" w:color="auto" w:fill="auto"/>
            <w:vAlign w:val="center"/>
          </w:tcPr>
          <w:p w14:paraId="23444898">
            <w:pPr>
              <w:keepNext/>
              <w:adjustRightInd w:val="0"/>
              <w:snapToGrid w:val="0"/>
              <w:jc w:val="center"/>
              <w:rPr>
                <w:color w:val="auto"/>
                <w:sz w:val="21"/>
                <w:szCs w:val="21"/>
                <w:highlight w:val="none"/>
              </w:rPr>
            </w:pPr>
            <w:r>
              <w:rPr>
                <w:color w:val="auto"/>
                <w:sz w:val="21"/>
                <w:szCs w:val="21"/>
                <w:highlight w:val="none"/>
              </w:rPr>
              <w:t>1</w:t>
            </w:r>
          </w:p>
        </w:tc>
        <w:tc>
          <w:tcPr>
            <w:tcW w:w="3289" w:type="dxa"/>
            <w:shd w:val="clear" w:color="auto" w:fill="auto"/>
            <w:vAlign w:val="center"/>
          </w:tcPr>
          <w:p w14:paraId="19842D12">
            <w:pPr>
              <w:keepNext/>
              <w:adjustRightInd w:val="0"/>
              <w:snapToGrid w:val="0"/>
              <w:jc w:val="center"/>
              <w:rPr>
                <w:color w:val="auto"/>
                <w:sz w:val="21"/>
                <w:szCs w:val="21"/>
                <w:highlight w:val="none"/>
              </w:rPr>
            </w:pPr>
            <w:r>
              <w:rPr>
                <w:color w:val="auto"/>
                <w:sz w:val="21"/>
                <w:szCs w:val="21"/>
                <w:highlight w:val="none"/>
              </w:rPr>
              <w:t>社会稳定风险分析报告编制</w:t>
            </w:r>
          </w:p>
        </w:tc>
        <w:tc>
          <w:tcPr>
            <w:tcW w:w="5300" w:type="dxa"/>
            <w:shd w:val="clear" w:color="auto" w:fill="auto"/>
            <w:vAlign w:val="center"/>
          </w:tcPr>
          <w:p w14:paraId="2B3E860B">
            <w:pPr>
              <w:keepNext/>
              <w:adjustRightInd w:val="0"/>
              <w:snapToGrid w:val="0"/>
              <w:jc w:val="center"/>
              <w:rPr>
                <w:color w:val="auto"/>
                <w:sz w:val="21"/>
                <w:szCs w:val="21"/>
                <w:highlight w:val="none"/>
              </w:rPr>
            </w:pPr>
            <w:r>
              <w:rPr>
                <w:color w:val="auto"/>
                <w:sz w:val="21"/>
                <w:szCs w:val="21"/>
                <w:highlight w:val="none"/>
              </w:rPr>
              <w:t>按可行性研究主报告编制费用的30%～60%计取</w:t>
            </w:r>
          </w:p>
        </w:tc>
      </w:tr>
      <w:tr w14:paraId="116E0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97" w:type="dxa"/>
            <w:shd w:val="clear" w:color="auto" w:fill="auto"/>
            <w:vAlign w:val="center"/>
          </w:tcPr>
          <w:p w14:paraId="71A074EC">
            <w:pPr>
              <w:adjustRightInd w:val="0"/>
              <w:snapToGrid w:val="0"/>
              <w:jc w:val="center"/>
              <w:rPr>
                <w:color w:val="auto"/>
                <w:sz w:val="21"/>
                <w:szCs w:val="21"/>
                <w:highlight w:val="none"/>
              </w:rPr>
            </w:pPr>
            <w:r>
              <w:rPr>
                <w:color w:val="auto"/>
                <w:sz w:val="21"/>
                <w:szCs w:val="21"/>
                <w:highlight w:val="none"/>
              </w:rPr>
              <w:t>2</w:t>
            </w:r>
          </w:p>
        </w:tc>
        <w:tc>
          <w:tcPr>
            <w:tcW w:w="3289" w:type="dxa"/>
            <w:shd w:val="clear" w:color="auto" w:fill="auto"/>
            <w:vAlign w:val="center"/>
          </w:tcPr>
          <w:p w14:paraId="1954A025">
            <w:pPr>
              <w:adjustRightInd w:val="0"/>
              <w:snapToGrid w:val="0"/>
              <w:jc w:val="center"/>
              <w:rPr>
                <w:color w:val="auto"/>
                <w:sz w:val="21"/>
                <w:szCs w:val="21"/>
                <w:highlight w:val="none"/>
              </w:rPr>
            </w:pPr>
            <w:r>
              <w:rPr>
                <w:color w:val="auto"/>
                <w:sz w:val="21"/>
                <w:szCs w:val="21"/>
                <w:highlight w:val="none"/>
              </w:rPr>
              <w:t>社会稳定风险分析报告评审</w:t>
            </w:r>
          </w:p>
        </w:tc>
        <w:tc>
          <w:tcPr>
            <w:tcW w:w="5300" w:type="dxa"/>
            <w:shd w:val="clear" w:color="auto" w:fill="auto"/>
            <w:vAlign w:val="center"/>
          </w:tcPr>
          <w:p w14:paraId="453082AF">
            <w:pPr>
              <w:adjustRightInd w:val="0"/>
              <w:snapToGrid w:val="0"/>
              <w:jc w:val="center"/>
              <w:rPr>
                <w:color w:val="auto"/>
                <w:sz w:val="21"/>
                <w:szCs w:val="21"/>
                <w:highlight w:val="none"/>
              </w:rPr>
            </w:pPr>
            <w:r>
              <w:rPr>
                <w:color w:val="auto"/>
                <w:sz w:val="21"/>
                <w:szCs w:val="21"/>
                <w:highlight w:val="none"/>
              </w:rPr>
              <w:t>按社会稳定风险分析报告编制费用的50%计取</w:t>
            </w:r>
          </w:p>
        </w:tc>
      </w:tr>
    </w:tbl>
    <w:p w14:paraId="5DFEE210">
      <w:pPr>
        <w:ind w:firstLine="560" w:firstLineChars="200"/>
        <w:textAlignment w:val="center"/>
        <w:outlineLvl w:val="4"/>
        <w:rPr>
          <w:rFonts w:eastAsia="楷体"/>
          <w:color w:val="auto"/>
          <w:highlight w:val="none"/>
        </w:rPr>
      </w:pPr>
      <w:bookmarkStart w:id="131" w:name="_Toc149827386"/>
      <w:r>
        <w:rPr>
          <w:rFonts w:eastAsia="楷体"/>
          <w:color w:val="auto"/>
          <w:highlight w:val="none"/>
        </w:rPr>
        <w:t>8．防洪评价费</w:t>
      </w:r>
      <w:bookmarkEnd w:id="131"/>
    </w:p>
    <w:p w14:paraId="001FE05D">
      <w:pPr>
        <w:ind w:firstLine="560" w:firstLineChars="200"/>
        <w:textAlignment w:val="center"/>
        <w:rPr>
          <w:color w:val="auto"/>
          <w:highlight w:val="none"/>
        </w:rPr>
      </w:pPr>
      <w:r>
        <w:rPr>
          <w:color w:val="auto"/>
          <w:highlight w:val="none"/>
        </w:rPr>
        <w:t>（1）费用内容</w:t>
      </w:r>
    </w:p>
    <w:p w14:paraId="44B88076">
      <w:pPr>
        <w:ind w:firstLine="560" w:firstLineChars="200"/>
        <w:textAlignment w:val="center"/>
        <w:rPr>
          <w:color w:val="auto"/>
          <w:highlight w:val="none"/>
        </w:rPr>
      </w:pPr>
      <w:r>
        <w:rPr>
          <w:color w:val="auto"/>
          <w:highlight w:val="none"/>
        </w:rPr>
        <w:t>防洪评价费：是指按《中华人民共和国防洪法》等规定，对涉及江河、湖泊等项目编制防洪评价报告所需的费用。</w:t>
      </w:r>
    </w:p>
    <w:p w14:paraId="3EE1B54A">
      <w:pPr>
        <w:ind w:firstLine="560" w:firstLineChars="200"/>
        <w:textAlignment w:val="center"/>
        <w:rPr>
          <w:color w:val="auto"/>
          <w:highlight w:val="none"/>
        </w:rPr>
      </w:pPr>
      <w:r>
        <w:rPr>
          <w:color w:val="auto"/>
          <w:highlight w:val="none"/>
        </w:rPr>
        <w:t>（2）计算方法</w:t>
      </w:r>
    </w:p>
    <w:p w14:paraId="2E1E6C95">
      <w:pPr>
        <w:ind w:firstLine="560" w:firstLineChars="200"/>
        <w:textAlignment w:val="center"/>
        <w:rPr>
          <w:color w:val="auto"/>
          <w:highlight w:val="none"/>
        </w:rPr>
      </w:pPr>
      <w:r>
        <w:rPr>
          <w:color w:val="auto"/>
          <w:highlight w:val="none"/>
        </w:rPr>
        <w:t>按项目所在地省（自治区、直辖市）有关规定计列。</w:t>
      </w:r>
    </w:p>
    <w:p w14:paraId="245EC919">
      <w:pPr>
        <w:ind w:firstLine="560" w:firstLineChars="200"/>
        <w:textAlignment w:val="center"/>
        <w:outlineLvl w:val="4"/>
        <w:rPr>
          <w:rFonts w:eastAsia="楷体"/>
          <w:color w:val="auto"/>
          <w:highlight w:val="none"/>
        </w:rPr>
      </w:pPr>
      <w:bookmarkStart w:id="132" w:name="_Toc149827387"/>
      <w:r>
        <w:rPr>
          <w:rFonts w:eastAsia="楷体"/>
          <w:color w:val="auto"/>
          <w:highlight w:val="none"/>
        </w:rPr>
        <w:t>9．文物勘探及保护费</w:t>
      </w:r>
      <w:bookmarkEnd w:id="132"/>
    </w:p>
    <w:p w14:paraId="13668095">
      <w:pPr>
        <w:ind w:firstLine="560" w:firstLineChars="200"/>
        <w:textAlignment w:val="center"/>
        <w:rPr>
          <w:color w:val="auto"/>
          <w:highlight w:val="none"/>
        </w:rPr>
      </w:pPr>
      <w:r>
        <w:rPr>
          <w:color w:val="auto"/>
          <w:highlight w:val="none"/>
        </w:rPr>
        <w:t>（1）费用内容</w:t>
      </w:r>
    </w:p>
    <w:p w14:paraId="1DA4D578">
      <w:pPr>
        <w:ind w:firstLine="560" w:firstLineChars="200"/>
        <w:textAlignment w:val="center"/>
        <w:rPr>
          <w:color w:val="auto"/>
          <w:highlight w:val="none"/>
        </w:rPr>
      </w:pPr>
      <w:r>
        <w:rPr>
          <w:color w:val="auto"/>
          <w:highlight w:val="none"/>
        </w:rPr>
        <w:t>文物勘探及保护费：是指在工程范围内有可能埋藏文物的地方进行考古调查、勘探及保护所需的费用。</w:t>
      </w:r>
    </w:p>
    <w:p w14:paraId="3FBA57CD">
      <w:pPr>
        <w:ind w:firstLine="560" w:firstLineChars="200"/>
        <w:textAlignment w:val="center"/>
        <w:rPr>
          <w:color w:val="auto"/>
          <w:highlight w:val="none"/>
        </w:rPr>
      </w:pPr>
      <w:r>
        <w:rPr>
          <w:color w:val="auto"/>
          <w:highlight w:val="none"/>
        </w:rPr>
        <w:t>（2）计算方法</w:t>
      </w:r>
    </w:p>
    <w:p w14:paraId="501593C4">
      <w:pPr>
        <w:ind w:firstLine="560" w:firstLineChars="200"/>
        <w:textAlignment w:val="center"/>
        <w:rPr>
          <w:color w:val="auto"/>
          <w:highlight w:val="none"/>
        </w:rPr>
      </w:pPr>
      <w:r>
        <w:rPr>
          <w:color w:val="auto"/>
          <w:highlight w:val="none"/>
        </w:rPr>
        <w:t>按项目所在地省（自治区、直辖市）有关规定计列。</w:t>
      </w:r>
    </w:p>
    <w:p w14:paraId="3D7B469B">
      <w:pPr>
        <w:ind w:firstLine="560" w:firstLineChars="200"/>
        <w:textAlignment w:val="center"/>
        <w:outlineLvl w:val="4"/>
        <w:rPr>
          <w:rFonts w:eastAsia="楷体"/>
          <w:color w:val="auto"/>
          <w:highlight w:val="none"/>
        </w:rPr>
      </w:pPr>
      <w:bookmarkStart w:id="133" w:name="_Toc149827388"/>
      <w:r>
        <w:rPr>
          <w:rFonts w:eastAsia="楷体"/>
          <w:color w:val="auto"/>
          <w:highlight w:val="none"/>
        </w:rPr>
        <w:t>10．其他前期工作费</w:t>
      </w:r>
      <w:bookmarkEnd w:id="133"/>
    </w:p>
    <w:p w14:paraId="157E48AB">
      <w:pPr>
        <w:ind w:firstLine="560" w:firstLineChars="200"/>
        <w:textAlignment w:val="center"/>
        <w:rPr>
          <w:color w:val="auto"/>
          <w:highlight w:val="none"/>
        </w:rPr>
      </w:pPr>
      <w:r>
        <w:rPr>
          <w:color w:val="auto"/>
          <w:highlight w:val="none"/>
        </w:rPr>
        <w:t>（1）费用内容</w:t>
      </w:r>
    </w:p>
    <w:p w14:paraId="349087F6">
      <w:pPr>
        <w:ind w:firstLine="560" w:firstLineChars="200"/>
        <w:textAlignment w:val="center"/>
        <w:rPr>
          <w:color w:val="auto"/>
          <w:highlight w:val="none"/>
        </w:rPr>
      </w:pPr>
      <w:r>
        <w:rPr>
          <w:color w:val="auto"/>
          <w:highlight w:val="none"/>
        </w:rPr>
        <w:t>其他前期工作费：是指以上内容未包含，但在城市轨道交通前期咨询工作中可能涉及到的专题、单项研究及其他咨询服务，如规划咨询、专项技术咨询、投融资专题、网络资源共享专题等所需的费用。</w:t>
      </w:r>
    </w:p>
    <w:p w14:paraId="43B5A20B">
      <w:pPr>
        <w:ind w:firstLine="560" w:firstLineChars="200"/>
        <w:textAlignment w:val="center"/>
        <w:rPr>
          <w:color w:val="auto"/>
          <w:highlight w:val="none"/>
        </w:rPr>
      </w:pPr>
      <w:r>
        <w:rPr>
          <w:color w:val="auto"/>
          <w:highlight w:val="none"/>
        </w:rPr>
        <w:t>（2）计算方法</w:t>
      </w:r>
    </w:p>
    <w:p w14:paraId="024AB19C">
      <w:pPr>
        <w:ind w:firstLine="560" w:firstLineChars="200"/>
        <w:textAlignment w:val="center"/>
        <w:rPr>
          <w:color w:val="auto"/>
          <w:highlight w:val="none"/>
        </w:rPr>
      </w:pPr>
      <w:r>
        <w:rPr>
          <w:color w:val="auto"/>
          <w:highlight w:val="none"/>
        </w:rPr>
        <w:t>根据工作量按工日计取，费用=∑人工工日×人工工日单价。</w:t>
      </w:r>
    </w:p>
    <w:p w14:paraId="6729B9B7">
      <w:pPr>
        <w:keepNext/>
        <w:spacing w:before="145" w:beforeLines="30" w:after="145" w:afterLines="30"/>
        <w:ind w:firstLine="560" w:firstLineChars="200"/>
        <w:textAlignment w:val="center"/>
        <w:outlineLvl w:val="3"/>
        <w:rPr>
          <w:rFonts w:eastAsia="黑体"/>
          <w:color w:val="auto"/>
          <w:szCs w:val="24"/>
          <w:highlight w:val="none"/>
        </w:rPr>
      </w:pPr>
      <w:bookmarkStart w:id="134" w:name="_Toc149827389"/>
      <w:r>
        <w:rPr>
          <w:rFonts w:eastAsia="黑体"/>
          <w:color w:val="auto"/>
          <w:szCs w:val="24"/>
          <w:highlight w:val="none"/>
        </w:rPr>
        <w:t>（七）研究试验费</w:t>
      </w:r>
      <w:bookmarkEnd w:id="134"/>
    </w:p>
    <w:p w14:paraId="01E6999C">
      <w:pPr>
        <w:ind w:firstLine="560" w:firstLineChars="200"/>
        <w:textAlignment w:val="center"/>
        <w:outlineLvl w:val="4"/>
        <w:rPr>
          <w:rFonts w:eastAsia="楷体"/>
          <w:color w:val="auto"/>
          <w:highlight w:val="none"/>
        </w:rPr>
      </w:pPr>
      <w:bookmarkStart w:id="135" w:name="_Toc149827390"/>
      <w:r>
        <w:rPr>
          <w:rFonts w:eastAsia="楷体"/>
          <w:color w:val="auto"/>
          <w:highlight w:val="none"/>
        </w:rPr>
        <w:t>1．费用内容</w:t>
      </w:r>
      <w:bookmarkEnd w:id="135"/>
    </w:p>
    <w:p w14:paraId="0D48BDBA">
      <w:pPr>
        <w:ind w:firstLine="560" w:firstLineChars="200"/>
        <w:textAlignment w:val="center"/>
        <w:rPr>
          <w:color w:val="auto"/>
          <w:highlight w:val="none"/>
        </w:rPr>
      </w:pPr>
      <w:r>
        <w:rPr>
          <w:color w:val="auto"/>
          <w:highlight w:val="none"/>
        </w:rPr>
        <w:t>研究试验费：是指为建设项目提供或验证设计数据、资料等进行必要的研究试验及按照设计规定在建设过程中必须进行试验、验证所需的费用。包括自行或委托其他部门研究试验所需人工费、材料费、试验设备及仪器使用费等。</w:t>
      </w:r>
    </w:p>
    <w:p w14:paraId="60CE7F42">
      <w:pPr>
        <w:ind w:firstLine="560" w:firstLineChars="200"/>
        <w:textAlignment w:val="center"/>
        <w:rPr>
          <w:color w:val="auto"/>
          <w:highlight w:val="none"/>
        </w:rPr>
      </w:pPr>
      <w:r>
        <w:rPr>
          <w:color w:val="auto"/>
          <w:highlight w:val="none"/>
        </w:rPr>
        <w:t>不包括：</w:t>
      </w:r>
    </w:p>
    <w:p w14:paraId="0F053DC3">
      <w:pPr>
        <w:ind w:firstLine="560" w:firstLineChars="200"/>
        <w:textAlignment w:val="center"/>
        <w:rPr>
          <w:color w:val="auto"/>
          <w:highlight w:val="none"/>
        </w:rPr>
      </w:pPr>
      <w:r>
        <w:rPr>
          <w:color w:val="auto"/>
          <w:highlight w:val="none"/>
        </w:rPr>
        <w:t>（1）应由科技三项费用（即新产品试制费、中间试验费和重要科学研究补助费）开支的项目。</w:t>
      </w:r>
    </w:p>
    <w:p w14:paraId="19DE5119">
      <w:pPr>
        <w:ind w:firstLine="560" w:firstLineChars="200"/>
        <w:textAlignment w:val="center"/>
        <w:rPr>
          <w:color w:val="auto"/>
          <w:highlight w:val="none"/>
        </w:rPr>
      </w:pPr>
      <w:r>
        <w:rPr>
          <w:color w:val="auto"/>
          <w:highlight w:val="none"/>
        </w:rPr>
        <w:t>（2）应在建筑安装费用中列支的施工企业对建筑材料、构件和建筑物等进行一般鉴定、检查所发生的费用及技术革新的研究试验费。</w:t>
      </w:r>
    </w:p>
    <w:p w14:paraId="44D13883">
      <w:pPr>
        <w:ind w:firstLine="560" w:firstLineChars="200"/>
        <w:textAlignment w:val="center"/>
        <w:rPr>
          <w:color w:val="auto"/>
          <w:highlight w:val="none"/>
        </w:rPr>
      </w:pPr>
      <w:r>
        <w:rPr>
          <w:color w:val="auto"/>
          <w:highlight w:val="none"/>
        </w:rPr>
        <w:t>（3）应在勘察设计费或工程费用中开支的项目。</w:t>
      </w:r>
    </w:p>
    <w:p w14:paraId="63C73139">
      <w:pPr>
        <w:ind w:firstLine="560" w:firstLineChars="200"/>
        <w:textAlignment w:val="center"/>
        <w:outlineLvl w:val="4"/>
        <w:rPr>
          <w:rFonts w:eastAsia="楷体"/>
          <w:color w:val="auto"/>
          <w:highlight w:val="none"/>
        </w:rPr>
      </w:pPr>
      <w:bookmarkStart w:id="136" w:name="_Toc149827391"/>
      <w:r>
        <w:rPr>
          <w:rFonts w:eastAsia="楷体"/>
          <w:color w:val="auto"/>
          <w:highlight w:val="none"/>
        </w:rPr>
        <w:t>2．计算方法</w:t>
      </w:r>
      <w:bookmarkEnd w:id="136"/>
    </w:p>
    <w:p w14:paraId="1550C043">
      <w:pPr>
        <w:ind w:firstLine="560" w:firstLineChars="200"/>
        <w:textAlignment w:val="center"/>
        <w:rPr>
          <w:color w:val="auto"/>
          <w:highlight w:val="none"/>
        </w:rPr>
      </w:pPr>
      <w:r>
        <w:rPr>
          <w:color w:val="auto"/>
          <w:highlight w:val="none"/>
        </w:rPr>
        <w:t>根据设计提出的具体研究试验项目，按研究试验内容和要求计列所需的费用。</w:t>
      </w:r>
    </w:p>
    <w:p w14:paraId="47EE8C1C">
      <w:pPr>
        <w:keepNext/>
        <w:spacing w:before="145" w:beforeLines="30" w:after="145" w:afterLines="30"/>
        <w:ind w:firstLine="560" w:firstLineChars="200"/>
        <w:textAlignment w:val="center"/>
        <w:outlineLvl w:val="3"/>
        <w:rPr>
          <w:rFonts w:eastAsia="黑体"/>
          <w:color w:val="auto"/>
          <w:szCs w:val="24"/>
          <w:highlight w:val="none"/>
        </w:rPr>
      </w:pPr>
      <w:bookmarkStart w:id="137" w:name="_Toc149827392"/>
      <w:r>
        <w:rPr>
          <w:rFonts w:eastAsia="黑体"/>
          <w:color w:val="auto"/>
          <w:szCs w:val="24"/>
          <w:highlight w:val="none"/>
        </w:rPr>
        <w:t>（八）勘察设计费</w:t>
      </w:r>
      <w:bookmarkEnd w:id="137"/>
    </w:p>
    <w:p w14:paraId="71EBF13D">
      <w:pPr>
        <w:ind w:firstLine="560" w:firstLineChars="200"/>
        <w:textAlignment w:val="center"/>
        <w:rPr>
          <w:color w:val="auto"/>
          <w:highlight w:val="none"/>
        </w:rPr>
      </w:pPr>
      <w:r>
        <w:rPr>
          <w:color w:val="auto"/>
          <w:highlight w:val="none"/>
        </w:rPr>
        <w:t>勘察设计费：是指建设单位委托勘察设计单位进行工程水文地质勘察、工程设计所发生的各项费用。</w:t>
      </w:r>
    </w:p>
    <w:p w14:paraId="45ABD569">
      <w:pPr>
        <w:ind w:firstLine="560" w:firstLineChars="200"/>
        <w:textAlignment w:val="center"/>
        <w:outlineLvl w:val="4"/>
        <w:rPr>
          <w:rFonts w:eastAsia="楷体"/>
          <w:color w:val="auto"/>
          <w:highlight w:val="none"/>
        </w:rPr>
      </w:pPr>
      <w:bookmarkStart w:id="138" w:name="_Toc149827393"/>
      <w:r>
        <w:rPr>
          <w:rFonts w:eastAsia="楷体"/>
          <w:color w:val="auto"/>
          <w:highlight w:val="none"/>
        </w:rPr>
        <w:t>1．勘察费</w:t>
      </w:r>
      <w:bookmarkEnd w:id="138"/>
    </w:p>
    <w:p w14:paraId="636EF370">
      <w:pPr>
        <w:ind w:firstLine="560" w:firstLineChars="200"/>
        <w:textAlignment w:val="center"/>
        <w:rPr>
          <w:color w:val="auto"/>
          <w:highlight w:val="none"/>
        </w:rPr>
      </w:pPr>
      <w:r>
        <w:rPr>
          <w:color w:val="auto"/>
          <w:highlight w:val="none"/>
        </w:rPr>
        <w:t>（1）费用内容</w:t>
      </w:r>
    </w:p>
    <w:p w14:paraId="12FF81FF">
      <w:pPr>
        <w:ind w:firstLine="560" w:firstLineChars="200"/>
        <w:textAlignment w:val="center"/>
        <w:rPr>
          <w:color w:val="auto"/>
          <w:highlight w:val="none"/>
        </w:rPr>
      </w:pPr>
      <w:r>
        <w:rPr>
          <w:color w:val="auto"/>
          <w:highlight w:val="none"/>
        </w:rPr>
        <w:t>工程勘察费：是指为工程设计提供工程地质、水文地质资料、地下管线、地下构筑物资料等的勘察及相应的试验、工程测量等所发生的费用。</w:t>
      </w:r>
    </w:p>
    <w:p w14:paraId="413F4422">
      <w:pPr>
        <w:ind w:firstLine="560" w:firstLineChars="200"/>
        <w:textAlignment w:val="center"/>
        <w:rPr>
          <w:color w:val="auto"/>
          <w:highlight w:val="none"/>
        </w:rPr>
      </w:pPr>
      <w:r>
        <w:rPr>
          <w:color w:val="auto"/>
          <w:highlight w:val="none"/>
        </w:rPr>
        <w:t>（2）计算方法</w:t>
      </w:r>
    </w:p>
    <w:p w14:paraId="10ED2194">
      <w:pPr>
        <w:ind w:firstLine="560" w:firstLineChars="200"/>
        <w:textAlignment w:val="center"/>
        <w:rPr>
          <w:color w:val="auto"/>
          <w:highlight w:val="none"/>
        </w:rPr>
      </w:pPr>
      <w:r>
        <w:rPr>
          <w:color w:val="auto"/>
          <w:highlight w:val="none"/>
        </w:rPr>
        <w:t>按工程费用的0.6%～0.8%计列。</w:t>
      </w:r>
    </w:p>
    <w:p w14:paraId="31FCAD17">
      <w:pPr>
        <w:ind w:firstLine="560" w:firstLineChars="200"/>
        <w:textAlignment w:val="center"/>
        <w:outlineLvl w:val="4"/>
        <w:rPr>
          <w:rFonts w:eastAsia="楷体"/>
          <w:color w:val="auto"/>
          <w:highlight w:val="none"/>
        </w:rPr>
      </w:pPr>
      <w:bookmarkStart w:id="139" w:name="_Toc149827394"/>
      <w:r>
        <w:rPr>
          <w:rFonts w:eastAsia="楷体"/>
          <w:color w:val="auto"/>
          <w:highlight w:val="none"/>
        </w:rPr>
        <w:t>2．设计费</w:t>
      </w:r>
      <w:bookmarkEnd w:id="139"/>
    </w:p>
    <w:p w14:paraId="543931F2">
      <w:pPr>
        <w:ind w:firstLine="560" w:firstLineChars="200"/>
        <w:textAlignment w:val="center"/>
        <w:rPr>
          <w:color w:val="auto"/>
          <w:highlight w:val="none"/>
        </w:rPr>
      </w:pPr>
      <w:r>
        <w:rPr>
          <w:color w:val="auto"/>
          <w:highlight w:val="none"/>
        </w:rPr>
        <w:t>（1）费用内容</w:t>
      </w:r>
    </w:p>
    <w:p w14:paraId="5891DFAA">
      <w:pPr>
        <w:ind w:firstLine="560" w:firstLineChars="200"/>
        <w:textAlignment w:val="center"/>
        <w:rPr>
          <w:color w:val="auto"/>
          <w:szCs w:val="24"/>
          <w:highlight w:val="none"/>
        </w:rPr>
      </w:pPr>
      <w:r>
        <w:rPr>
          <w:color w:val="auto"/>
          <w:highlight w:val="none"/>
        </w:rPr>
        <w:t>工程设计收费</w:t>
      </w:r>
      <w:r>
        <w:rPr>
          <w:color w:val="auto"/>
          <w:szCs w:val="24"/>
          <w:highlight w:val="none"/>
        </w:rPr>
        <w:t>：是指设计单位根据建设单位委托，提供编制建设项目初步设计文件、施工图设计文件、非标准设备设计文件等服务所收取的费用，包括基本设计收费和其他设计收费。</w:t>
      </w:r>
    </w:p>
    <w:p w14:paraId="5E8F8D45">
      <w:pPr>
        <w:ind w:firstLine="560" w:firstLineChars="200"/>
        <w:textAlignment w:val="center"/>
        <w:rPr>
          <w:color w:val="auto"/>
          <w:highlight w:val="none"/>
        </w:rPr>
      </w:pPr>
      <w:r>
        <w:rPr>
          <w:color w:val="auto"/>
          <w:highlight w:val="none"/>
        </w:rPr>
        <w:t>① 基本设计收费：是指在工程设计阶段提供初步设计文件、施工图设计文件收取的费用，并相应提供设计技术交底、解决施工中的设计技术问题、试运行和竣工验收等服务。</w:t>
      </w:r>
    </w:p>
    <w:p w14:paraId="2DDEC57C">
      <w:pPr>
        <w:ind w:firstLine="560" w:firstLineChars="200"/>
        <w:textAlignment w:val="center"/>
        <w:rPr>
          <w:color w:val="auto"/>
          <w:highlight w:val="none"/>
        </w:rPr>
      </w:pPr>
      <w:r>
        <w:rPr>
          <w:color w:val="auto"/>
          <w:highlight w:val="none"/>
        </w:rPr>
        <w:t>② 其他设计收费：是指根据工程设计实际需要或者建设单位要求提供相关服务收取的费用，包括总体总包费等。</w:t>
      </w:r>
    </w:p>
    <w:p w14:paraId="261ED5F0">
      <w:pPr>
        <w:ind w:firstLine="560" w:firstLineChars="200"/>
        <w:textAlignment w:val="center"/>
        <w:rPr>
          <w:color w:val="auto"/>
          <w:highlight w:val="none"/>
        </w:rPr>
      </w:pPr>
      <w:r>
        <w:rPr>
          <w:color w:val="auto"/>
          <w:highlight w:val="none"/>
        </w:rPr>
        <w:t>（2）计算方法</w:t>
      </w:r>
    </w:p>
    <w:p w14:paraId="0D5D3584">
      <w:pPr>
        <w:ind w:firstLine="560" w:firstLineChars="200"/>
        <w:textAlignment w:val="center"/>
        <w:rPr>
          <w:color w:val="auto"/>
          <w:highlight w:val="none"/>
        </w:rPr>
      </w:pPr>
      <w:r>
        <w:rPr>
          <w:color w:val="auto"/>
          <w:highlight w:val="none"/>
        </w:rPr>
        <w:t>按工程费用的3.5%～4.0%计列。改</w:t>
      </w:r>
      <w:r>
        <w:rPr>
          <w:rFonts w:hint="eastAsia"/>
          <w:color w:val="auto"/>
          <w:highlight w:val="none"/>
        </w:rPr>
        <w:t>、</w:t>
      </w:r>
      <w:r>
        <w:rPr>
          <w:color w:val="auto"/>
          <w:highlight w:val="none"/>
        </w:rPr>
        <w:t>扩建工程项目另行计列。</w:t>
      </w:r>
    </w:p>
    <w:p w14:paraId="76290663">
      <w:pPr>
        <w:keepNext/>
        <w:spacing w:before="145" w:beforeLines="30" w:after="145" w:afterLines="30"/>
        <w:ind w:firstLine="560" w:firstLineChars="200"/>
        <w:textAlignment w:val="center"/>
        <w:outlineLvl w:val="3"/>
        <w:rPr>
          <w:rFonts w:eastAsia="黑体"/>
          <w:color w:val="auto"/>
          <w:szCs w:val="24"/>
          <w:highlight w:val="none"/>
        </w:rPr>
      </w:pPr>
      <w:bookmarkStart w:id="140" w:name="_Toc149827395"/>
      <w:r>
        <w:rPr>
          <w:rFonts w:eastAsia="黑体"/>
          <w:color w:val="auto"/>
          <w:szCs w:val="24"/>
          <w:highlight w:val="none"/>
        </w:rPr>
        <w:t>（九）咨询费</w:t>
      </w:r>
      <w:bookmarkEnd w:id="140"/>
    </w:p>
    <w:p w14:paraId="7AE4AD1F">
      <w:pPr>
        <w:ind w:firstLine="560" w:firstLineChars="200"/>
        <w:textAlignment w:val="center"/>
        <w:outlineLvl w:val="4"/>
        <w:rPr>
          <w:rFonts w:eastAsia="楷体"/>
          <w:color w:val="auto"/>
          <w:highlight w:val="none"/>
        </w:rPr>
      </w:pPr>
      <w:bookmarkStart w:id="141" w:name="_Toc149827396"/>
      <w:r>
        <w:rPr>
          <w:rFonts w:eastAsia="楷体"/>
          <w:color w:val="auto"/>
          <w:highlight w:val="none"/>
        </w:rPr>
        <w:t>1．设计咨询费</w:t>
      </w:r>
      <w:bookmarkEnd w:id="141"/>
    </w:p>
    <w:p w14:paraId="6BC766BB">
      <w:pPr>
        <w:ind w:firstLine="560" w:firstLineChars="200"/>
        <w:textAlignment w:val="center"/>
        <w:rPr>
          <w:color w:val="auto"/>
          <w:highlight w:val="none"/>
        </w:rPr>
      </w:pPr>
      <w:r>
        <w:rPr>
          <w:color w:val="auto"/>
          <w:highlight w:val="none"/>
        </w:rPr>
        <w:t>（1）费用内容</w:t>
      </w:r>
    </w:p>
    <w:p w14:paraId="333A835D">
      <w:pPr>
        <w:ind w:firstLine="560" w:firstLineChars="200"/>
        <w:textAlignment w:val="center"/>
        <w:rPr>
          <w:color w:val="auto"/>
          <w:highlight w:val="none"/>
        </w:rPr>
      </w:pPr>
      <w:r>
        <w:rPr>
          <w:color w:val="auto"/>
          <w:highlight w:val="none"/>
        </w:rPr>
        <w:t>设计咨询费：是指建设单位委托咨询机构对设计单位设计工作成果进行审查所需的费用。</w:t>
      </w:r>
    </w:p>
    <w:p w14:paraId="764401F7">
      <w:pPr>
        <w:ind w:firstLine="560" w:firstLineChars="200"/>
        <w:textAlignment w:val="center"/>
        <w:rPr>
          <w:color w:val="auto"/>
          <w:highlight w:val="none"/>
        </w:rPr>
      </w:pPr>
      <w:r>
        <w:rPr>
          <w:color w:val="auto"/>
          <w:highlight w:val="none"/>
        </w:rPr>
        <w:t>（2）计算方法</w:t>
      </w:r>
    </w:p>
    <w:p w14:paraId="015CB9C5">
      <w:pPr>
        <w:ind w:firstLine="560" w:firstLineChars="200"/>
        <w:textAlignment w:val="center"/>
        <w:rPr>
          <w:color w:val="auto"/>
          <w:highlight w:val="none"/>
        </w:rPr>
      </w:pPr>
      <w:r>
        <w:rPr>
          <w:color w:val="auto"/>
          <w:highlight w:val="none"/>
        </w:rPr>
        <w:t>按工程费用的0.3%～0.4%计列。</w:t>
      </w:r>
    </w:p>
    <w:p w14:paraId="60049411">
      <w:pPr>
        <w:ind w:firstLine="560" w:firstLineChars="200"/>
        <w:textAlignment w:val="center"/>
        <w:outlineLvl w:val="4"/>
        <w:rPr>
          <w:rFonts w:eastAsia="楷体"/>
          <w:color w:val="auto"/>
          <w:highlight w:val="none"/>
        </w:rPr>
      </w:pPr>
      <w:bookmarkStart w:id="142" w:name="_Toc149827397"/>
      <w:r>
        <w:rPr>
          <w:rFonts w:eastAsia="楷体"/>
          <w:color w:val="auto"/>
          <w:highlight w:val="none"/>
        </w:rPr>
        <w:t>2．工程造价咨询费</w:t>
      </w:r>
      <w:bookmarkEnd w:id="142"/>
    </w:p>
    <w:p w14:paraId="64763686">
      <w:pPr>
        <w:ind w:firstLine="560" w:firstLineChars="200"/>
        <w:textAlignment w:val="center"/>
        <w:rPr>
          <w:color w:val="auto"/>
          <w:highlight w:val="none"/>
        </w:rPr>
      </w:pPr>
      <w:r>
        <w:rPr>
          <w:color w:val="auto"/>
          <w:highlight w:val="none"/>
        </w:rPr>
        <w:t>（1）费用内容</w:t>
      </w:r>
    </w:p>
    <w:p w14:paraId="791153FF">
      <w:pPr>
        <w:ind w:firstLine="560" w:firstLineChars="200"/>
        <w:textAlignment w:val="center"/>
        <w:rPr>
          <w:color w:val="auto"/>
          <w:highlight w:val="none"/>
        </w:rPr>
      </w:pPr>
      <w:r>
        <w:rPr>
          <w:color w:val="auto"/>
          <w:highlight w:val="none"/>
        </w:rPr>
        <w:t>工程造价咨询费：是指工程造价咨询企业接受建设单位委托，从事投资估算、工程概算、工程量清单、招标控制价、工程结算、竣工决算的编制与审核，各设计阶段的工程造价控制等与工程造价业务有关的咨询服务，并出具工程造价咨询成果文件等业务活动所收取的费用。</w:t>
      </w:r>
    </w:p>
    <w:p w14:paraId="471192C4">
      <w:pPr>
        <w:ind w:firstLine="560" w:firstLineChars="200"/>
        <w:textAlignment w:val="center"/>
        <w:rPr>
          <w:color w:val="auto"/>
          <w:highlight w:val="none"/>
        </w:rPr>
      </w:pPr>
      <w:r>
        <w:rPr>
          <w:color w:val="auto"/>
          <w:highlight w:val="none"/>
        </w:rPr>
        <w:t>（2）计算方法</w:t>
      </w:r>
    </w:p>
    <w:p w14:paraId="70AA67F3">
      <w:pPr>
        <w:ind w:firstLine="560" w:firstLineChars="200"/>
        <w:textAlignment w:val="center"/>
        <w:rPr>
          <w:color w:val="auto"/>
          <w:highlight w:val="none"/>
        </w:rPr>
      </w:pPr>
      <w:r>
        <w:rPr>
          <w:color w:val="auto"/>
          <w:highlight w:val="none"/>
        </w:rPr>
        <w:t>按工程费用的0.3%～0.4%计列。</w:t>
      </w:r>
    </w:p>
    <w:p w14:paraId="2D02E388">
      <w:pPr>
        <w:ind w:firstLine="560" w:firstLineChars="200"/>
        <w:textAlignment w:val="center"/>
        <w:outlineLvl w:val="4"/>
        <w:rPr>
          <w:rFonts w:eastAsia="楷体"/>
          <w:color w:val="auto"/>
          <w:highlight w:val="none"/>
        </w:rPr>
      </w:pPr>
      <w:r>
        <w:rPr>
          <w:rFonts w:eastAsia="楷体"/>
          <w:color w:val="auto"/>
          <w:highlight w:val="none"/>
        </w:rPr>
        <w:t>3．其他咨询费</w:t>
      </w:r>
    </w:p>
    <w:p w14:paraId="5FE8A8A4">
      <w:pPr>
        <w:ind w:firstLine="560" w:firstLineChars="200"/>
        <w:textAlignment w:val="center"/>
        <w:rPr>
          <w:color w:val="auto"/>
          <w:szCs w:val="22"/>
          <w:highlight w:val="none"/>
        </w:rPr>
      </w:pPr>
      <w:r>
        <w:rPr>
          <w:color w:val="auto"/>
          <w:szCs w:val="22"/>
          <w:highlight w:val="none"/>
        </w:rPr>
        <w:t>（1）费用内容</w:t>
      </w:r>
    </w:p>
    <w:p w14:paraId="4C21C365">
      <w:pPr>
        <w:ind w:firstLine="560" w:firstLineChars="200"/>
        <w:textAlignment w:val="center"/>
        <w:rPr>
          <w:color w:val="auto"/>
          <w:szCs w:val="22"/>
          <w:highlight w:val="none"/>
        </w:rPr>
      </w:pPr>
      <w:r>
        <w:rPr>
          <w:color w:val="auto"/>
          <w:szCs w:val="22"/>
          <w:highlight w:val="none"/>
        </w:rPr>
        <w:t>其他咨询费：是指为建设项目提供组织、经济、管理等有关方面工程咨询服务所发生的费用。</w:t>
      </w:r>
    </w:p>
    <w:p w14:paraId="5AA02E04">
      <w:pPr>
        <w:ind w:firstLine="560" w:firstLineChars="200"/>
        <w:textAlignment w:val="center"/>
        <w:rPr>
          <w:color w:val="auto"/>
          <w:szCs w:val="22"/>
          <w:highlight w:val="none"/>
        </w:rPr>
      </w:pPr>
      <w:r>
        <w:rPr>
          <w:color w:val="auto"/>
          <w:szCs w:val="22"/>
          <w:highlight w:val="none"/>
        </w:rPr>
        <w:t>（2）计算方法</w:t>
      </w:r>
    </w:p>
    <w:p w14:paraId="71A7C84C">
      <w:pPr>
        <w:ind w:firstLine="560" w:firstLineChars="200"/>
        <w:textAlignment w:val="center"/>
        <w:rPr>
          <w:color w:val="auto"/>
          <w:highlight w:val="none"/>
        </w:rPr>
      </w:pPr>
      <w:r>
        <w:rPr>
          <w:color w:val="auto"/>
          <w:szCs w:val="22"/>
          <w:highlight w:val="none"/>
        </w:rPr>
        <w:t>按建设项目所在地省（自治区、直辖市）有关规定计列。</w:t>
      </w:r>
    </w:p>
    <w:p w14:paraId="4A6B47CF">
      <w:pPr>
        <w:keepNext/>
        <w:spacing w:before="145" w:beforeLines="30" w:after="145" w:afterLines="30"/>
        <w:ind w:firstLine="560" w:firstLineChars="200"/>
        <w:textAlignment w:val="center"/>
        <w:outlineLvl w:val="3"/>
        <w:rPr>
          <w:rFonts w:eastAsia="黑体"/>
          <w:color w:val="auto"/>
          <w:szCs w:val="24"/>
          <w:highlight w:val="none"/>
        </w:rPr>
      </w:pPr>
      <w:bookmarkStart w:id="143" w:name="_Toc149827398"/>
      <w:r>
        <w:rPr>
          <w:rFonts w:eastAsia="黑体"/>
          <w:color w:val="auto"/>
          <w:szCs w:val="24"/>
          <w:highlight w:val="none"/>
        </w:rPr>
        <w:t>（十）引进技术和设备其他费</w:t>
      </w:r>
      <w:bookmarkEnd w:id="143"/>
    </w:p>
    <w:p w14:paraId="33C6F9EF">
      <w:pPr>
        <w:ind w:firstLine="560" w:firstLineChars="200"/>
        <w:textAlignment w:val="center"/>
        <w:rPr>
          <w:color w:val="auto"/>
          <w:highlight w:val="none"/>
        </w:rPr>
      </w:pPr>
      <w:r>
        <w:rPr>
          <w:color w:val="auto"/>
          <w:highlight w:val="none"/>
        </w:rPr>
        <w:t>引进技术和设备其他费：是指引进技术和设备发生的但未计入设备购置费的</w:t>
      </w:r>
      <w:r>
        <w:rPr>
          <w:rFonts w:hint="eastAsia"/>
          <w:color w:val="auto"/>
          <w:highlight w:val="none"/>
        </w:rPr>
        <w:t>相关</w:t>
      </w:r>
      <w:r>
        <w:rPr>
          <w:color w:val="auto"/>
          <w:highlight w:val="none"/>
        </w:rPr>
        <w:t>费用。</w:t>
      </w:r>
    </w:p>
    <w:p w14:paraId="1E7413E8">
      <w:pPr>
        <w:ind w:firstLine="560" w:firstLineChars="200"/>
        <w:textAlignment w:val="center"/>
        <w:outlineLvl w:val="4"/>
        <w:rPr>
          <w:rFonts w:eastAsia="楷体"/>
          <w:color w:val="auto"/>
          <w:highlight w:val="none"/>
        </w:rPr>
      </w:pPr>
      <w:bookmarkStart w:id="144" w:name="_Toc149827399"/>
      <w:r>
        <w:rPr>
          <w:rFonts w:eastAsia="楷体"/>
          <w:color w:val="auto"/>
          <w:highlight w:val="none"/>
        </w:rPr>
        <w:t>1．费用内容</w:t>
      </w:r>
      <w:bookmarkEnd w:id="144"/>
    </w:p>
    <w:p w14:paraId="300F52A7">
      <w:pPr>
        <w:ind w:firstLine="560" w:firstLineChars="200"/>
        <w:textAlignment w:val="center"/>
        <w:rPr>
          <w:color w:val="auto"/>
          <w:highlight w:val="none"/>
        </w:rPr>
      </w:pPr>
      <w:r>
        <w:rPr>
          <w:color w:val="auto"/>
          <w:highlight w:val="none"/>
        </w:rPr>
        <w:t>（1）引进项目图纸资料翻译复制费、备品备件测绘费。</w:t>
      </w:r>
    </w:p>
    <w:p w14:paraId="6E5BFA95">
      <w:pPr>
        <w:ind w:firstLine="560" w:firstLineChars="200"/>
        <w:textAlignment w:val="center"/>
        <w:rPr>
          <w:color w:val="auto"/>
          <w:highlight w:val="none"/>
        </w:rPr>
      </w:pPr>
      <w:r>
        <w:rPr>
          <w:color w:val="auto"/>
          <w:highlight w:val="none"/>
        </w:rPr>
        <w:t>（2）出国人员费用：包括买方人员出国设计联络、出国考察、联合设计、监造、培训等所发生的差旅费、生活费等。</w:t>
      </w:r>
    </w:p>
    <w:p w14:paraId="6E9BD354">
      <w:pPr>
        <w:ind w:firstLine="560" w:firstLineChars="200"/>
        <w:textAlignment w:val="center"/>
        <w:rPr>
          <w:color w:val="auto"/>
          <w:highlight w:val="none"/>
        </w:rPr>
      </w:pPr>
      <w:r>
        <w:rPr>
          <w:color w:val="auto"/>
          <w:highlight w:val="none"/>
        </w:rPr>
        <w:t>（3）来华人员费用：包括卖方来华工程技术人员的现场办公费用、往返现场交通费用、接待费用等。</w:t>
      </w:r>
    </w:p>
    <w:p w14:paraId="3B4C533F">
      <w:pPr>
        <w:ind w:firstLine="560" w:firstLineChars="200"/>
        <w:textAlignment w:val="center"/>
        <w:rPr>
          <w:color w:val="auto"/>
          <w:szCs w:val="24"/>
          <w:highlight w:val="none"/>
        </w:rPr>
      </w:pPr>
      <w:r>
        <w:rPr>
          <w:color w:val="auto"/>
          <w:highlight w:val="none"/>
        </w:rPr>
        <w:t>（4）银行担保及承诺费：指引进项目由国内外金融机构出面承担风险和责任担保所发生的费用，以及支付贷款机构的承诺费用。</w:t>
      </w:r>
    </w:p>
    <w:p w14:paraId="40058145">
      <w:pPr>
        <w:ind w:firstLine="560" w:firstLineChars="200"/>
        <w:textAlignment w:val="center"/>
        <w:outlineLvl w:val="4"/>
        <w:rPr>
          <w:rFonts w:eastAsia="楷体"/>
          <w:color w:val="auto"/>
          <w:highlight w:val="none"/>
        </w:rPr>
      </w:pPr>
      <w:bookmarkStart w:id="145" w:name="_Toc149827400"/>
      <w:r>
        <w:rPr>
          <w:rFonts w:eastAsia="楷体"/>
          <w:color w:val="auto"/>
          <w:highlight w:val="none"/>
        </w:rPr>
        <w:t>2．计算方法</w:t>
      </w:r>
      <w:bookmarkEnd w:id="145"/>
    </w:p>
    <w:p w14:paraId="311B8AB9">
      <w:pPr>
        <w:ind w:firstLine="560" w:firstLineChars="200"/>
        <w:textAlignment w:val="center"/>
        <w:rPr>
          <w:color w:val="auto"/>
          <w:highlight w:val="none"/>
        </w:rPr>
      </w:pPr>
      <w:r>
        <w:rPr>
          <w:color w:val="auto"/>
          <w:highlight w:val="none"/>
        </w:rPr>
        <w:t>（1）引进项目图纸资料翻译复制费、备品备件测绘费：根据引进项目的具体情况计列或按引进货价（FOB）的比例计列，引进项目发生备品备件测绘费时按具体情况计列。</w:t>
      </w:r>
    </w:p>
    <w:p w14:paraId="3CB1608A">
      <w:pPr>
        <w:ind w:firstLine="560" w:firstLineChars="200"/>
        <w:textAlignment w:val="center"/>
        <w:rPr>
          <w:color w:val="auto"/>
          <w:highlight w:val="none"/>
        </w:rPr>
      </w:pPr>
      <w:r>
        <w:rPr>
          <w:color w:val="auto"/>
          <w:highlight w:val="none"/>
        </w:rPr>
        <w:t>（2）出国人员费用：依据合同或协议规定的出国人次、期限以及相应的费用标准计算。生活费按财政部、外交部规定的标准计列，差旅费按中国民航公布的票价标准计列。</w:t>
      </w:r>
    </w:p>
    <w:p w14:paraId="59550B42">
      <w:pPr>
        <w:ind w:firstLine="560" w:firstLineChars="200"/>
        <w:textAlignment w:val="center"/>
        <w:rPr>
          <w:color w:val="auto"/>
          <w:highlight w:val="none"/>
        </w:rPr>
      </w:pPr>
      <w:r>
        <w:rPr>
          <w:color w:val="auto"/>
          <w:highlight w:val="none"/>
        </w:rPr>
        <w:t>（3）来华人员费用：依据引进合同或协议有关条款及来华技术人员派遣计划进行计列。来华人员接待费用可按每人次费用指标计列。引进合同价款中已包括的费用内容不得重复计列。</w:t>
      </w:r>
    </w:p>
    <w:p w14:paraId="5055E408">
      <w:pPr>
        <w:ind w:firstLine="560" w:firstLineChars="200"/>
        <w:textAlignment w:val="center"/>
        <w:rPr>
          <w:color w:val="auto"/>
          <w:highlight w:val="none"/>
        </w:rPr>
      </w:pPr>
      <w:r>
        <w:rPr>
          <w:color w:val="auto"/>
          <w:highlight w:val="none"/>
        </w:rPr>
        <w:t>（4）银行担保及承诺费：应按担保或承诺协议计列。估算编制时可以担保金额或承诺金额为基数乘以费率计算。</w:t>
      </w:r>
    </w:p>
    <w:p w14:paraId="52948921">
      <w:pPr>
        <w:ind w:firstLine="560" w:firstLineChars="200"/>
        <w:textAlignment w:val="center"/>
        <w:rPr>
          <w:color w:val="auto"/>
          <w:highlight w:val="none"/>
        </w:rPr>
      </w:pPr>
      <w:r>
        <w:rPr>
          <w:color w:val="auto"/>
          <w:highlight w:val="none"/>
        </w:rPr>
        <w:t>为简化估算编制，按引进设备费的1.0%～1.5%计列。</w:t>
      </w:r>
    </w:p>
    <w:p w14:paraId="14B6D03F">
      <w:pPr>
        <w:keepNext/>
        <w:spacing w:before="145" w:beforeLines="30" w:after="145" w:afterLines="30"/>
        <w:ind w:firstLine="560" w:firstLineChars="200"/>
        <w:textAlignment w:val="center"/>
        <w:outlineLvl w:val="3"/>
        <w:rPr>
          <w:rFonts w:eastAsia="黑体"/>
          <w:color w:val="auto"/>
          <w:szCs w:val="24"/>
          <w:highlight w:val="none"/>
        </w:rPr>
      </w:pPr>
      <w:bookmarkStart w:id="146" w:name="_Toc149827401"/>
      <w:r>
        <w:rPr>
          <w:rFonts w:eastAsia="黑体"/>
          <w:color w:val="auto"/>
          <w:szCs w:val="24"/>
          <w:highlight w:val="none"/>
        </w:rPr>
        <w:t>（十一）综合联调及试运行费</w:t>
      </w:r>
      <w:bookmarkEnd w:id="146"/>
    </w:p>
    <w:p w14:paraId="3D1D1A2F">
      <w:pPr>
        <w:ind w:firstLine="560" w:firstLineChars="200"/>
        <w:textAlignment w:val="center"/>
        <w:outlineLvl w:val="4"/>
        <w:rPr>
          <w:rFonts w:eastAsia="楷体"/>
          <w:color w:val="auto"/>
          <w:highlight w:val="none"/>
        </w:rPr>
      </w:pPr>
      <w:bookmarkStart w:id="147" w:name="_Toc149827402"/>
      <w:r>
        <w:rPr>
          <w:rFonts w:eastAsia="楷体"/>
          <w:color w:val="auto"/>
          <w:highlight w:val="none"/>
        </w:rPr>
        <w:t>1．费用内容</w:t>
      </w:r>
      <w:bookmarkEnd w:id="147"/>
    </w:p>
    <w:p w14:paraId="43715CE0">
      <w:pPr>
        <w:ind w:firstLine="560" w:firstLineChars="200"/>
        <w:textAlignment w:val="center"/>
        <w:rPr>
          <w:color w:val="auto"/>
          <w:highlight w:val="none"/>
        </w:rPr>
      </w:pPr>
      <w:r>
        <w:rPr>
          <w:color w:val="auto"/>
          <w:highlight w:val="none"/>
        </w:rPr>
        <w:t>综合联调及试运行费：是指新建城市轨道交通工程在交付运营前，按照批准的设计文件所规定的工程质量标准和技术要求，在综合联调及试运行期间对整个系统进行综合联调及试运行所发生的费用。综合联调及试运行费包括综合联调及试运行所需原材料、燃料及动力消耗、低值易耗品、其他物料消耗、工具用具使用费、机械使用费、保险金、人员工资以及专家指导费等。不包括应由设备安装工程费开支的调试费，以及在综合联调及试运行中暴露出来的因施工原因或设备缺陷等发生的处理费用。</w:t>
      </w:r>
    </w:p>
    <w:p w14:paraId="3ADF044A">
      <w:pPr>
        <w:ind w:firstLine="560" w:firstLineChars="200"/>
        <w:textAlignment w:val="center"/>
        <w:outlineLvl w:val="4"/>
        <w:rPr>
          <w:rFonts w:eastAsia="楷体"/>
          <w:color w:val="auto"/>
          <w:highlight w:val="none"/>
        </w:rPr>
      </w:pPr>
      <w:bookmarkStart w:id="148" w:name="_Toc149827403"/>
      <w:r>
        <w:rPr>
          <w:rFonts w:eastAsia="楷体"/>
          <w:color w:val="auto"/>
          <w:highlight w:val="none"/>
        </w:rPr>
        <w:t>2．计算方法</w:t>
      </w:r>
      <w:bookmarkEnd w:id="148"/>
    </w:p>
    <w:p w14:paraId="60A641D8">
      <w:pPr>
        <w:ind w:firstLine="560" w:firstLineChars="200"/>
        <w:textAlignment w:val="center"/>
        <w:rPr>
          <w:color w:val="auto"/>
          <w:highlight w:val="none"/>
        </w:rPr>
      </w:pPr>
      <w:r>
        <w:rPr>
          <w:color w:val="auto"/>
          <w:highlight w:val="none"/>
        </w:rPr>
        <w:t>（1）综合联调费：按设备购置费和车辆购置费之和的1.0%～1.5%计列；</w:t>
      </w:r>
    </w:p>
    <w:p w14:paraId="5CF5577E">
      <w:pPr>
        <w:ind w:firstLine="560" w:firstLineChars="200"/>
        <w:textAlignment w:val="center"/>
        <w:rPr>
          <w:color w:val="auto"/>
          <w:highlight w:val="none"/>
        </w:rPr>
      </w:pPr>
      <w:r>
        <w:rPr>
          <w:color w:val="auto"/>
          <w:highlight w:val="none"/>
        </w:rPr>
        <w:t>（2）试运行费：按正线公里数×试运行期（月）×10万元/（正线公里·月）计列。</w:t>
      </w:r>
    </w:p>
    <w:p w14:paraId="58761D4A">
      <w:pPr>
        <w:ind w:firstLine="560" w:firstLineChars="200"/>
        <w:textAlignment w:val="center"/>
        <w:rPr>
          <w:color w:val="auto"/>
          <w:highlight w:val="none"/>
        </w:rPr>
      </w:pPr>
      <w:r>
        <w:rPr>
          <w:color w:val="auto"/>
          <w:highlight w:val="none"/>
        </w:rPr>
        <w:t>当与既有线路联调时，费用可适当增加。</w:t>
      </w:r>
    </w:p>
    <w:p w14:paraId="7AEDB894">
      <w:pPr>
        <w:keepNext/>
        <w:spacing w:before="145" w:beforeLines="30" w:after="145" w:afterLines="30"/>
        <w:ind w:firstLine="560" w:firstLineChars="200"/>
        <w:textAlignment w:val="center"/>
        <w:outlineLvl w:val="3"/>
        <w:rPr>
          <w:rFonts w:eastAsia="黑体"/>
          <w:color w:val="auto"/>
          <w:szCs w:val="24"/>
          <w:highlight w:val="none"/>
        </w:rPr>
      </w:pPr>
      <w:bookmarkStart w:id="149" w:name="_Toc149827404"/>
      <w:r>
        <w:rPr>
          <w:rFonts w:eastAsia="黑体"/>
          <w:color w:val="auto"/>
          <w:szCs w:val="24"/>
          <w:highlight w:val="none"/>
        </w:rPr>
        <w:t>（十二）专利及专有技术使用费</w:t>
      </w:r>
      <w:bookmarkEnd w:id="149"/>
    </w:p>
    <w:p w14:paraId="7608729A">
      <w:pPr>
        <w:ind w:firstLine="560" w:firstLineChars="200"/>
        <w:textAlignment w:val="center"/>
        <w:outlineLvl w:val="4"/>
        <w:rPr>
          <w:rFonts w:eastAsia="楷体"/>
          <w:color w:val="auto"/>
          <w:highlight w:val="none"/>
        </w:rPr>
      </w:pPr>
      <w:bookmarkStart w:id="150" w:name="_Toc149827405"/>
      <w:r>
        <w:rPr>
          <w:rFonts w:eastAsia="楷体"/>
          <w:color w:val="auto"/>
          <w:highlight w:val="none"/>
        </w:rPr>
        <w:t>1．费用内容</w:t>
      </w:r>
      <w:bookmarkEnd w:id="150"/>
    </w:p>
    <w:p w14:paraId="72878704">
      <w:pPr>
        <w:ind w:firstLine="560" w:firstLineChars="200"/>
        <w:textAlignment w:val="center"/>
        <w:rPr>
          <w:color w:val="auto"/>
          <w:highlight w:val="none"/>
        </w:rPr>
      </w:pPr>
      <w:r>
        <w:rPr>
          <w:color w:val="auto"/>
          <w:highlight w:val="none"/>
        </w:rPr>
        <w:t>（1）国外设计及技术资料费、引进有效专利、专有技术使用费和技术保密费。</w:t>
      </w:r>
    </w:p>
    <w:p w14:paraId="1882028B">
      <w:pPr>
        <w:ind w:firstLine="560" w:firstLineChars="200"/>
        <w:textAlignment w:val="center"/>
        <w:rPr>
          <w:color w:val="auto"/>
          <w:highlight w:val="none"/>
        </w:rPr>
      </w:pPr>
      <w:r>
        <w:rPr>
          <w:color w:val="auto"/>
          <w:highlight w:val="none"/>
        </w:rPr>
        <w:t>（2）国内有效专利、专有技术使用费。</w:t>
      </w:r>
    </w:p>
    <w:p w14:paraId="5FBE084E">
      <w:pPr>
        <w:ind w:firstLine="560" w:firstLineChars="200"/>
        <w:textAlignment w:val="center"/>
        <w:rPr>
          <w:color w:val="auto"/>
          <w:highlight w:val="none"/>
        </w:rPr>
      </w:pPr>
      <w:r>
        <w:rPr>
          <w:color w:val="auto"/>
          <w:highlight w:val="none"/>
        </w:rPr>
        <w:t>（3）商标权、商誉和特许经营权费等。</w:t>
      </w:r>
    </w:p>
    <w:p w14:paraId="669D9C63">
      <w:pPr>
        <w:ind w:firstLine="560" w:firstLineChars="200"/>
        <w:textAlignment w:val="center"/>
        <w:outlineLvl w:val="4"/>
        <w:rPr>
          <w:rFonts w:eastAsia="楷体"/>
          <w:color w:val="auto"/>
          <w:highlight w:val="none"/>
        </w:rPr>
      </w:pPr>
      <w:bookmarkStart w:id="151" w:name="_Toc149827406"/>
      <w:r>
        <w:rPr>
          <w:rFonts w:eastAsia="楷体"/>
          <w:color w:val="auto"/>
          <w:highlight w:val="none"/>
        </w:rPr>
        <w:t>2．计算方法</w:t>
      </w:r>
      <w:bookmarkEnd w:id="151"/>
    </w:p>
    <w:p w14:paraId="4948A642">
      <w:pPr>
        <w:ind w:firstLine="560" w:firstLineChars="200"/>
        <w:textAlignment w:val="center"/>
        <w:rPr>
          <w:color w:val="auto"/>
          <w:highlight w:val="none"/>
        </w:rPr>
      </w:pPr>
      <w:r>
        <w:rPr>
          <w:color w:val="auto"/>
          <w:highlight w:val="none"/>
        </w:rPr>
        <w:t>（1）按专利使用许可协议和专有技术使用合同的规定计列。</w:t>
      </w:r>
    </w:p>
    <w:p w14:paraId="399B1C60">
      <w:pPr>
        <w:ind w:firstLine="560" w:firstLineChars="200"/>
        <w:textAlignment w:val="center"/>
        <w:rPr>
          <w:color w:val="auto"/>
          <w:highlight w:val="none"/>
        </w:rPr>
      </w:pPr>
      <w:r>
        <w:rPr>
          <w:color w:val="auto"/>
          <w:highlight w:val="none"/>
        </w:rPr>
        <w:t>（2）专有技术的界定应以省、部级鉴定批准为依据。</w:t>
      </w:r>
    </w:p>
    <w:p w14:paraId="583167E2">
      <w:pPr>
        <w:ind w:firstLine="560" w:firstLineChars="200"/>
        <w:textAlignment w:val="center"/>
        <w:rPr>
          <w:color w:val="auto"/>
          <w:highlight w:val="none"/>
        </w:rPr>
      </w:pPr>
      <w:r>
        <w:rPr>
          <w:color w:val="auto"/>
          <w:highlight w:val="none"/>
        </w:rPr>
        <w:t>（3）项目投资中只计算需在建设期支付的专利及专有技术使用费。协议或合同规定在运营期支付的使用费应在运营成本中核算。</w:t>
      </w:r>
    </w:p>
    <w:p w14:paraId="41021440">
      <w:pPr>
        <w:keepNext/>
        <w:spacing w:before="145" w:beforeLines="30" w:after="145" w:afterLines="30"/>
        <w:ind w:firstLine="560" w:firstLineChars="200"/>
        <w:textAlignment w:val="center"/>
        <w:outlineLvl w:val="3"/>
        <w:rPr>
          <w:rFonts w:eastAsia="黑体"/>
          <w:color w:val="auto"/>
          <w:szCs w:val="24"/>
          <w:highlight w:val="none"/>
        </w:rPr>
      </w:pPr>
      <w:bookmarkStart w:id="152" w:name="_Toc149827407"/>
      <w:r>
        <w:rPr>
          <w:rFonts w:eastAsia="黑体"/>
          <w:color w:val="auto"/>
          <w:szCs w:val="24"/>
          <w:highlight w:val="none"/>
        </w:rPr>
        <w:t>（十三）生产准备及开办费</w:t>
      </w:r>
      <w:bookmarkEnd w:id="152"/>
    </w:p>
    <w:p w14:paraId="5763CFCD">
      <w:pPr>
        <w:ind w:firstLine="560" w:firstLineChars="200"/>
        <w:textAlignment w:val="center"/>
        <w:rPr>
          <w:color w:val="auto"/>
          <w:highlight w:val="none"/>
        </w:rPr>
      </w:pPr>
      <w:r>
        <w:rPr>
          <w:color w:val="auto"/>
          <w:highlight w:val="none"/>
        </w:rPr>
        <w:t>生产准备及开办费：是指在建设期内建设单位为保证正常运营而发生的人员培训费、提前进厂以及投产使用必备的生产办公、生活家具用具及工器具等的购置费用。包括：</w:t>
      </w:r>
    </w:p>
    <w:p w14:paraId="1C7E9613">
      <w:pPr>
        <w:ind w:firstLine="560" w:firstLineChars="200"/>
        <w:textAlignment w:val="center"/>
        <w:outlineLvl w:val="4"/>
        <w:rPr>
          <w:rFonts w:eastAsia="楷体"/>
          <w:color w:val="auto"/>
          <w:highlight w:val="none"/>
        </w:rPr>
      </w:pPr>
      <w:bookmarkStart w:id="153" w:name="_Toc149827408"/>
      <w:r>
        <w:rPr>
          <w:rFonts w:eastAsia="楷体"/>
          <w:color w:val="auto"/>
          <w:highlight w:val="none"/>
        </w:rPr>
        <w:t>1．生产职工培训费</w:t>
      </w:r>
      <w:bookmarkEnd w:id="153"/>
    </w:p>
    <w:p w14:paraId="3C5047D8">
      <w:pPr>
        <w:ind w:firstLine="560" w:firstLineChars="200"/>
        <w:textAlignment w:val="center"/>
        <w:rPr>
          <w:color w:val="auto"/>
          <w:highlight w:val="none"/>
        </w:rPr>
      </w:pPr>
      <w:r>
        <w:rPr>
          <w:color w:val="auto"/>
          <w:highlight w:val="none"/>
        </w:rPr>
        <w:t>（1）费用内容</w:t>
      </w:r>
    </w:p>
    <w:p w14:paraId="3087B421">
      <w:pPr>
        <w:ind w:firstLine="560" w:firstLineChars="200"/>
        <w:textAlignment w:val="center"/>
        <w:rPr>
          <w:color w:val="auto"/>
          <w:highlight w:val="none"/>
        </w:rPr>
      </w:pPr>
      <w:r>
        <w:rPr>
          <w:color w:val="auto"/>
          <w:highlight w:val="none"/>
        </w:rPr>
        <w:t>生产职工培训费：是指工程项目在试运营前，对运营部门生产职工培训所必需的费用。包括提前进厂费用、自行组织培训或委托其他单位培训的人员工资、工资性补贴、职工福利费、差旅交通费、劳动保护费、学习资料费等。</w:t>
      </w:r>
    </w:p>
    <w:p w14:paraId="306E4C78">
      <w:pPr>
        <w:ind w:firstLine="560" w:firstLineChars="200"/>
        <w:textAlignment w:val="center"/>
        <w:rPr>
          <w:color w:val="auto"/>
          <w:highlight w:val="none"/>
        </w:rPr>
      </w:pPr>
      <w:r>
        <w:rPr>
          <w:color w:val="auto"/>
          <w:highlight w:val="none"/>
        </w:rPr>
        <w:t>（2）计算方法</w:t>
      </w:r>
    </w:p>
    <w:p w14:paraId="2B2B7A9E">
      <w:pPr>
        <w:ind w:firstLine="560" w:firstLineChars="200"/>
        <w:textAlignment w:val="center"/>
        <w:rPr>
          <w:color w:val="auto"/>
          <w:highlight w:val="none"/>
        </w:rPr>
      </w:pPr>
      <w:r>
        <w:rPr>
          <w:color w:val="auto"/>
          <w:highlight w:val="none"/>
        </w:rPr>
        <w:t>按设计确定的定员人数×60%×30000元计列。</w:t>
      </w:r>
    </w:p>
    <w:p w14:paraId="08653BD9">
      <w:pPr>
        <w:ind w:firstLine="560" w:firstLineChars="200"/>
        <w:textAlignment w:val="center"/>
        <w:outlineLvl w:val="4"/>
        <w:rPr>
          <w:rFonts w:eastAsia="楷体"/>
          <w:color w:val="auto"/>
          <w:highlight w:val="none"/>
        </w:rPr>
      </w:pPr>
      <w:bookmarkStart w:id="154" w:name="_Toc149827409"/>
      <w:r>
        <w:rPr>
          <w:rFonts w:eastAsia="楷体"/>
          <w:color w:val="auto"/>
          <w:highlight w:val="none"/>
        </w:rPr>
        <w:t>2．生产办公、生活家具用具购置费</w:t>
      </w:r>
      <w:bookmarkEnd w:id="154"/>
    </w:p>
    <w:p w14:paraId="47306757">
      <w:pPr>
        <w:ind w:firstLine="560" w:firstLineChars="200"/>
        <w:textAlignment w:val="center"/>
        <w:rPr>
          <w:color w:val="auto"/>
          <w:highlight w:val="none"/>
        </w:rPr>
      </w:pPr>
      <w:r>
        <w:rPr>
          <w:color w:val="auto"/>
          <w:highlight w:val="none"/>
        </w:rPr>
        <w:t>（1）费用内容</w:t>
      </w:r>
    </w:p>
    <w:p w14:paraId="419FABF5">
      <w:pPr>
        <w:ind w:firstLine="560" w:firstLineChars="200"/>
        <w:textAlignment w:val="center"/>
        <w:rPr>
          <w:color w:val="auto"/>
          <w:highlight w:val="none"/>
        </w:rPr>
      </w:pPr>
      <w:r>
        <w:rPr>
          <w:color w:val="auto"/>
          <w:highlight w:val="none"/>
        </w:rPr>
        <w:t>生产办公、生活家具用具购置费：是指为保证工程项目初期正常运营所必需的生产办公、生活家具用具购置费。</w:t>
      </w:r>
    </w:p>
    <w:p w14:paraId="39C5CF29">
      <w:pPr>
        <w:ind w:firstLine="560" w:firstLineChars="200"/>
        <w:textAlignment w:val="center"/>
        <w:rPr>
          <w:color w:val="auto"/>
          <w:highlight w:val="none"/>
        </w:rPr>
      </w:pPr>
      <w:r>
        <w:rPr>
          <w:color w:val="auto"/>
          <w:highlight w:val="none"/>
        </w:rPr>
        <w:t>（2）计算方法</w:t>
      </w:r>
    </w:p>
    <w:p w14:paraId="206A0092">
      <w:pPr>
        <w:ind w:firstLine="560" w:firstLineChars="200"/>
        <w:textAlignment w:val="center"/>
        <w:rPr>
          <w:color w:val="auto"/>
          <w:highlight w:val="none"/>
        </w:rPr>
      </w:pPr>
      <w:r>
        <w:rPr>
          <w:color w:val="auto"/>
          <w:highlight w:val="none"/>
        </w:rPr>
        <w:t>按设计确定的定员人数×9000元计列。</w:t>
      </w:r>
    </w:p>
    <w:p w14:paraId="2C2ECD23">
      <w:pPr>
        <w:ind w:firstLine="560" w:firstLineChars="200"/>
        <w:textAlignment w:val="center"/>
        <w:outlineLvl w:val="4"/>
        <w:rPr>
          <w:rFonts w:eastAsia="楷体"/>
          <w:color w:val="auto"/>
          <w:highlight w:val="none"/>
        </w:rPr>
      </w:pPr>
      <w:bookmarkStart w:id="155" w:name="_Toc149827410"/>
      <w:r>
        <w:rPr>
          <w:rFonts w:eastAsia="楷体"/>
          <w:color w:val="auto"/>
          <w:highlight w:val="none"/>
        </w:rPr>
        <w:t>3．工器具购置费</w:t>
      </w:r>
      <w:bookmarkEnd w:id="155"/>
    </w:p>
    <w:p w14:paraId="4336BED4">
      <w:pPr>
        <w:ind w:firstLine="560" w:firstLineChars="200"/>
        <w:textAlignment w:val="center"/>
        <w:rPr>
          <w:color w:val="auto"/>
          <w:highlight w:val="none"/>
        </w:rPr>
      </w:pPr>
      <w:r>
        <w:rPr>
          <w:color w:val="auto"/>
          <w:highlight w:val="none"/>
        </w:rPr>
        <w:t>（1）费用内容</w:t>
      </w:r>
    </w:p>
    <w:p w14:paraId="004CE0C4">
      <w:pPr>
        <w:ind w:firstLine="560" w:firstLineChars="200"/>
        <w:textAlignment w:val="center"/>
        <w:rPr>
          <w:color w:val="auto"/>
          <w:highlight w:val="none"/>
        </w:rPr>
      </w:pPr>
      <w:r>
        <w:rPr>
          <w:color w:val="auto"/>
          <w:highlight w:val="none"/>
        </w:rPr>
        <w:t>工器具购置费：是指为保证工程项目初期正常运营所必须购置的第一套不构成固定资产的设备、仪器、仪表、工卡模具、器具、工作台（框、架、柜）等的费用。不包括：构成固定资产的设备、工器具和备品、备件费用，以及已列入设备购置费中的专用工具和备品备件费。</w:t>
      </w:r>
    </w:p>
    <w:p w14:paraId="592E67A1">
      <w:pPr>
        <w:ind w:firstLine="560" w:firstLineChars="200"/>
        <w:textAlignment w:val="center"/>
        <w:rPr>
          <w:color w:val="auto"/>
          <w:highlight w:val="none"/>
        </w:rPr>
      </w:pPr>
      <w:r>
        <w:rPr>
          <w:color w:val="auto"/>
          <w:highlight w:val="none"/>
        </w:rPr>
        <w:t>（2）计算方法</w:t>
      </w:r>
    </w:p>
    <w:p w14:paraId="7647A453">
      <w:pPr>
        <w:ind w:firstLine="560" w:firstLineChars="200"/>
        <w:textAlignment w:val="center"/>
        <w:rPr>
          <w:color w:val="auto"/>
          <w:highlight w:val="none"/>
        </w:rPr>
      </w:pPr>
      <w:r>
        <w:rPr>
          <w:color w:val="auto"/>
          <w:highlight w:val="none"/>
        </w:rPr>
        <w:t>按设计确定的定员人数×4500元计列。</w:t>
      </w:r>
    </w:p>
    <w:p w14:paraId="5CE137B1">
      <w:pPr>
        <w:keepNext/>
        <w:spacing w:before="145" w:beforeLines="30" w:after="145" w:afterLines="30"/>
        <w:ind w:firstLine="560" w:firstLineChars="200"/>
        <w:textAlignment w:val="center"/>
        <w:outlineLvl w:val="3"/>
        <w:rPr>
          <w:rFonts w:eastAsia="黑体"/>
          <w:color w:val="auto"/>
          <w:szCs w:val="24"/>
          <w:highlight w:val="none"/>
        </w:rPr>
      </w:pPr>
      <w:bookmarkStart w:id="156" w:name="_Toc149827411"/>
      <w:r>
        <w:rPr>
          <w:rFonts w:eastAsia="黑体"/>
          <w:color w:val="auto"/>
          <w:szCs w:val="24"/>
          <w:highlight w:val="none"/>
        </w:rPr>
        <w:t>（十四）工程保险费</w:t>
      </w:r>
      <w:bookmarkEnd w:id="156"/>
    </w:p>
    <w:p w14:paraId="3510B801">
      <w:pPr>
        <w:ind w:firstLine="560" w:firstLineChars="200"/>
        <w:textAlignment w:val="center"/>
        <w:outlineLvl w:val="4"/>
        <w:rPr>
          <w:rFonts w:eastAsia="楷体"/>
          <w:color w:val="auto"/>
          <w:highlight w:val="none"/>
        </w:rPr>
      </w:pPr>
      <w:bookmarkStart w:id="157" w:name="_Toc149827412"/>
      <w:r>
        <w:rPr>
          <w:rFonts w:eastAsia="楷体"/>
          <w:color w:val="auto"/>
          <w:highlight w:val="none"/>
        </w:rPr>
        <w:t>1．费用内容</w:t>
      </w:r>
      <w:bookmarkEnd w:id="157"/>
    </w:p>
    <w:p w14:paraId="52169262">
      <w:pPr>
        <w:ind w:firstLine="560" w:firstLineChars="200"/>
        <w:textAlignment w:val="center"/>
        <w:rPr>
          <w:color w:val="auto"/>
          <w:highlight w:val="none"/>
        </w:rPr>
      </w:pPr>
      <w:r>
        <w:rPr>
          <w:color w:val="auto"/>
          <w:highlight w:val="none"/>
        </w:rPr>
        <w:t>工程保险费：是指为转移工程项目建设的意外风险，在建设期内对建筑工程、安装工程、机器设备和人身安全进行投保而发生的费用。包括建筑安装工程一切险、人身意外伤害险和引进设备财产保险。</w:t>
      </w:r>
    </w:p>
    <w:p w14:paraId="4254F58B">
      <w:pPr>
        <w:ind w:firstLine="560" w:firstLineChars="200"/>
        <w:textAlignment w:val="center"/>
        <w:outlineLvl w:val="4"/>
        <w:rPr>
          <w:rFonts w:eastAsia="楷体"/>
          <w:color w:val="auto"/>
          <w:highlight w:val="none"/>
        </w:rPr>
      </w:pPr>
      <w:bookmarkStart w:id="158" w:name="_Toc149827413"/>
      <w:r>
        <w:rPr>
          <w:rFonts w:eastAsia="楷体"/>
          <w:color w:val="auto"/>
          <w:highlight w:val="none"/>
        </w:rPr>
        <w:t>2．计算方法</w:t>
      </w:r>
      <w:bookmarkEnd w:id="158"/>
    </w:p>
    <w:p w14:paraId="2C80CFCA">
      <w:pPr>
        <w:ind w:firstLine="560" w:firstLineChars="200"/>
        <w:textAlignment w:val="center"/>
        <w:rPr>
          <w:color w:val="auto"/>
          <w:highlight w:val="none"/>
        </w:rPr>
      </w:pPr>
      <w:r>
        <w:rPr>
          <w:color w:val="auto"/>
          <w:highlight w:val="none"/>
        </w:rPr>
        <w:t>按工程费用的0.4%～0.7%计列。</w:t>
      </w:r>
    </w:p>
    <w:p w14:paraId="7E6936E1">
      <w:pPr>
        <w:keepNext/>
        <w:spacing w:before="145" w:beforeLines="30" w:after="145" w:afterLines="30"/>
        <w:ind w:firstLine="560" w:firstLineChars="200"/>
        <w:textAlignment w:val="center"/>
        <w:outlineLvl w:val="3"/>
        <w:rPr>
          <w:rFonts w:eastAsia="黑体"/>
          <w:color w:val="auto"/>
          <w:szCs w:val="24"/>
          <w:highlight w:val="none"/>
        </w:rPr>
      </w:pPr>
      <w:bookmarkStart w:id="159" w:name="_Toc149827414"/>
      <w:r>
        <w:rPr>
          <w:rFonts w:eastAsia="黑体"/>
          <w:color w:val="auto"/>
          <w:szCs w:val="24"/>
          <w:highlight w:val="none"/>
        </w:rPr>
        <w:t>（十五）特殊设备安全监督检验费</w:t>
      </w:r>
      <w:bookmarkEnd w:id="159"/>
    </w:p>
    <w:p w14:paraId="498273C8">
      <w:pPr>
        <w:ind w:firstLine="560" w:firstLineChars="200"/>
        <w:textAlignment w:val="center"/>
        <w:outlineLvl w:val="4"/>
        <w:rPr>
          <w:rFonts w:eastAsia="楷体"/>
          <w:color w:val="auto"/>
          <w:highlight w:val="none"/>
        </w:rPr>
      </w:pPr>
      <w:bookmarkStart w:id="160" w:name="_Toc149827415"/>
      <w:r>
        <w:rPr>
          <w:rFonts w:eastAsia="楷体"/>
          <w:color w:val="auto"/>
          <w:highlight w:val="none"/>
        </w:rPr>
        <w:t>1．费用内容</w:t>
      </w:r>
      <w:bookmarkEnd w:id="160"/>
    </w:p>
    <w:p w14:paraId="4AAF14F4">
      <w:pPr>
        <w:ind w:firstLine="560" w:firstLineChars="200"/>
        <w:textAlignment w:val="center"/>
        <w:rPr>
          <w:color w:val="auto"/>
          <w:highlight w:val="none"/>
        </w:rPr>
      </w:pPr>
      <w:r>
        <w:rPr>
          <w:color w:val="auto"/>
          <w:highlight w:val="none"/>
        </w:rPr>
        <w:t>特殊设备安全监督检验费：是指安全监察部门对在施工现场组装的压力锅炉及压力容器、压力管道、消防设备、燃气设备、电梯等特殊设备和设施实施安全检验验收所收取的费用。</w:t>
      </w:r>
    </w:p>
    <w:p w14:paraId="0E26E164">
      <w:pPr>
        <w:ind w:firstLine="560" w:firstLineChars="200"/>
        <w:textAlignment w:val="center"/>
        <w:outlineLvl w:val="4"/>
        <w:rPr>
          <w:rFonts w:eastAsia="楷体"/>
          <w:color w:val="auto"/>
          <w:highlight w:val="none"/>
        </w:rPr>
      </w:pPr>
      <w:bookmarkStart w:id="161" w:name="_Toc149827416"/>
      <w:r>
        <w:rPr>
          <w:rFonts w:eastAsia="楷体"/>
          <w:color w:val="auto"/>
          <w:highlight w:val="none"/>
        </w:rPr>
        <w:t>2．计算方法</w:t>
      </w:r>
      <w:bookmarkEnd w:id="161"/>
    </w:p>
    <w:p w14:paraId="7933DFDD">
      <w:pPr>
        <w:ind w:firstLine="560" w:firstLineChars="200"/>
        <w:textAlignment w:val="center"/>
        <w:rPr>
          <w:color w:val="auto"/>
          <w:highlight w:val="none"/>
        </w:rPr>
      </w:pPr>
      <w:r>
        <w:rPr>
          <w:color w:val="auto"/>
          <w:highlight w:val="none"/>
        </w:rPr>
        <w:t>按照项目所在地省（自治区、直辖市）安全监察部门的规定计列。无具体规定的，可按受检设备安装工程费的比例估算。</w:t>
      </w:r>
    </w:p>
    <w:p w14:paraId="631477CF">
      <w:pPr>
        <w:keepNext/>
        <w:spacing w:before="145" w:beforeLines="30" w:after="145" w:afterLines="30"/>
        <w:ind w:firstLine="560" w:firstLineChars="200"/>
        <w:textAlignment w:val="center"/>
        <w:outlineLvl w:val="3"/>
        <w:rPr>
          <w:rFonts w:eastAsia="黑体"/>
          <w:color w:val="auto"/>
          <w:szCs w:val="24"/>
          <w:highlight w:val="none"/>
        </w:rPr>
      </w:pPr>
      <w:bookmarkStart w:id="162" w:name="_Toc149827417"/>
      <w:r>
        <w:rPr>
          <w:rFonts w:eastAsia="黑体"/>
          <w:color w:val="auto"/>
          <w:szCs w:val="24"/>
          <w:highlight w:val="none"/>
        </w:rPr>
        <w:t>（十六）安全生产保障费</w:t>
      </w:r>
      <w:bookmarkEnd w:id="162"/>
    </w:p>
    <w:p w14:paraId="4BF6F723">
      <w:pPr>
        <w:ind w:firstLine="560" w:firstLineChars="200"/>
        <w:textAlignment w:val="center"/>
        <w:rPr>
          <w:color w:val="auto"/>
          <w:highlight w:val="none"/>
        </w:rPr>
      </w:pPr>
      <w:r>
        <w:rPr>
          <w:color w:val="auto"/>
          <w:highlight w:val="none"/>
        </w:rPr>
        <w:t>安全生产保障费：是指为保障工程项目施工安全而发生的费用。包括第三方监测费、第三方检测及评估费等费用。</w:t>
      </w:r>
    </w:p>
    <w:p w14:paraId="680F302A">
      <w:pPr>
        <w:ind w:firstLine="560" w:firstLineChars="200"/>
        <w:textAlignment w:val="center"/>
        <w:outlineLvl w:val="4"/>
        <w:rPr>
          <w:rFonts w:eastAsia="楷体"/>
          <w:color w:val="auto"/>
          <w:highlight w:val="none"/>
        </w:rPr>
      </w:pPr>
      <w:bookmarkStart w:id="163" w:name="_Toc149827418"/>
      <w:r>
        <w:rPr>
          <w:rFonts w:eastAsia="楷体"/>
          <w:color w:val="auto"/>
          <w:highlight w:val="none"/>
        </w:rPr>
        <w:t>1．费用内容</w:t>
      </w:r>
      <w:bookmarkEnd w:id="163"/>
    </w:p>
    <w:p w14:paraId="7A9F72B4">
      <w:pPr>
        <w:ind w:firstLine="560" w:firstLineChars="200"/>
        <w:textAlignment w:val="center"/>
        <w:rPr>
          <w:color w:val="auto"/>
          <w:highlight w:val="none"/>
        </w:rPr>
      </w:pPr>
      <w:r>
        <w:rPr>
          <w:color w:val="auto"/>
          <w:highlight w:val="none"/>
        </w:rPr>
        <w:t>第三方监测费：是指为保障工程项目施工安全，由建设单位委托第三方监测单位对工程及周边建筑物、构筑物、地下管线、交通设施（道路、桥梁、隧道、通道）等进行监测所发生的费用。</w:t>
      </w:r>
    </w:p>
    <w:p w14:paraId="35E4BDDE">
      <w:pPr>
        <w:ind w:firstLine="560" w:firstLineChars="200"/>
        <w:textAlignment w:val="center"/>
        <w:rPr>
          <w:color w:val="auto"/>
          <w:highlight w:val="none"/>
        </w:rPr>
      </w:pPr>
      <w:r>
        <w:rPr>
          <w:color w:val="auto"/>
          <w:highlight w:val="none"/>
        </w:rPr>
        <w:t>第三方检测、评估费：是指为保障工程项目安全和施工质量，对工程质量（如结构安全、使用功能及构配件等）、周边既有建（构）筑物、桥梁等风险源进行第三方检测及评估所发生的费用。</w:t>
      </w:r>
    </w:p>
    <w:p w14:paraId="4A06707F">
      <w:pPr>
        <w:ind w:firstLine="560" w:firstLineChars="200"/>
        <w:textAlignment w:val="center"/>
        <w:rPr>
          <w:color w:val="auto"/>
          <w:highlight w:val="none"/>
        </w:rPr>
      </w:pPr>
      <w:r>
        <w:rPr>
          <w:color w:val="auto"/>
          <w:highlight w:val="none"/>
        </w:rPr>
        <w:t>其他与保障工程项目施工安全和质量而发生的费用。</w:t>
      </w:r>
    </w:p>
    <w:p w14:paraId="0C4EB2B3">
      <w:pPr>
        <w:ind w:firstLine="560" w:firstLineChars="200"/>
        <w:textAlignment w:val="center"/>
        <w:outlineLvl w:val="4"/>
        <w:rPr>
          <w:rFonts w:eastAsia="楷体"/>
          <w:color w:val="auto"/>
          <w:highlight w:val="none"/>
        </w:rPr>
      </w:pPr>
      <w:bookmarkStart w:id="164" w:name="_Toc149827419"/>
      <w:r>
        <w:rPr>
          <w:rFonts w:eastAsia="楷体"/>
          <w:color w:val="auto"/>
          <w:highlight w:val="none"/>
        </w:rPr>
        <w:t>2．计算方法</w:t>
      </w:r>
      <w:bookmarkEnd w:id="164"/>
    </w:p>
    <w:p w14:paraId="3E566605">
      <w:pPr>
        <w:ind w:firstLine="560" w:firstLineChars="200"/>
        <w:textAlignment w:val="center"/>
        <w:rPr>
          <w:color w:val="auto"/>
          <w:highlight w:val="none"/>
        </w:rPr>
      </w:pPr>
      <w:r>
        <w:rPr>
          <w:color w:val="auto"/>
          <w:highlight w:val="none"/>
        </w:rPr>
        <w:t>按建筑安装工程费的0.8%～1.0%计列。</w:t>
      </w:r>
    </w:p>
    <w:p w14:paraId="1640CAF7">
      <w:pPr>
        <w:keepNext/>
        <w:spacing w:before="145" w:beforeLines="30" w:after="145" w:afterLines="30"/>
        <w:ind w:firstLine="560" w:firstLineChars="200"/>
        <w:textAlignment w:val="center"/>
        <w:outlineLvl w:val="3"/>
        <w:rPr>
          <w:rFonts w:eastAsia="黑体"/>
          <w:color w:val="auto"/>
          <w:szCs w:val="24"/>
          <w:highlight w:val="none"/>
        </w:rPr>
      </w:pPr>
      <w:r>
        <w:rPr>
          <w:rFonts w:eastAsia="黑体"/>
          <w:color w:val="auto"/>
          <w:szCs w:val="24"/>
          <w:highlight w:val="none"/>
        </w:rPr>
        <w:t>（十七）建筑信息模型（BIM）技术服务费</w:t>
      </w:r>
    </w:p>
    <w:p w14:paraId="091B98C4">
      <w:pPr>
        <w:ind w:firstLine="560" w:firstLineChars="200"/>
        <w:textAlignment w:val="center"/>
        <w:outlineLvl w:val="4"/>
        <w:rPr>
          <w:rFonts w:eastAsia="楷体"/>
          <w:color w:val="auto"/>
          <w:highlight w:val="none"/>
        </w:rPr>
      </w:pPr>
      <w:r>
        <w:rPr>
          <w:rFonts w:eastAsia="楷体"/>
          <w:color w:val="auto"/>
          <w:highlight w:val="none"/>
        </w:rPr>
        <w:t>1．费用内容</w:t>
      </w:r>
    </w:p>
    <w:p w14:paraId="58A7BAFB">
      <w:pPr>
        <w:ind w:firstLine="560" w:firstLineChars="200"/>
        <w:textAlignment w:val="center"/>
        <w:rPr>
          <w:color w:val="auto"/>
          <w:szCs w:val="22"/>
          <w:highlight w:val="none"/>
        </w:rPr>
      </w:pPr>
      <w:r>
        <w:rPr>
          <w:color w:val="auto"/>
          <w:szCs w:val="22"/>
          <w:highlight w:val="none"/>
        </w:rPr>
        <w:t>建筑信息模型（BIM）技术服务费：是指利用建筑信息模型的信息集成和管理技术，为工程管理提供数据支撑，实现工程在设计、施工两阶段数字化应用所发生的费用。</w:t>
      </w:r>
      <w:r>
        <w:rPr>
          <w:rFonts w:hint="eastAsia"/>
          <w:color w:val="auto"/>
          <w:szCs w:val="22"/>
          <w:highlight w:val="none"/>
        </w:rPr>
        <w:t>包含</w:t>
      </w:r>
      <w:r>
        <w:rPr>
          <w:color w:val="auto"/>
          <w:szCs w:val="22"/>
          <w:highlight w:val="none"/>
        </w:rPr>
        <w:t>建筑信息模型创建费</w:t>
      </w:r>
      <w:r>
        <w:rPr>
          <w:rFonts w:hint="eastAsia"/>
          <w:color w:val="auto"/>
          <w:szCs w:val="22"/>
          <w:highlight w:val="none"/>
        </w:rPr>
        <w:t>，</w:t>
      </w:r>
      <w:r>
        <w:rPr>
          <w:color w:val="auto"/>
          <w:szCs w:val="22"/>
          <w:highlight w:val="none"/>
        </w:rPr>
        <w:t>建筑信息模型应用相关标准编制、审核及咨询费</w:t>
      </w:r>
      <w:r>
        <w:rPr>
          <w:rFonts w:hint="eastAsia"/>
          <w:color w:val="auto"/>
          <w:szCs w:val="22"/>
          <w:highlight w:val="none"/>
        </w:rPr>
        <w:t>，建筑信息模型软件平台开发建设及应用相关费等费用。</w:t>
      </w:r>
    </w:p>
    <w:p w14:paraId="32DDD38C">
      <w:pPr>
        <w:ind w:firstLine="560" w:firstLineChars="200"/>
        <w:textAlignment w:val="center"/>
        <w:outlineLvl w:val="4"/>
        <w:rPr>
          <w:color w:val="auto"/>
          <w:szCs w:val="22"/>
          <w:highlight w:val="none"/>
        </w:rPr>
      </w:pPr>
      <w:r>
        <w:rPr>
          <w:rFonts w:eastAsia="楷体"/>
          <w:color w:val="auto"/>
          <w:highlight w:val="none"/>
        </w:rPr>
        <w:t>2．计算方法</w:t>
      </w:r>
    </w:p>
    <w:p w14:paraId="787C977A">
      <w:pPr>
        <w:ind w:firstLine="560" w:firstLineChars="200"/>
        <w:textAlignment w:val="center"/>
        <w:rPr>
          <w:color w:val="auto"/>
          <w:szCs w:val="22"/>
          <w:highlight w:val="none"/>
        </w:rPr>
      </w:pPr>
      <w:r>
        <w:rPr>
          <w:color w:val="auto"/>
          <w:szCs w:val="22"/>
          <w:highlight w:val="none"/>
        </w:rPr>
        <w:t>建筑信息模型创建费按建筑安装工程费的0.2%～0.3%计列</w:t>
      </w:r>
      <w:r>
        <w:rPr>
          <w:rFonts w:hint="eastAsia"/>
          <w:color w:val="auto"/>
          <w:szCs w:val="22"/>
          <w:highlight w:val="none"/>
        </w:rPr>
        <w:t>，</w:t>
      </w:r>
      <w:r>
        <w:rPr>
          <w:color w:val="auto"/>
          <w:szCs w:val="22"/>
          <w:highlight w:val="none"/>
        </w:rPr>
        <w:t>建筑安装工程费不足1亿元的，以1亿元作为计算基数。</w:t>
      </w:r>
      <w:r>
        <w:rPr>
          <w:rFonts w:hint="eastAsia"/>
          <w:color w:val="auto"/>
          <w:szCs w:val="22"/>
          <w:highlight w:val="none"/>
        </w:rPr>
        <w:t>或者以车站建筑面积、区间长度等作为计算基数，参照相关市场化标准计列</w:t>
      </w:r>
      <w:r>
        <w:rPr>
          <w:color w:val="auto"/>
          <w:szCs w:val="22"/>
          <w:highlight w:val="none"/>
        </w:rPr>
        <w:t>。</w:t>
      </w:r>
    </w:p>
    <w:p w14:paraId="74D8002D">
      <w:pPr>
        <w:ind w:firstLine="560" w:firstLineChars="200"/>
        <w:textAlignment w:val="center"/>
        <w:rPr>
          <w:color w:val="auto"/>
          <w:szCs w:val="22"/>
          <w:highlight w:val="none"/>
        </w:rPr>
      </w:pPr>
      <w:r>
        <w:rPr>
          <w:color w:val="auto"/>
          <w:szCs w:val="22"/>
          <w:highlight w:val="none"/>
        </w:rPr>
        <w:t>建筑信息模型应用相关标准编制、审核及咨询费</w:t>
      </w:r>
      <w:r>
        <w:rPr>
          <w:rFonts w:hint="eastAsia"/>
          <w:color w:val="auto"/>
          <w:szCs w:val="22"/>
          <w:highlight w:val="none"/>
        </w:rPr>
        <w:t>，建筑信息模型软件平台开发建设及应用相关费等费用，参照</w:t>
      </w:r>
      <w:r>
        <w:rPr>
          <w:color w:val="auto"/>
          <w:szCs w:val="22"/>
          <w:highlight w:val="none"/>
        </w:rPr>
        <w:t>相关合同计列。</w:t>
      </w:r>
    </w:p>
    <w:p w14:paraId="29E88A7D">
      <w:pPr>
        <w:keepNext/>
        <w:spacing w:before="145" w:beforeLines="30" w:after="145" w:afterLines="30"/>
        <w:ind w:firstLine="560" w:firstLineChars="200"/>
        <w:textAlignment w:val="center"/>
        <w:outlineLvl w:val="3"/>
        <w:rPr>
          <w:rFonts w:eastAsia="黑体"/>
          <w:color w:val="auto"/>
          <w:szCs w:val="24"/>
          <w:highlight w:val="none"/>
        </w:rPr>
      </w:pPr>
      <w:r>
        <w:rPr>
          <w:rFonts w:eastAsia="黑体"/>
          <w:color w:val="auto"/>
          <w:szCs w:val="24"/>
          <w:highlight w:val="none"/>
        </w:rPr>
        <w:t>（十八）工程配合协调费</w:t>
      </w:r>
    </w:p>
    <w:p w14:paraId="773A8AB4">
      <w:pPr>
        <w:ind w:firstLine="560" w:firstLineChars="200"/>
        <w:textAlignment w:val="center"/>
        <w:outlineLvl w:val="4"/>
        <w:rPr>
          <w:rFonts w:eastAsia="楷体"/>
          <w:color w:val="auto"/>
          <w:highlight w:val="none"/>
        </w:rPr>
      </w:pPr>
      <w:r>
        <w:rPr>
          <w:rFonts w:eastAsia="楷体"/>
          <w:color w:val="auto"/>
          <w:highlight w:val="none"/>
        </w:rPr>
        <w:t>1．费用内容</w:t>
      </w:r>
    </w:p>
    <w:p w14:paraId="70E0FA75">
      <w:pPr>
        <w:ind w:firstLine="560" w:firstLineChars="200"/>
        <w:textAlignment w:val="center"/>
        <w:rPr>
          <w:color w:val="auto"/>
          <w:szCs w:val="22"/>
          <w:highlight w:val="none"/>
        </w:rPr>
      </w:pPr>
      <w:r>
        <w:rPr>
          <w:color w:val="auto"/>
          <w:szCs w:val="22"/>
          <w:highlight w:val="none"/>
        </w:rPr>
        <w:t>工程配合协调费：是指建设项目穿越铁路、公路、河道等既有工程时，需产权方配合本项目实施而发生的相关协调费用</w:t>
      </w:r>
      <w:r>
        <w:rPr>
          <w:rFonts w:hint="eastAsia"/>
          <w:color w:val="auto"/>
          <w:szCs w:val="22"/>
          <w:highlight w:val="none"/>
        </w:rPr>
        <w:t>，如运输损失补偿费、施工安全监护配合费等费用</w:t>
      </w:r>
      <w:r>
        <w:rPr>
          <w:color w:val="auto"/>
          <w:szCs w:val="22"/>
          <w:highlight w:val="none"/>
        </w:rPr>
        <w:t>。</w:t>
      </w:r>
    </w:p>
    <w:p w14:paraId="6A4622A4">
      <w:pPr>
        <w:ind w:firstLine="560" w:firstLineChars="200"/>
        <w:textAlignment w:val="center"/>
        <w:outlineLvl w:val="4"/>
        <w:rPr>
          <w:rFonts w:eastAsia="楷体"/>
          <w:color w:val="auto"/>
          <w:highlight w:val="none"/>
        </w:rPr>
      </w:pPr>
      <w:r>
        <w:rPr>
          <w:rFonts w:eastAsia="楷体"/>
          <w:color w:val="auto"/>
          <w:highlight w:val="none"/>
        </w:rPr>
        <w:t>2．计算方法</w:t>
      </w:r>
    </w:p>
    <w:p w14:paraId="2F34D55F">
      <w:pPr>
        <w:ind w:firstLine="560" w:firstLineChars="200"/>
        <w:textAlignment w:val="center"/>
        <w:rPr>
          <w:color w:val="auto"/>
          <w:szCs w:val="22"/>
          <w:highlight w:val="none"/>
        </w:rPr>
      </w:pPr>
      <w:r>
        <w:rPr>
          <w:color w:val="auto"/>
          <w:szCs w:val="22"/>
          <w:highlight w:val="none"/>
        </w:rPr>
        <w:t>按项目所在地省（自治区、直辖市）行业主管部门的规定计列。</w:t>
      </w:r>
    </w:p>
    <w:p w14:paraId="52E3EEB6">
      <w:pPr>
        <w:keepNext/>
        <w:spacing w:before="145" w:beforeLines="30" w:after="145" w:afterLines="30"/>
        <w:ind w:firstLine="560" w:firstLineChars="200"/>
        <w:textAlignment w:val="center"/>
        <w:outlineLvl w:val="3"/>
        <w:rPr>
          <w:rFonts w:eastAsia="黑体"/>
          <w:color w:val="auto"/>
          <w:szCs w:val="24"/>
          <w:highlight w:val="none"/>
        </w:rPr>
      </w:pPr>
      <w:r>
        <w:rPr>
          <w:rFonts w:eastAsia="黑体"/>
          <w:color w:val="auto"/>
          <w:szCs w:val="24"/>
          <w:highlight w:val="none"/>
        </w:rPr>
        <w:t>（十九）配合辅助工程费</w:t>
      </w:r>
    </w:p>
    <w:p w14:paraId="07A526FF">
      <w:pPr>
        <w:ind w:firstLine="560" w:firstLineChars="200"/>
        <w:textAlignment w:val="center"/>
        <w:outlineLvl w:val="4"/>
        <w:rPr>
          <w:rFonts w:eastAsia="楷体"/>
          <w:color w:val="auto"/>
          <w:highlight w:val="none"/>
        </w:rPr>
      </w:pPr>
      <w:bookmarkStart w:id="165" w:name="_Toc149827421"/>
      <w:bookmarkStart w:id="166" w:name="_Toc149827423"/>
      <w:r>
        <w:rPr>
          <w:rFonts w:eastAsia="楷体"/>
          <w:color w:val="auto"/>
          <w:highlight w:val="none"/>
        </w:rPr>
        <w:t>1．费用内容</w:t>
      </w:r>
      <w:bookmarkEnd w:id="165"/>
    </w:p>
    <w:p w14:paraId="6FDF132F">
      <w:pPr>
        <w:ind w:firstLine="560" w:firstLineChars="200"/>
        <w:textAlignment w:val="center"/>
        <w:rPr>
          <w:color w:val="auto"/>
          <w:highlight w:val="none"/>
        </w:rPr>
      </w:pPr>
      <w:r>
        <w:rPr>
          <w:color w:val="auto"/>
          <w:highlight w:val="none"/>
        </w:rPr>
        <w:t>配合辅助工程费：是指全部或部分投资由本项目支付修建，而建成后的产权不属于本项目的工程费用，如110KV电力进线工程（产权归电力部门时）、城市道路立交桥工程等。</w:t>
      </w:r>
    </w:p>
    <w:p w14:paraId="5C11FCEF">
      <w:pPr>
        <w:ind w:firstLine="560" w:firstLineChars="200"/>
        <w:textAlignment w:val="center"/>
        <w:outlineLvl w:val="4"/>
        <w:rPr>
          <w:rFonts w:eastAsia="楷体"/>
          <w:color w:val="auto"/>
          <w:highlight w:val="none"/>
        </w:rPr>
      </w:pPr>
      <w:bookmarkStart w:id="167" w:name="_Toc149827422"/>
      <w:r>
        <w:rPr>
          <w:rFonts w:eastAsia="楷体"/>
          <w:color w:val="auto"/>
          <w:highlight w:val="none"/>
        </w:rPr>
        <w:t>2．计算方法</w:t>
      </w:r>
      <w:bookmarkEnd w:id="167"/>
    </w:p>
    <w:p w14:paraId="08477FA3">
      <w:pPr>
        <w:ind w:firstLine="560" w:firstLineChars="200"/>
        <w:textAlignment w:val="center"/>
        <w:rPr>
          <w:color w:val="auto"/>
          <w:highlight w:val="none"/>
        </w:rPr>
      </w:pPr>
      <w:r>
        <w:rPr>
          <w:color w:val="auto"/>
          <w:highlight w:val="none"/>
        </w:rPr>
        <w:t>配合辅助工程应作为独立的其他费用编制单元编制全费用估算（含工程建设其他费用、预备费、建设期利息）。</w:t>
      </w:r>
    </w:p>
    <w:p w14:paraId="58E1AC2D">
      <w:pPr>
        <w:keepNext/>
        <w:spacing w:before="145" w:beforeLines="30" w:after="145" w:afterLines="30"/>
        <w:ind w:firstLine="560" w:firstLineChars="200"/>
        <w:textAlignment w:val="center"/>
        <w:outlineLvl w:val="3"/>
        <w:rPr>
          <w:rFonts w:eastAsia="黑体"/>
          <w:color w:val="auto"/>
          <w:szCs w:val="24"/>
          <w:highlight w:val="none"/>
        </w:rPr>
      </w:pPr>
      <w:r>
        <w:rPr>
          <w:rFonts w:eastAsia="黑体"/>
          <w:color w:val="auto"/>
          <w:szCs w:val="24"/>
          <w:highlight w:val="none"/>
        </w:rPr>
        <w:t>（二十）其他</w:t>
      </w:r>
      <w:bookmarkEnd w:id="166"/>
    </w:p>
    <w:p w14:paraId="4A2629DA">
      <w:pPr>
        <w:ind w:firstLine="560" w:firstLineChars="200"/>
        <w:textAlignment w:val="center"/>
        <w:rPr>
          <w:color w:val="auto"/>
          <w:szCs w:val="22"/>
          <w:highlight w:val="none"/>
        </w:rPr>
      </w:pPr>
      <w:r>
        <w:rPr>
          <w:color w:val="auto"/>
          <w:szCs w:val="22"/>
          <w:highlight w:val="none"/>
        </w:rPr>
        <w:t>指上述费用之外，一般建设项目很少发生或具有明显行业和地区特征的工程建设其他费用项目，如城市基础设施配套费、水资源税、环境保护税、水土保持费、人防易地建设费、航道维护费、白蚁防治费、专项验收费等必须纳入投资估算的其他费用，按照国家、有关行业部委和建设项目所在地省（自治区、直辖市）有关规定计列。</w:t>
      </w:r>
    </w:p>
    <w:bookmarkEnd w:id="101"/>
    <w:p w14:paraId="19D313B4">
      <w:pPr>
        <w:pStyle w:val="3"/>
        <w:jc w:val="center"/>
        <w:rPr>
          <w:rFonts w:ascii="Times New Roman" w:hAnsi="Times New Roman" w:cs="Times New Roman"/>
          <w:color w:val="auto"/>
          <w:highlight w:val="none"/>
        </w:rPr>
      </w:pPr>
      <w:bookmarkStart w:id="168" w:name="_Toc118989874"/>
      <w:bookmarkStart w:id="169" w:name="_Toc26760"/>
      <w:bookmarkStart w:id="170" w:name="_Toc30434"/>
      <w:r>
        <w:rPr>
          <w:rFonts w:ascii="Times New Roman" w:hAnsi="Times New Roman" w:cs="Times New Roman"/>
          <w:color w:val="auto"/>
          <w:highlight w:val="none"/>
        </w:rPr>
        <w:t>第四节　预备费</w:t>
      </w:r>
      <w:bookmarkEnd w:id="168"/>
      <w:bookmarkEnd w:id="169"/>
      <w:bookmarkEnd w:id="170"/>
    </w:p>
    <w:p w14:paraId="05234ED2">
      <w:pPr>
        <w:spacing w:before="145" w:beforeLines="30" w:after="145" w:afterLines="30"/>
        <w:ind w:firstLine="600" w:firstLineChars="200"/>
        <w:outlineLvl w:val="2"/>
        <w:rPr>
          <w:rFonts w:eastAsia="楷体_GB2312"/>
          <w:color w:val="auto"/>
          <w:sz w:val="30"/>
          <w:szCs w:val="30"/>
          <w:highlight w:val="none"/>
        </w:rPr>
      </w:pPr>
      <w:bookmarkStart w:id="171" w:name="_Toc149827425"/>
      <w:bookmarkStart w:id="172" w:name="_Toc14277"/>
      <w:bookmarkStart w:id="173" w:name="_Toc14498"/>
      <w:r>
        <w:rPr>
          <w:rFonts w:eastAsia="楷体_GB2312"/>
          <w:color w:val="auto"/>
          <w:sz w:val="30"/>
          <w:szCs w:val="30"/>
          <w:highlight w:val="none"/>
        </w:rPr>
        <w:t>一、基本预备费</w:t>
      </w:r>
      <w:bookmarkEnd w:id="171"/>
      <w:bookmarkEnd w:id="172"/>
      <w:bookmarkEnd w:id="173"/>
    </w:p>
    <w:p w14:paraId="62DC3A31">
      <w:pPr>
        <w:ind w:firstLine="560" w:firstLineChars="200"/>
        <w:textAlignment w:val="center"/>
        <w:rPr>
          <w:color w:val="auto"/>
          <w:highlight w:val="none"/>
        </w:rPr>
      </w:pPr>
      <w:r>
        <w:rPr>
          <w:color w:val="auto"/>
          <w:highlight w:val="none"/>
        </w:rPr>
        <w:t>基本预备费是指针对项目实施过程中可能发生难以预料的支出而事先预留的费用，又称工程建设不可预见费，主要指设计变更及施工过程中可能增加工程量的费用，基本预备费一般由以下四部分组成：</w:t>
      </w:r>
    </w:p>
    <w:p w14:paraId="6B5403FD">
      <w:pPr>
        <w:ind w:firstLine="560" w:firstLineChars="200"/>
        <w:textAlignment w:val="center"/>
        <w:rPr>
          <w:color w:val="auto"/>
          <w:highlight w:val="none"/>
        </w:rPr>
      </w:pPr>
      <w:r>
        <w:rPr>
          <w:color w:val="auto"/>
          <w:highlight w:val="none"/>
        </w:rPr>
        <w:t>（一）初步设计、施工图设计和施工过程中，在批准的投资估算范围内所增加的工程内容和相关费用。</w:t>
      </w:r>
    </w:p>
    <w:p w14:paraId="57DF5F3F">
      <w:pPr>
        <w:ind w:firstLine="560" w:firstLineChars="200"/>
        <w:textAlignment w:val="center"/>
        <w:rPr>
          <w:color w:val="auto"/>
          <w:highlight w:val="none"/>
        </w:rPr>
      </w:pPr>
      <w:r>
        <w:rPr>
          <w:color w:val="auto"/>
          <w:highlight w:val="none"/>
        </w:rPr>
        <w:t>（二）一般自然灾害造成的损失和预防自然灾害所采取的措施费用。实行工程保险的工程项目，该费用应适当降低。</w:t>
      </w:r>
    </w:p>
    <w:p w14:paraId="45975CA5">
      <w:pPr>
        <w:ind w:firstLine="560" w:firstLineChars="200"/>
        <w:textAlignment w:val="center"/>
        <w:rPr>
          <w:color w:val="auto"/>
          <w:highlight w:val="none"/>
        </w:rPr>
      </w:pPr>
      <w:r>
        <w:rPr>
          <w:color w:val="auto"/>
          <w:highlight w:val="none"/>
        </w:rPr>
        <w:t>（三）竣工验收时为鉴定工程质量，对隐蔽工程进行必要的挖掘和修复费用。</w:t>
      </w:r>
    </w:p>
    <w:p w14:paraId="12FC95C8">
      <w:pPr>
        <w:ind w:firstLine="560" w:firstLineChars="200"/>
        <w:textAlignment w:val="center"/>
        <w:rPr>
          <w:color w:val="auto"/>
          <w:highlight w:val="none"/>
        </w:rPr>
      </w:pPr>
      <w:r>
        <w:rPr>
          <w:color w:val="auto"/>
          <w:highlight w:val="none"/>
        </w:rPr>
        <w:t>（四）超规超限设备运输增加的费用。</w:t>
      </w:r>
    </w:p>
    <w:p w14:paraId="772B9607">
      <w:pPr>
        <w:ind w:firstLine="560" w:firstLineChars="200"/>
        <w:textAlignment w:val="center"/>
        <w:rPr>
          <w:color w:val="auto"/>
          <w:highlight w:val="none"/>
        </w:rPr>
      </w:pPr>
      <w:r>
        <w:rPr>
          <w:color w:val="auto"/>
          <w:highlight w:val="none"/>
        </w:rPr>
        <w:t>计算公式为：</w:t>
      </w:r>
    </w:p>
    <w:p w14:paraId="60405A47">
      <w:pPr>
        <w:ind w:firstLine="560" w:firstLineChars="200"/>
        <w:textAlignment w:val="center"/>
        <w:rPr>
          <w:color w:val="auto"/>
          <w:highlight w:val="none"/>
        </w:rPr>
      </w:pPr>
      <w:r>
        <w:rPr>
          <w:color w:val="auto"/>
          <w:highlight w:val="none"/>
        </w:rPr>
        <w:t>基本预备费=（建筑安装工程费+设备及工器具购置费+工程建设其他费）×基本预备费费率；</w:t>
      </w:r>
    </w:p>
    <w:p w14:paraId="64AB03FE">
      <w:pPr>
        <w:ind w:firstLine="560" w:firstLineChars="200"/>
        <w:textAlignment w:val="center"/>
        <w:rPr>
          <w:color w:val="auto"/>
          <w:highlight w:val="none"/>
        </w:rPr>
      </w:pPr>
      <w:r>
        <w:rPr>
          <w:color w:val="auto"/>
          <w:highlight w:val="none"/>
        </w:rPr>
        <w:t>基本预备费费率按8%～10%计列。</w:t>
      </w:r>
    </w:p>
    <w:p w14:paraId="496B83EF">
      <w:pPr>
        <w:spacing w:before="145" w:beforeLines="30" w:after="145" w:afterLines="30"/>
        <w:ind w:firstLine="600" w:firstLineChars="200"/>
        <w:outlineLvl w:val="2"/>
        <w:rPr>
          <w:rFonts w:eastAsia="楷体_GB2312"/>
          <w:color w:val="auto"/>
          <w:sz w:val="30"/>
          <w:szCs w:val="30"/>
          <w:highlight w:val="none"/>
        </w:rPr>
      </w:pPr>
      <w:bookmarkStart w:id="174" w:name="_Toc30374"/>
      <w:bookmarkStart w:id="175" w:name="_Toc2165"/>
      <w:bookmarkStart w:id="176" w:name="_Toc149827426"/>
      <w:r>
        <w:rPr>
          <w:rFonts w:eastAsia="楷体_GB2312"/>
          <w:color w:val="auto"/>
          <w:sz w:val="30"/>
          <w:szCs w:val="30"/>
          <w:highlight w:val="none"/>
        </w:rPr>
        <w:t>二、价差预备费</w:t>
      </w:r>
      <w:bookmarkEnd w:id="174"/>
      <w:bookmarkEnd w:id="175"/>
      <w:bookmarkEnd w:id="176"/>
    </w:p>
    <w:p w14:paraId="2063DB96">
      <w:pPr>
        <w:ind w:firstLine="560" w:firstLineChars="200"/>
        <w:textAlignment w:val="center"/>
        <w:rPr>
          <w:color w:val="auto"/>
          <w:highlight w:val="none"/>
        </w:rPr>
      </w:pPr>
      <w:r>
        <w:rPr>
          <w:color w:val="auto"/>
          <w:highlight w:val="none"/>
        </w:rPr>
        <w:t>1．价差预备费是指为正确反映建设项目的估算总额，在投资估算编制年度到项目建设竣工的整个期限内，因形成工程造价诸因素的正常变动（如人工、材料、设备价格的上涨，其他有关费用标准的调整及利率、汇率等因素的变化），导致必须对该工程项目所需的总投资额进行合理的核定和调整而需预留的可能增加的费用，又称价格变动不可预见费。</w:t>
      </w:r>
    </w:p>
    <w:p w14:paraId="0EBD24E3">
      <w:pPr>
        <w:ind w:firstLine="560" w:firstLineChars="200"/>
        <w:textAlignment w:val="center"/>
        <w:rPr>
          <w:color w:val="auto"/>
          <w:highlight w:val="none"/>
        </w:rPr>
      </w:pPr>
      <w:r>
        <w:rPr>
          <w:color w:val="auto"/>
          <w:highlight w:val="none"/>
        </w:rPr>
        <w:t>2．本项费用应根据建设项目工程筹划设计安排，以其分年度投资额及不同年限，根据国家公布的工程造价年上涨指数计列。计算公式为：</w:t>
      </w:r>
    </w:p>
    <w:p w14:paraId="0A2426F8">
      <w:pPr>
        <w:suppressAutoHyphens/>
        <w:jc w:val="center"/>
        <w:rPr>
          <w:color w:val="auto"/>
          <w:highlight w:val="none"/>
        </w:rPr>
      </w:pPr>
      <w:r>
        <w:rPr>
          <w:color w:val="auto"/>
          <w:highlight w:val="none"/>
        </w:rPr>
        <w:object>
          <v:shape id="_x0000_i1025" o:spt="75" type="#_x0000_t75" style="height:49.5pt;width:181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p>
    <w:p w14:paraId="1F71E552">
      <w:pPr>
        <w:ind w:firstLine="560" w:firstLineChars="200"/>
        <w:textAlignment w:val="center"/>
        <w:rPr>
          <w:color w:val="auto"/>
          <w:highlight w:val="none"/>
        </w:rPr>
      </w:pPr>
      <w:r>
        <w:rPr>
          <w:color w:val="auto"/>
          <w:highlight w:val="none"/>
        </w:rPr>
        <w:t>式中：</w:t>
      </w:r>
      <w:r>
        <w:rPr>
          <w:color w:val="auto"/>
          <w:highlight w:val="none"/>
        </w:rPr>
        <w:object>
          <v:shape id="_x0000_i1026" o:spt="75" type="#_x0000_t75" style="height:15pt;width:16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color w:val="auto"/>
          <w:highlight w:val="none"/>
        </w:rPr>
        <w:t>—价差预备费；</w:t>
      </w:r>
    </w:p>
    <w:p w14:paraId="3C54FA47">
      <w:pPr>
        <w:ind w:firstLine="560" w:firstLineChars="200"/>
        <w:textAlignment w:val="center"/>
        <w:rPr>
          <w:color w:val="auto"/>
          <w:highlight w:val="none"/>
        </w:rPr>
      </w:pPr>
      <w:r>
        <w:rPr>
          <w:color w:val="auto"/>
          <w:highlight w:val="none"/>
        </w:rPr>
        <w:object>
          <v:shape id="_x0000_i1027" o:spt="75" type="#_x0000_t75" style="height:16pt;width:16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color w:val="auto"/>
          <w:highlight w:val="none"/>
        </w:rPr>
        <w:t>—施工总工期（年）；</w:t>
      </w:r>
    </w:p>
    <w:p w14:paraId="2D9217B9">
      <w:pPr>
        <w:ind w:firstLine="560" w:firstLineChars="200"/>
        <w:textAlignment w:val="center"/>
        <w:rPr>
          <w:color w:val="auto"/>
          <w:highlight w:val="none"/>
        </w:rPr>
      </w:pPr>
      <w:r>
        <w:rPr>
          <w:color w:val="auto"/>
          <w:highlight w:val="none"/>
        </w:rPr>
        <w:object>
          <v:shape id="_x0000_i1028" o:spt="75" type="#_x0000_t75" style="height:22.5pt;width:16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color w:val="auto"/>
          <w:highlight w:val="none"/>
        </w:rPr>
        <w:t>—施工期第</w:t>
      </w:r>
      <w:r>
        <w:rPr>
          <w:color w:val="auto"/>
          <w:highlight w:val="none"/>
        </w:rPr>
        <w:object>
          <v:shape id="_x0000_i1029" o:spt="75" type="#_x0000_t75" style="height:10pt;width:10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color w:val="auto"/>
          <w:highlight w:val="none"/>
        </w:rPr>
        <w:t>年的分年度投资额；</w:t>
      </w:r>
    </w:p>
    <w:p w14:paraId="3936D702">
      <w:pPr>
        <w:ind w:firstLine="560" w:firstLineChars="200"/>
        <w:textAlignment w:val="center"/>
        <w:rPr>
          <w:color w:val="auto"/>
          <w:highlight w:val="none"/>
        </w:rPr>
      </w:pPr>
      <w:r>
        <w:rPr>
          <w:color w:val="auto"/>
          <w:highlight w:val="none"/>
        </w:rPr>
        <w:object>
          <v:shape id="_x0000_i1030" o:spt="75" type="#_x0000_t75" style="height:13pt;width:10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color w:val="auto"/>
          <w:highlight w:val="none"/>
        </w:rPr>
        <w:t>—工程造价年增涨指数；</w:t>
      </w:r>
    </w:p>
    <w:p w14:paraId="47004256">
      <w:pPr>
        <w:ind w:firstLine="560" w:firstLineChars="200"/>
        <w:textAlignment w:val="center"/>
        <w:rPr>
          <w:color w:val="auto"/>
          <w:highlight w:val="none"/>
        </w:rPr>
      </w:pPr>
      <w:r>
        <w:rPr>
          <w:color w:val="auto"/>
          <w:highlight w:val="none"/>
        </w:rPr>
        <w:object>
          <v:shape id="_x0000_i1031" o:spt="75" type="#_x0000_t75" style="height:10pt;width:10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r>
        <w:rPr>
          <w:color w:val="auto"/>
          <w:highlight w:val="none"/>
        </w:rPr>
        <w:t>—编制年至开工年年限（年）；</w:t>
      </w:r>
    </w:p>
    <w:p w14:paraId="5D1B9998">
      <w:pPr>
        <w:ind w:firstLine="560" w:firstLineChars="200"/>
        <w:textAlignment w:val="center"/>
        <w:rPr>
          <w:color w:val="auto"/>
          <w:highlight w:val="none"/>
        </w:rPr>
      </w:pPr>
      <w:r>
        <w:rPr>
          <w:color w:val="auto"/>
          <w:highlight w:val="none"/>
        </w:rPr>
        <w:object>
          <v:shape id="_x0000_i1032" o:spt="75" type="#_x0000_t75" style="height:10pt;width:10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7">
            <o:LockedField>false</o:LockedField>
          </o:OLEObject>
        </w:object>
      </w:r>
      <w:r>
        <w:rPr>
          <w:color w:val="auto"/>
          <w:highlight w:val="none"/>
        </w:rPr>
        <w:t>—开工年至结（决）算年年限（年）。</w:t>
      </w:r>
    </w:p>
    <w:p w14:paraId="283F15CF">
      <w:pPr>
        <w:pStyle w:val="3"/>
        <w:jc w:val="center"/>
        <w:rPr>
          <w:rFonts w:ascii="Times New Roman" w:hAnsi="Times New Roman" w:cs="Times New Roman"/>
          <w:color w:val="auto"/>
          <w:highlight w:val="none"/>
        </w:rPr>
      </w:pPr>
      <w:bookmarkStart w:id="177" w:name="_Toc118989875"/>
      <w:bookmarkStart w:id="178" w:name="_Toc3803"/>
      <w:bookmarkStart w:id="179" w:name="_Toc27543"/>
      <w:r>
        <w:rPr>
          <w:rFonts w:ascii="Times New Roman" w:hAnsi="Times New Roman" w:cs="Times New Roman"/>
          <w:color w:val="auto"/>
          <w:highlight w:val="none"/>
        </w:rPr>
        <w:t>第五节　专项费用</w:t>
      </w:r>
      <w:bookmarkEnd w:id="177"/>
      <w:bookmarkEnd w:id="178"/>
      <w:bookmarkEnd w:id="179"/>
    </w:p>
    <w:p w14:paraId="64BE237C">
      <w:pPr>
        <w:spacing w:before="145" w:beforeLines="30" w:after="145" w:afterLines="30"/>
        <w:ind w:firstLine="600" w:firstLineChars="200"/>
        <w:outlineLvl w:val="2"/>
        <w:rPr>
          <w:rFonts w:eastAsia="楷体_GB2312"/>
          <w:color w:val="auto"/>
          <w:sz w:val="30"/>
          <w:szCs w:val="30"/>
          <w:highlight w:val="none"/>
        </w:rPr>
      </w:pPr>
      <w:bookmarkStart w:id="180" w:name="_Toc19976"/>
      <w:bookmarkStart w:id="181" w:name="_Toc31583"/>
      <w:bookmarkStart w:id="182" w:name="_Toc149827428"/>
      <w:r>
        <w:rPr>
          <w:rFonts w:eastAsia="楷体_GB2312"/>
          <w:color w:val="auto"/>
          <w:sz w:val="30"/>
          <w:szCs w:val="30"/>
          <w:highlight w:val="none"/>
        </w:rPr>
        <w:t>一、车辆购置费</w:t>
      </w:r>
      <w:bookmarkEnd w:id="180"/>
      <w:bookmarkEnd w:id="181"/>
      <w:bookmarkEnd w:id="182"/>
    </w:p>
    <w:p w14:paraId="424A8704">
      <w:pPr>
        <w:ind w:firstLine="560" w:firstLineChars="200"/>
        <w:textAlignment w:val="center"/>
        <w:rPr>
          <w:color w:val="auto"/>
          <w:highlight w:val="none"/>
        </w:rPr>
      </w:pPr>
      <w:r>
        <w:rPr>
          <w:color w:val="auto"/>
          <w:highlight w:val="none"/>
        </w:rPr>
        <w:t>车辆购置费（含车辆监造费）：按设计确定的初期车辆配置数量及车辆市场价格信息计列。</w:t>
      </w:r>
    </w:p>
    <w:p w14:paraId="4FC0B64D">
      <w:pPr>
        <w:spacing w:before="145" w:beforeLines="30" w:after="145" w:afterLines="30"/>
        <w:ind w:firstLine="600" w:firstLineChars="200"/>
        <w:outlineLvl w:val="2"/>
        <w:rPr>
          <w:rFonts w:eastAsia="楷体_GB2312"/>
          <w:color w:val="auto"/>
          <w:sz w:val="30"/>
          <w:szCs w:val="30"/>
          <w:highlight w:val="none"/>
        </w:rPr>
      </w:pPr>
      <w:bookmarkStart w:id="183" w:name="_Toc21250"/>
      <w:bookmarkStart w:id="184" w:name="_Toc149827429"/>
      <w:r>
        <w:rPr>
          <w:rFonts w:eastAsia="楷体_GB2312"/>
          <w:color w:val="auto"/>
          <w:sz w:val="30"/>
          <w:szCs w:val="30"/>
          <w:highlight w:val="none"/>
        </w:rPr>
        <w:t>二、建设期利息</w:t>
      </w:r>
      <w:bookmarkEnd w:id="183"/>
      <w:bookmarkEnd w:id="184"/>
    </w:p>
    <w:p w14:paraId="60B7AE0E">
      <w:pPr>
        <w:ind w:firstLine="560" w:firstLineChars="200"/>
        <w:textAlignment w:val="center"/>
        <w:rPr>
          <w:color w:val="auto"/>
          <w:highlight w:val="none"/>
        </w:rPr>
      </w:pPr>
      <w:r>
        <w:rPr>
          <w:color w:val="auto"/>
          <w:highlight w:val="none"/>
        </w:rPr>
        <w:t>建设期利息：是指在建设期内发生的为工程项目筹措资金的融资费用及债务资金利息。</w:t>
      </w:r>
    </w:p>
    <w:p w14:paraId="6192547D">
      <w:pPr>
        <w:ind w:firstLine="560" w:firstLineChars="200"/>
        <w:textAlignment w:val="center"/>
        <w:rPr>
          <w:color w:val="auto"/>
          <w:highlight w:val="none"/>
        </w:rPr>
      </w:pPr>
      <w:r>
        <w:rPr>
          <w:color w:val="auto"/>
          <w:highlight w:val="none"/>
        </w:rPr>
        <w:t>建设期利息包括建设期国内贷款利息、建设期国外贷款利息以及其他债务资金利息。</w:t>
      </w:r>
    </w:p>
    <w:p w14:paraId="3750B283">
      <w:pPr>
        <w:ind w:firstLine="560" w:firstLineChars="200"/>
        <w:textAlignment w:val="center"/>
        <w:outlineLvl w:val="3"/>
        <w:rPr>
          <w:rFonts w:eastAsia="楷体"/>
          <w:color w:val="auto"/>
          <w:highlight w:val="none"/>
        </w:rPr>
      </w:pPr>
      <w:bookmarkStart w:id="185" w:name="_Toc149827430"/>
      <w:r>
        <w:rPr>
          <w:rFonts w:eastAsia="楷体"/>
          <w:color w:val="auto"/>
          <w:highlight w:val="none"/>
        </w:rPr>
        <w:t>（一）建设期国内贷款利息</w:t>
      </w:r>
      <w:bookmarkEnd w:id="185"/>
    </w:p>
    <w:p w14:paraId="3B704E9B">
      <w:pPr>
        <w:ind w:firstLine="560" w:firstLineChars="200"/>
        <w:textAlignment w:val="center"/>
        <w:rPr>
          <w:color w:val="auto"/>
          <w:highlight w:val="none"/>
        </w:rPr>
      </w:pPr>
      <w:r>
        <w:rPr>
          <w:color w:val="auto"/>
          <w:highlight w:val="none"/>
        </w:rPr>
        <w:t>建设期国内贷款利息：指工程项目中分年度使用国内贷款，在建设期应归还的贷款利息。</w:t>
      </w:r>
    </w:p>
    <w:p w14:paraId="6BE0FAEA">
      <w:pPr>
        <w:ind w:firstLine="560" w:firstLineChars="200"/>
        <w:textAlignment w:val="center"/>
        <w:rPr>
          <w:color w:val="auto"/>
          <w:highlight w:val="none"/>
        </w:rPr>
      </w:pPr>
      <w:r>
        <w:rPr>
          <w:color w:val="auto"/>
          <w:highlight w:val="none"/>
        </w:rPr>
        <w:t>计算公式为：</w:t>
      </w:r>
    </w:p>
    <w:p w14:paraId="17617FBC">
      <w:pPr>
        <w:ind w:firstLine="560" w:firstLineChars="200"/>
        <w:textAlignment w:val="center"/>
        <w:rPr>
          <w:color w:val="auto"/>
          <w:highlight w:val="none"/>
        </w:rPr>
      </w:pPr>
      <w:r>
        <w:rPr>
          <w:color w:val="auto"/>
          <w:highlight w:val="none"/>
        </w:rPr>
        <w:t>建设期贷款利息 = ∑（年初付息贷款本金累计 + 本年度付息贷款额÷2）×年利率</w:t>
      </w:r>
    </w:p>
    <w:p w14:paraId="686F19B1">
      <w:pPr>
        <w:ind w:firstLine="560" w:firstLineChars="200"/>
        <w:textAlignment w:val="center"/>
        <w:rPr>
          <w:color w:val="auto"/>
          <w:highlight w:val="none"/>
        </w:rPr>
      </w:pPr>
      <w:r>
        <w:rPr>
          <w:color w:val="auto"/>
          <w:highlight w:val="none"/>
        </w:rPr>
        <w:t>即：</w:t>
      </w:r>
    </w:p>
    <w:p w14:paraId="23AE5A52">
      <w:pPr>
        <w:suppressAutoHyphens/>
        <w:jc w:val="center"/>
        <w:rPr>
          <w:color w:val="auto"/>
          <w:highlight w:val="none"/>
        </w:rPr>
      </w:pPr>
      <w:r>
        <w:rPr>
          <w:color w:val="auto"/>
          <w:highlight w:val="none"/>
        </w:rPr>
        <w:object>
          <v:shape id="_x0000_i1033" o:spt="75" type="#_x0000_t75" style="height:47.5pt;width:228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p>
    <w:p w14:paraId="1670DCB2">
      <w:pPr>
        <w:ind w:firstLine="560" w:firstLineChars="200"/>
        <w:textAlignment w:val="center"/>
        <w:rPr>
          <w:color w:val="auto"/>
          <w:highlight w:val="none"/>
        </w:rPr>
      </w:pPr>
      <w:r>
        <w:rPr>
          <w:color w:val="auto"/>
          <w:highlight w:val="none"/>
        </w:rPr>
        <w:t>式中：</w:t>
      </w:r>
      <w:r>
        <w:rPr>
          <w:color w:val="auto"/>
          <w:highlight w:val="none"/>
        </w:rPr>
        <w:object>
          <v:shape id="_x0000_i1034" o:spt="75" type="#_x0000_t75" style="height:16pt;width:13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color w:val="auto"/>
          <w:highlight w:val="none"/>
        </w:rPr>
        <w:t>—建设期贷款利息；</w:t>
      </w:r>
    </w:p>
    <w:p w14:paraId="6CA41ABA">
      <w:pPr>
        <w:ind w:firstLine="560" w:firstLineChars="200"/>
        <w:textAlignment w:val="center"/>
        <w:rPr>
          <w:color w:val="auto"/>
          <w:highlight w:val="none"/>
        </w:rPr>
      </w:pPr>
      <w:r>
        <w:rPr>
          <w:color w:val="auto"/>
          <w:highlight w:val="none"/>
        </w:rPr>
        <w:object>
          <v:shape id="_x0000_i1035" o:spt="75" type="#_x0000_t75" style="height:16pt;width:16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color w:val="auto"/>
          <w:highlight w:val="none"/>
        </w:rPr>
        <w:t>—建设总工期（年）；</w:t>
      </w:r>
    </w:p>
    <w:p w14:paraId="1A58CB69">
      <w:pPr>
        <w:ind w:firstLine="560" w:firstLineChars="200"/>
        <w:textAlignment w:val="center"/>
        <w:rPr>
          <w:color w:val="auto"/>
          <w:highlight w:val="none"/>
        </w:rPr>
      </w:pPr>
      <w:r>
        <w:rPr>
          <w:color w:val="auto"/>
          <w:highlight w:val="none"/>
        </w:rPr>
        <w:object>
          <v:shape id="_x0000_i1036" o:spt="75" type="#_x0000_t75" style="height:13pt;width:13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color w:val="auto"/>
          <w:highlight w:val="none"/>
        </w:rPr>
        <w:t>—施工年度；</w:t>
      </w:r>
    </w:p>
    <w:p w14:paraId="3C8353E0">
      <w:pPr>
        <w:ind w:firstLine="560" w:firstLineChars="200"/>
        <w:textAlignment w:val="center"/>
        <w:rPr>
          <w:color w:val="auto"/>
          <w:highlight w:val="none"/>
        </w:rPr>
      </w:pPr>
      <w:r>
        <w:rPr>
          <w:color w:val="auto"/>
          <w:highlight w:val="none"/>
        </w:rPr>
        <w:object>
          <v:shape id="_x0000_i1037" o:spt="75" type="#_x0000_t75" style="height:15pt;width:19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color w:val="auto"/>
          <w:highlight w:val="none"/>
        </w:rPr>
        <w:t>—还息年度；</w:t>
      </w:r>
    </w:p>
    <w:p w14:paraId="12D5E11F">
      <w:pPr>
        <w:ind w:firstLine="560" w:firstLineChars="200"/>
        <w:textAlignment w:val="center"/>
        <w:rPr>
          <w:color w:val="auto"/>
          <w:highlight w:val="none"/>
        </w:rPr>
      </w:pPr>
      <w:r>
        <w:rPr>
          <w:color w:val="auto"/>
          <w:highlight w:val="none"/>
        </w:rPr>
        <w:object>
          <v:shape id="_x0000_i1038" o:spt="75" type="#_x0000_t75" style="height:22.5pt;width:13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r>
        <w:rPr>
          <w:color w:val="auto"/>
          <w:highlight w:val="none"/>
        </w:rPr>
        <w:t>、</w:t>
      </w:r>
      <w:r>
        <w:rPr>
          <w:color w:val="auto"/>
          <w:highlight w:val="none"/>
        </w:rPr>
        <w:object>
          <v:shape id="_x0000_i1039" o:spt="75" type="#_x0000_t75" style="height:22.5pt;width:16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color w:val="auto"/>
          <w:highlight w:val="none"/>
        </w:rPr>
        <w:t>—在建设年度的第</w:t>
      </w:r>
      <w:r>
        <w:rPr>
          <w:color w:val="auto"/>
          <w:highlight w:val="none"/>
        </w:rPr>
        <w:object>
          <v:shape id="_x0000_i1040" o:spt="75" type="#_x0000_t75" style="height:13pt;width:13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42">
            <o:LockedField>false</o:LockedField>
          </o:OLEObject>
        </w:object>
      </w:r>
      <w:r>
        <w:rPr>
          <w:color w:val="auto"/>
          <w:highlight w:val="none"/>
        </w:rPr>
        <w:t>、</w:t>
      </w:r>
      <w:r>
        <w:rPr>
          <w:color w:val="auto"/>
          <w:highlight w:val="none"/>
        </w:rPr>
        <w:object>
          <v:shape id="_x0000_i1041" o:spt="75" type="#_x0000_t75" style="height:15pt;width:19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43">
            <o:LockedField>false</o:LockedField>
          </o:OLEObject>
        </w:object>
      </w:r>
      <w:r>
        <w:rPr>
          <w:color w:val="auto"/>
          <w:highlight w:val="none"/>
        </w:rPr>
        <w:t>年的分年度资金供应量；</w:t>
      </w:r>
    </w:p>
    <w:p w14:paraId="49555D84">
      <w:pPr>
        <w:ind w:firstLine="560" w:firstLineChars="200"/>
        <w:textAlignment w:val="center"/>
        <w:rPr>
          <w:color w:val="auto"/>
          <w:highlight w:val="none"/>
        </w:rPr>
      </w:pPr>
      <w:r>
        <w:rPr>
          <w:color w:val="auto"/>
          <w:highlight w:val="none"/>
        </w:rPr>
        <w:drawing>
          <wp:inline distT="0" distB="0" distL="0" distR="0">
            <wp:extent cx="165100" cy="27940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65100" cy="279400"/>
                    </a:xfrm>
                    <a:prstGeom prst="rect">
                      <a:avLst/>
                    </a:prstGeom>
                    <a:noFill/>
                    <a:ln>
                      <a:noFill/>
                    </a:ln>
                  </pic:spPr>
                </pic:pic>
              </a:graphicData>
            </a:graphic>
          </wp:inline>
        </w:drawing>
      </w:r>
      <w:r>
        <w:rPr>
          <w:color w:val="auto"/>
          <w:highlight w:val="none"/>
        </w:rPr>
        <w:t>、</w:t>
      </w:r>
      <w:r>
        <w:rPr>
          <w:color w:val="auto"/>
          <w:highlight w:val="none"/>
        </w:rPr>
        <w:object>
          <v:shape id="_x0000_i1042" o:spt="75" type="#_x0000_t75" style="height:22pt;width:16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r>
        <w:rPr>
          <w:color w:val="auto"/>
          <w:highlight w:val="none"/>
        </w:rPr>
        <w:t>—在建设的第</w:t>
      </w:r>
      <w:r>
        <w:rPr>
          <w:color w:val="auto"/>
          <w:highlight w:val="none"/>
        </w:rPr>
        <w:object>
          <v:shape id="_x0000_i1043" o:spt="75" type="#_x0000_t75" style="height:13pt;width:13pt;" o:ole="t" filled="f" o:preferrelative="t" stroked="f" coordsize="21600,21600">
            <v:path/>
            <v:fill on="f" focussize="0,0"/>
            <v:stroke on="f" joinstyle="miter"/>
            <v:imagedata r:id="rId35" o:title=""/>
            <o:lock v:ext="edit" aspectratio="t"/>
            <w10:wrap type="none"/>
            <w10:anchorlock/>
          </v:shape>
          <o:OLEObject Type="Embed" ProgID="Equation.DSMT4" ShapeID="_x0000_i1043" DrawAspect="Content" ObjectID="_1468075743" r:id="rId47">
            <o:LockedField>false</o:LockedField>
          </o:OLEObject>
        </w:object>
      </w:r>
      <w:r>
        <w:rPr>
          <w:color w:val="auto"/>
          <w:highlight w:val="none"/>
        </w:rPr>
        <w:t>、</w:t>
      </w:r>
      <w:r>
        <w:rPr>
          <w:color w:val="auto"/>
          <w:highlight w:val="none"/>
        </w:rPr>
        <w:object>
          <v:shape id="_x0000_i1044" o:spt="75" type="#_x0000_t75" style="height:15pt;width:19pt;" o:ole="t" filled="f" o:preferrelative="t" stroked="f" coordsize="21600,21600">
            <v:path/>
            <v:fill on="f" focussize="0,0"/>
            <v:stroke on="f" joinstyle="miter"/>
            <v:imagedata r:id="rId37" o:title=""/>
            <o:lock v:ext="edit" aspectratio="t"/>
            <w10:wrap type="none"/>
            <w10:anchorlock/>
          </v:shape>
          <o:OLEObject Type="Embed" ProgID="Equation.DSMT4" ShapeID="_x0000_i1044" DrawAspect="Content" ObjectID="_1468075744" r:id="rId48">
            <o:LockedField>false</o:LockedField>
          </o:OLEObject>
        </w:object>
      </w:r>
      <w:r>
        <w:rPr>
          <w:color w:val="auto"/>
          <w:highlight w:val="none"/>
        </w:rPr>
        <w:t>年份还息贷款占当年投资比例；</w:t>
      </w:r>
    </w:p>
    <w:p w14:paraId="1B543FAC">
      <w:pPr>
        <w:ind w:firstLine="560" w:firstLineChars="200"/>
        <w:textAlignment w:val="center"/>
        <w:rPr>
          <w:color w:val="auto"/>
          <w:highlight w:val="none"/>
        </w:rPr>
      </w:pPr>
      <w:r>
        <w:rPr>
          <w:color w:val="auto"/>
          <w:highlight w:val="none"/>
        </w:rPr>
        <w:object>
          <v:shape id="_x0000_i1045" o:spt="75" type="#_x0000_t75" style="height:19pt;width:13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color w:val="auto"/>
          <w:highlight w:val="none"/>
        </w:rPr>
        <w:t>—建设期贷款年利率。</w:t>
      </w:r>
    </w:p>
    <w:p w14:paraId="26267228">
      <w:pPr>
        <w:ind w:firstLine="560" w:firstLineChars="200"/>
        <w:textAlignment w:val="center"/>
        <w:outlineLvl w:val="3"/>
        <w:rPr>
          <w:rFonts w:eastAsia="楷体"/>
          <w:color w:val="auto"/>
          <w:highlight w:val="none"/>
        </w:rPr>
      </w:pPr>
      <w:bookmarkStart w:id="186" w:name="_Toc149827431"/>
      <w:r>
        <w:rPr>
          <w:rFonts w:eastAsia="楷体"/>
          <w:color w:val="auto"/>
          <w:highlight w:val="none"/>
        </w:rPr>
        <w:t>（二）建设期国外贷款利息</w:t>
      </w:r>
      <w:bookmarkEnd w:id="186"/>
    </w:p>
    <w:p w14:paraId="6797BB64">
      <w:pPr>
        <w:ind w:firstLine="560" w:firstLineChars="200"/>
        <w:textAlignment w:val="center"/>
        <w:rPr>
          <w:color w:val="auto"/>
          <w:highlight w:val="none"/>
        </w:rPr>
      </w:pPr>
      <w:r>
        <w:rPr>
          <w:color w:val="auto"/>
          <w:highlight w:val="none"/>
        </w:rPr>
        <w:t>建设期国外贷款利息的计算中，年利率应综合考虑贷款协议中向贷款方加收的手续费、管理费、承诺费，以及国内代理机构向贷款方收取的转贷费、担保费和管理费等。</w:t>
      </w:r>
    </w:p>
    <w:p w14:paraId="31490761">
      <w:pPr>
        <w:ind w:firstLine="560" w:firstLineChars="200"/>
        <w:textAlignment w:val="center"/>
        <w:outlineLvl w:val="3"/>
        <w:rPr>
          <w:color w:val="auto"/>
          <w:highlight w:val="none"/>
        </w:rPr>
      </w:pPr>
      <w:r>
        <w:rPr>
          <w:rFonts w:eastAsia="楷体"/>
          <w:color w:val="auto"/>
          <w:highlight w:val="none"/>
        </w:rPr>
        <w:t>（三）其他债务资金利息</w:t>
      </w:r>
    </w:p>
    <w:p w14:paraId="43EF7615">
      <w:pPr>
        <w:ind w:firstLine="560" w:firstLineChars="200"/>
        <w:textAlignment w:val="center"/>
        <w:rPr>
          <w:color w:val="auto"/>
          <w:highlight w:val="none"/>
        </w:rPr>
      </w:pPr>
      <w:r>
        <w:rPr>
          <w:color w:val="auto"/>
          <w:highlight w:val="none"/>
        </w:rPr>
        <w:t>债务资金除采用银行贷款融资方式外，也可采用专项债等多元化融资方式，其利息按照相关方法计算。</w:t>
      </w:r>
    </w:p>
    <w:p w14:paraId="6869EF63">
      <w:pPr>
        <w:spacing w:before="145" w:beforeLines="30" w:after="145" w:afterLines="30"/>
        <w:ind w:firstLine="600" w:firstLineChars="200"/>
        <w:outlineLvl w:val="2"/>
        <w:rPr>
          <w:rFonts w:eastAsia="楷体_GB2312"/>
          <w:color w:val="auto"/>
          <w:sz w:val="30"/>
          <w:szCs w:val="30"/>
          <w:highlight w:val="none"/>
        </w:rPr>
      </w:pPr>
      <w:bookmarkStart w:id="187" w:name="_Toc4023"/>
      <w:bookmarkStart w:id="188" w:name="_Toc149827432"/>
      <w:bookmarkStart w:id="189" w:name="_Toc15383"/>
      <w:r>
        <w:rPr>
          <w:rFonts w:eastAsia="楷体_GB2312"/>
          <w:color w:val="auto"/>
          <w:sz w:val="30"/>
          <w:szCs w:val="30"/>
          <w:highlight w:val="none"/>
        </w:rPr>
        <w:t>三、铺底流动资金</w:t>
      </w:r>
      <w:bookmarkEnd w:id="187"/>
      <w:bookmarkEnd w:id="188"/>
      <w:bookmarkEnd w:id="189"/>
    </w:p>
    <w:p w14:paraId="1B2EAA7F">
      <w:pPr>
        <w:ind w:firstLine="560" w:firstLineChars="200"/>
        <w:textAlignment w:val="center"/>
        <w:rPr>
          <w:color w:val="auto"/>
          <w:highlight w:val="none"/>
        </w:rPr>
      </w:pPr>
      <w:r>
        <w:rPr>
          <w:color w:val="auto"/>
          <w:highlight w:val="none"/>
        </w:rPr>
        <w:t>铺底流动资金：是指为保证新建工程项目投产初期正常运营，按规定应列入工程项目总投资的铺底流动资金。主要用于购买原材料、燃料、动力，支付职工工资和其他有关费用。一般按流动资金的30%计算。</w:t>
      </w:r>
    </w:p>
    <w:p w14:paraId="4D70F1A9">
      <w:pPr>
        <w:ind w:firstLine="560" w:firstLineChars="200"/>
        <w:textAlignment w:val="center"/>
        <w:rPr>
          <w:color w:val="auto"/>
          <w:highlight w:val="none"/>
        </w:rPr>
      </w:pPr>
      <w:r>
        <w:rPr>
          <w:color w:val="auto"/>
          <w:highlight w:val="none"/>
        </w:rPr>
        <w:t>为简化编制估算，新建工程按设计确定的初期车辆配置数量，每辆10万元计列。</w:t>
      </w:r>
      <w:bookmarkStart w:id="190" w:name="_Toc118989876"/>
    </w:p>
    <w:p w14:paraId="0908D6AD">
      <w:pPr>
        <w:ind w:firstLine="560" w:firstLineChars="200"/>
        <w:textAlignment w:val="center"/>
        <w:rPr>
          <w:color w:val="auto"/>
          <w:highlight w:val="none"/>
        </w:rPr>
      </w:pPr>
    </w:p>
    <w:p w14:paraId="29BF7F70">
      <w:pPr>
        <w:ind w:firstLine="560" w:firstLineChars="200"/>
        <w:textAlignment w:val="center"/>
        <w:rPr>
          <w:color w:val="auto"/>
          <w:highlight w:val="none"/>
        </w:rPr>
      </w:pPr>
    </w:p>
    <w:p w14:paraId="4AE26268">
      <w:pPr>
        <w:ind w:firstLine="560" w:firstLineChars="200"/>
        <w:textAlignment w:val="center"/>
        <w:rPr>
          <w:color w:val="auto"/>
          <w:highlight w:val="none"/>
        </w:rPr>
      </w:pPr>
    </w:p>
    <w:p w14:paraId="1DC4A787">
      <w:pPr>
        <w:ind w:firstLine="560" w:firstLineChars="200"/>
        <w:textAlignment w:val="center"/>
        <w:rPr>
          <w:color w:val="auto"/>
          <w:highlight w:val="none"/>
        </w:rPr>
      </w:pPr>
    </w:p>
    <w:p w14:paraId="41022039">
      <w:pPr>
        <w:ind w:firstLine="560" w:firstLineChars="200"/>
        <w:textAlignment w:val="center"/>
        <w:rPr>
          <w:color w:val="auto"/>
          <w:highlight w:val="none"/>
        </w:rPr>
      </w:pPr>
    </w:p>
    <w:p w14:paraId="7D486F71">
      <w:pPr>
        <w:ind w:firstLine="560" w:firstLineChars="200"/>
        <w:textAlignment w:val="center"/>
        <w:rPr>
          <w:color w:val="auto"/>
          <w:highlight w:val="none"/>
        </w:rPr>
      </w:pPr>
    </w:p>
    <w:p w14:paraId="08E25CFF">
      <w:pPr>
        <w:ind w:firstLine="560" w:firstLineChars="200"/>
        <w:textAlignment w:val="center"/>
        <w:rPr>
          <w:color w:val="auto"/>
          <w:highlight w:val="none"/>
        </w:rPr>
      </w:pPr>
    </w:p>
    <w:p w14:paraId="0A125277">
      <w:pPr>
        <w:ind w:firstLine="560" w:firstLineChars="200"/>
        <w:textAlignment w:val="center"/>
        <w:rPr>
          <w:color w:val="auto"/>
          <w:highlight w:val="none"/>
        </w:rPr>
      </w:pPr>
    </w:p>
    <w:p w14:paraId="5AC4760E">
      <w:pPr>
        <w:ind w:firstLine="560" w:firstLineChars="200"/>
        <w:textAlignment w:val="center"/>
        <w:rPr>
          <w:color w:val="auto"/>
          <w:highlight w:val="none"/>
        </w:rPr>
      </w:pPr>
    </w:p>
    <w:p w14:paraId="2F1941CD">
      <w:pPr>
        <w:ind w:firstLine="560" w:firstLineChars="200"/>
        <w:textAlignment w:val="center"/>
        <w:rPr>
          <w:color w:val="auto"/>
          <w:highlight w:val="none"/>
        </w:rPr>
      </w:pPr>
    </w:p>
    <w:p w14:paraId="770ED4B5">
      <w:pPr>
        <w:ind w:firstLine="560" w:firstLineChars="200"/>
        <w:textAlignment w:val="center"/>
        <w:rPr>
          <w:color w:val="auto"/>
          <w:highlight w:val="none"/>
        </w:rPr>
      </w:pPr>
    </w:p>
    <w:p w14:paraId="2539C269">
      <w:pPr>
        <w:ind w:firstLine="560" w:firstLineChars="200"/>
        <w:textAlignment w:val="center"/>
        <w:rPr>
          <w:color w:val="auto"/>
          <w:highlight w:val="none"/>
        </w:rPr>
      </w:pPr>
    </w:p>
    <w:p w14:paraId="71E7AC10">
      <w:pPr>
        <w:ind w:firstLine="560" w:firstLineChars="200"/>
        <w:textAlignment w:val="center"/>
        <w:rPr>
          <w:color w:val="auto"/>
          <w:highlight w:val="none"/>
        </w:rPr>
      </w:pPr>
    </w:p>
    <w:p w14:paraId="0DA43A9B">
      <w:pPr>
        <w:ind w:firstLine="560" w:firstLineChars="200"/>
        <w:textAlignment w:val="center"/>
        <w:rPr>
          <w:color w:val="auto"/>
          <w:highlight w:val="none"/>
        </w:rPr>
      </w:pPr>
    </w:p>
    <w:p w14:paraId="05455E9F">
      <w:pPr>
        <w:ind w:firstLine="560" w:firstLineChars="200"/>
        <w:textAlignment w:val="center"/>
        <w:rPr>
          <w:color w:val="auto"/>
          <w:highlight w:val="none"/>
        </w:rPr>
      </w:pPr>
    </w:p>
    <w:p w14:paraId="2BEAC4EA">
      <w:pPr>
        <w:jc w:val="center"/>
        <w:textAlignment w:val="center"/>
        <w:outlineLvl w:val="0"/>
        <w:rPr>
          <w:rFonts w:eastAsiaTheme="minorEastAsia"/>
          <w:b/>
          <w:bCs/>
          <w:color w:val="auto"/>
          <w:kern w:val="44"/>
          <w:sz w:val="44"/>
          <w:szCs w:val="44"/>
          <w:highlight w:val="none"/>
        </w:rPr>
      </w:pPr>
      <w:bookmarkStart w:id="191" w:name="_Toc31369"/>
      <w:bookmarkStart w:id="192" w:name="_Toc17485"/>
      <w:r>
        <w:rPr>
          <w:rFonts w:eastAsiaTheme="minorEastAsia"/>
          <w:b/>
          <w:bCs/>
          <w:color w:val="auto"/>
          <w:kern w:val="44"/>
          <w:sz w:val="44"/>
          <w:szCs w:val="44"/>
          <w:highlight w:val="none"/>
        </w:rPr>
        <w:t>附录</w:t>
      </w:r>
      <w:bookmarkEnd w:id="191"/>
      <w:bookmarkEnd w:id="192"/>
    </w:p>
    <w:p w14:paraId="34F158D5">
      <w:pPr>
        <w:ind w:firstLine="560" w:firstLineChars="200"/>
        <w:textAlignment w:val="center"/>
        <w:rPr>
          <w:color w:val="auto"/>
          <w:highlight w:val="none"/>
        </w:rPr>
      </w:pPr>
      <w:r>
        <w:rPr>
          <w:color w:val="auto"/>
          <w:highlight w:val="none"/>
        </w:rPr>
        <w:t>附录一 综合估算章节表</w:t>
      </w:r>
      <w:bookmarkEnd w:id="190"/>
    </w:p>
    <w:p w14:paraId="3BF2C876">
      <w:pPr>
        <w:ind w:firstLine="560" w:firstLineChars="200"/>
        <w:textAlignment w:val="center"/>
        <w:rPr>
          <w:color w:val="auto"/>
          <w:highlight w:val="none"/>
        </w:rPr>
      </w:pPr>
      <w:bookmarkStart w:id="193" w:name="_Toc118989877"/>
      <w:r>
        <w:rPr>
          <w:color w:val="auto"/>
          <w:highlight w:val="none"/>
        </w:rPr>
        <w:t>附录二 总估算表</w:t>
      </w:r>
      <w:bookmarkEnd w:id="193"/>
    </w:p>
    <w:p w14:paraId="31160BEC">
      <w:pPr>
        <w:ind w:firstLine="560" w:firstLineChars="200"/>
        <w:textAlignment w:val="center"/>
        <w:rPr>
          <w:color w:val="auto"/>
          <w:highlight w:val="none"/>
        </w:rPr>
      </w:pPr>
      <w:bookmarkStart w:id="194" w:name="_Toc118989878"/>
      <w:r>
        <w:rPr>
          <w:color w:val="auto"/>
          <w:highlight w:val="none"/>
        </w:rPr>
        <w:t>附录三 综合估算表</w:t>
      </w:r>
      <w:bookmarkEnd w:id="194"/>
    </w:p>
    <w:p w14:paraId="208CC962">
      <w:pPr>
        <w:ind w:firstLine="560" w:firstLineChars="200"/>
        <w:textAlignment w:val="center"/>
        <w:rPr>
          <w:color w:val="auto"/>
          <w:highlight w:val="none"/>
        </w:rPr>
      </w:pPr>
      <w:bookmarkStart w:id="195" w:name="_Toc118989879"/>
      <w:r>
        <w:rPr>
          <w:color w:val="auto"/>
          <w:highlight w:val="none"/>
        </w:rPr>
        <w:t xml:space="preserve">附录四 </w:t>
      </w:r>
      <w:bookmarkEnd w:id="195"/>
      <w:r>
        <w:rPr>
          <w:color w:val="auto"/>
          <w:highlight w:val="none"/>
        </w:rPr>
        <w:t>可行性研究估算与建设规划估算对照表</w:t>
      </w:r>
    </w:p>
    <w:p w14:paraId="1D341B07">
      <w:pPr>
        <w:ind w:firstLine="560" w:firstLineChars="200"/>
        <w:textAlignment w:val="center"/>
        <w:rPr>
          <w:color w:val="auto"/>
          <w:highlight w:val="none"/>
        </w:rPr>
      </w:pPr>
      <w:r>
        <w:rPr>
          <w:color w:val="auto"/>
          <w:highlight w:val="none"/>
        </w:rPr>
        <w:t>附录五 主要工程数量表</w:t>
      </w:r>
    </w:p>
    <w:p w14:paraId="1EC3C394">
      <w:pPr>
        <w:ind w:firstLine="560" w:firstLineChars="200"/>
        <w:rPr>
          <w:bCs/>
          <w:color w:val="auto"/>
          <w:szCs w:val="24"/>
          <w:highlight w:val="none"/>
        </w:rPr>
      </w:pPr>
    </w:p>
    <w:p w14:paraId="05F6E8DE">
      <w:pPr>
        <w:ind w:firstLine="562" w:firstLineChars="200"/>
        <w:rPr>
          <w:b/>
          <w:color w:val="auto"/>
          <w:szCs w:val="24"/>
          <w:highlight w:val="none"/>
        </w:rPr>
      </w:pPr>
    </w:p>
    <w:p w14:paraId="3AA4F957">
      <w:pPr>
        <w:ind w:firstLine="562" w:firstLineChars="200"/>
        <w:rPr>
          <w:b/>
          <w:color w:val="auto"/>
          <w:szCs w:val="24"/>
          <w:highlight w:val="none"/>
        </w:rPr>
        <w:sectPr>
          <w:footerReference r:id="rId5" w:type="default"/>
          <w:pgSz w:w="11906" w:h="16838"/>
          <w:pgMar w:top="1701" w:right="1417" w:bottom="1531" w:left="1417" w:header="992" w:footer="850" w:gutter="0"/>
          <w:pgNumType w:start="1"/>
          <w:cols w:space="425" w:num="1"/>
          <w:docGrid w:type="lines" w:linePitch="485" w:charSpace="0"/>
        </w:sectPr>
      </w:pPr>
    </w:p>
    <w:tbl>
      <w:tblPr>
        <w:tblStyle w:val="24"/>
        <w:tblW w:w="13588" w:type="dxa"/>
        <w:jc w:val="center"/>
        <w:tblLayout w:type="fixed"/>
        <w:tblCellMar>
          <w:top w:w="0" w:type="dxa"/>
          <w:left w:w="108" w:type="dxa"/>
          <w:bottom w:w="0" w:type="dxa"/>
          <w:right w:w="108" w:type="dxa"/>
        </w:tblCellMar>
      </w:tblPr>
      <w:tblGrid>
        <w:gridCol w:w="687"/>
        <w:gridCol w:w="704"/>
        <w:gridCol w:w="3816"/>
        <w:gridCol w:w="1677"/>
        <w:gridCol w:w="6704"/>
      </w:tblGrid>
      <w:tr w14:paraId="4DCB93CB">
        <w:tblPrEx>
          <w:tblCellMar>
            <w:top w:w="0" w:type="dxa"/>
            <w:left w:w="108" w:type="dxa"/>
            <w:bottom w:w="0" w:type="dxa"/>
            <w:right w:w="108" w:type="dxa"/>
          </w:tblCellMar>
        </w:tblPrEx>
        <w:trPr>
          <w:trHeight w:val="23" w:hRule="atLeast"/>
          <w:tblHeader/>
          <w:jc w:val="center"/>
        </w:trPr>
        <w:tc>
          <w:tcPr>
            <w:tcW w:w="13588" w:type="dxa"/>
            <w:gridSpan w:val="5"/>
            <w:tcBorders>
              <w:top w:val="nil"/>
              <w:left w:val="nil"/>
              <w:bottom w:val="single" w:color="auto" w:sz="4" w:space="0"/>
              <w:right w:val="nil"/>
            </w:tcBorders>
            <w:shd w:val="clear" w:color="000000" w:fill="FFFFFF"/>
            <w:vAlign w:val="center"/>
          </w:tcPr>
          <w:p w14:paraId="4A156C1B">
            <w:pPr>
              <w:spacing w:line="440" w:lineRule="exact"/>
              <w:jc w:val="center"/>
              <w:rPr>
                <w:b/>
                <w:bCs/>
                <w:color w:val="auto"/>
                <w:sz w:val="21"/>
                <w:szCs w:val="21"/>
                <w:highlight w:val="none"/>
              </w:rPr>
            </w:pPr>
            <w:bookmarkStart w:id="196" w:name="_Toc26360"/>
            <w:r>
              <w:rPr>
                <w:rFonts w:eastAsia="黑体"/>
                <w:color w:val="auto"/>
                <w:sz w:val="26"/>
                <w:highlight w:val="none"/>
              </w:rPr>
              <w:t>附录一 综合估算章节表</w:t>
            </w:r>
            <w:bookmarkEnd w:id="196"/>
          </w:p>
        </w:tc>
      </w:tr>
      <w:tr w14:paraId="29BA99C3">
        <w:tblPrEx>
          <w:tblCellMar>
            <w:top w:w="0" w:type="dxa"/>
            <w:left w:w="108" w:type="dxa"/>
            <w:bottom w:w="0" w:type="dxa"/>
            <w:right w:w="108" w:type="dxa"/>
          </w:tblCellMar>
        </w:tblPrEx>
        <w:trPr>
          <w:trHeight w:val="23" w:hRule="atLeast"/>
          <w:tblHeader/>
          <w:jc w:val="center"/>
        </w:trPr>
        <w:tc>
          <w:tcPr>
            <w:tcW w:w="687" w:type="dxa"/>
            <w:tcBorders>
              <w:top w:val="single" w:color="auto" w:sz="4" w:space="0"/>
              <w:left w:val="single" w:color="auto" w:sz="4" w:space="0"/>
              <w:bottom w:val="single" w:color="auto" w:sz="4" w:space="0"/>
              <w:right w:val="single" w:color="auto" w:sz="4" w:space="0"/>
            </w:tcBorders>
            <w:shd w:val="clear" w:color="000000" w:fill="FFFFFF"/>
            <w:vAlign w:val="center"/>
          </w:tcPr>
          <w:p w14:paraId="132B6907">
            <w:pPr>
              <w:widowControl/>
              <w:spacing w:line="440" w:lineRule="exact"/>
              <w:jc w:val="center"/>
              <w:textAlignment w:val="center"/>
              <w:rPr>
                <w:b/>
                <w:bCs/>
                <w:color w:val="auto"/>
                <w:sz w:val="21"/>
                <w:szCs w:val="21"/>
                <w:highlight w:val="none"/>
              </w:rPr>
            </w:pPr>
            <w:r>
              <w:rPr>
                <w:color w:val="auto"/>
                <w:kern w:val="0"/>
                <w:sz w:val="21"/>
                <w:szCs w:val="21"/>
                <w:highlight w:val="none"/>
                <w:lang w:bidi="ar"/>
              </w:rPr>
              <w:t>章号</w:t>
            </w:r>
          </w:p>
        </w:tc>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14:paraId="21C64431">
            <w:pPr>
              <w:widowControl/>
              <w:spacing w:line="440" w:lineRule="exact"/>
              <w:jc w:val="center"/>
              <w:textAlignment w:val="center"/>
              <w:rPr>
                <w:b/>
                <w:bCs/>
                <w:color w:val="auto"/>
                <w:sz w:val="21"/>
                <w:szCs w:val="21"/>
                <w:highlight w:val="none"/>
              </w:rPr>
            </w:pPr>
            <w:r>
              <w:rPr>
                <w:color w:val="auto"/>
                <w:kern w:val="0"/>
                <w:sz w:val="21"/>
                <w:szCs w:val="21"/>
                <w:highlight w:val="none"/>
                <w:lang w:bidi="ar"/>
              </w:rPr>
              <w:t>节号</w:t>
            </w:r>
          </w:p>
        </w:tc>
        <w:tc>
          <w:tcPr>
            <w:tcW w:w="3816" w:type="dxa"/>
            <w:tcBorders>
              <w:top w:val="single" w:color="auto" w:sz="4" w:space="0"/>
              <w:left w:val="single" w:color="auto" w:sz="4" w:space="0"/>
              <w:bottom w:val="single" w:color="auto" w:sz="4" w:space="0"/>
              <w:right w:val="single" w:color="auto" w:sz="4" w:space="0"/>
            </w:tcBorders>
            <w:shd w:val="clear" w:color="000000" w:fill="FFFFFF"/>
            <w:vAlign w:val="center"/>
          </w:tcPr>
          <w:p w14:paraId="3C7BFE0A">
            <w:pPr>
              <w:widowControl/>
              <w:spacing w:line="440" w:lineRule="exact"/>
              <w:jc w:val="center"/>
              <w:textAlignment w:val="center"/>
              <w:rPr>
                <w:b/>
                <w:bCs/>
                <w:color w:val="auto"/>
                <w:sz w:val="21"/>
                <w:szCs w:val="21"/>
                <w:highlight w:val="none"/>
              </w:rPr>
            </w:pPr>
            <w:r>
              <w:rPr>
                <w:color w:val="auto"/>
                <w:kern w:val="0"/>
                <w:sz w:val="21"/>
                <w:szCs w:val="21"/>
                <w:highlight w:val="none"/>
                <w:lang w:bidi="ar"/>
              </w:rPr>
              <w:t>工程及费用名称</w:t>
            </w:r>
          </w:p>
        </w:tc>
        <w:tc>
          <w:tcPr>
            <w:tcW w:w="1677" w:type="dxa"/>
            <w:tcBorders>
              <w:top w:val="single" w:color="auto" w:sz="4" w:space="0"/>
              <w:left w:val="single" w:color="auto" w:sz="4" w:space="0"/>
              <w:bottom w:val="single" w:color="auto" w:sz="4" w:space="0"/>
              <w:right w:val="single" w:color="auto" w:sz="4" w:space="0"/>
            </w:tcBorders>
            <w:shd w:val="clear" w:color="000000" w:fill="FFFFFF"/>
            <w:vAlign w:val="center"/>
          </w:tcPr>
          <w:p w14:paraId="581886E2">
            <w:pPr>
              <w:widowControl/>
              <w:spacing w:line="440" w:lineRule="exact"/>
              <w:jc w:val="center"/>
              <w:textAlignment w:val="center"/>
              <w:rPr>
                <w:b/>
                <w:bCs/>
                <w:color w:val="auto"/>
                <w:sz w:val="21"/>
                <w:szCs w:val="21"/>
                <w:highlight w:val="none"/>
              </w:rPr>
            </w:pPr>
            <w:r>
              <w:rPr>
                <w:color w:val="auto"/>
                <w:kern w:val="0"/>
                <w:sz w:val="21"/>
                <w:szCs w:val="21"/>
                <w:highlight w:val="none"/>
                <w:lang w:bidi="ar"/>
              </w:rPr>
              <w:t>单位</w:t>
            </w:r>
          </w:p>
        </w:tc>
        <w:tc>
          <w:tcPr>
            <w:tcW w:w="6704" w:type="dxa"/>
            <w:tcBorders>
              <w:top w:val="single" w:color="auto" w:sz="4" w:space="0"/>
              <w:left w:val="single" w:color="auto" w:sz="4" w:space="0"/>
              <w:bottom w:val="single" w:color="auto" w:sz="4" w:space="0"/>
              <w:right w:val="single" w:color="auto" w:sz="4" w:space="0"/>
            </w:tcBorders>
            <w:shd w:val="clear" w:color="000000" w:fill="FFFFFF"/>
            <w:vAlign w:val="center"/>
          </w:tcPr>
          <w:p w14:paraId="4753E4AF">
            <w:pPr>
              <w:widowControl/>
              <w:spacing w:line="440" w:lineRule="exact"/>
              <w:jc w:val="center"/>
              <w:textAlignment w:val="center"/>
              <w:rPr>
                <w:b/>
                <w:bCs/>
                <w:color w:val="auto"/>
                <w:sz w:val="21"/>
                <w:szCs w:val="21"/>
                <w:highlight w:val="none"/>
              </w:rPr>
            </w:pPr>
            <w:r>
              <w:rPr>
                <w:color w:val="auto"/>
                <w:kern w:val="0"/>
                <w:sz w:val="21"/>
                <w:szCs w:val="21"/>
                <w:highlight w:val="none"/>
                <w:lang w:bidi="ar"/>
              </w:rPr>
              <w:t>说明</w:t>
            </w:r>
          </w:p>
        </w:tc>
      </w:tr>
      <w:tr w14:paraId="2E948325">
        <w:tblPrEx>
          <w:tblCellMar>
            <w:top w:w="0" w:type="dxa"/>
            <w:left w:w="108" w:type="dxa"/>
            <w:bottom w:w="0" w:type="dxa"/>
            <w:right w:w="108" w:type="dxa"/>
          </w:tblCellMar>
        </w:tblPrEx>
        <w:trPr>
          <w:trHeight w:val="23" w:hRule="atLeast"/>
          <w:jc w:val="center"/>
        </w:trPr>
        <w:tc>
          <w:tcPr>
            <w:tcW w:w="5207" w:type="dxa"/>
            <w:gridSpan w:val="3"/>
            <w:tcBorders>
              <w:top w:val="single" w:color="auto" w:sz="4" w:space="0"/>
              <w:left w:val="single" w:color="auto" w:sz="8" w:space="0"/>
              <w:bottom w:val="single" w:color="auto" w:sz="8" w:space="0"/>
              <w:right w:val="single" w:color="000000" w:sz="8" w:space="0"/>
            </w:tcBorders>
            <w:shd w:val="clear" w:color="000000" w:fill="FFFFFF"/>
            <w:vAlign w:val="center"/>
          </w:tcPr>
          <w:p w14:paraId="6A92E255">
            <w:pPr>
              <w:widowControl/>
              <w:spacing w:line="440" w:lineRule="exact"/>
              <w:jc w:val="center"/>
              <w:textAlignment w:val="center"/>
              <w:rPr>
                <w:color w:val="auto"/>
                <w:sz w:val="21"/>
                <w:szCs w:val="21"/>
                <w:highlight w:val="none"/>
              </w:rPr>
            </w:pPr>
            <w:r>
              <w:rPr>
                <w:color w:val="auto"/>
                <w:kern w:val="0"/>
                <w:sz w:val="21"/>
                <w:szCs w:val="21"/>
                <w:highlight w:val="none"/>
                <w:lang w:bidi="ar"/>
              </w:rPr>
              <w:t>第一部分 工程费用</w:t>
            </w:r>
          </w:p>
        </w:tc>
        <w:tc>
          <w:tcPr>
            <w:tcW w:w="1677" w:type="dxa"/>
            <w:tcBorders>
              <w:top w:val="single" w:color="auto" w:sz="4" w:space="0"/>
              <w:left w:val="nil"/>
              <w:bottom w:val="single" w:color="auto" w:sz="8" w:space="0"/>
              <w:right w:val="single" w:color="auto" w:sz="8" w:space="0"/>
            </w:tcBorders>
            <w:shd w:val="clear" w:color="000000" w:fill="FFFFFF"/>
            <w:vAlign w:val="center"/>
          </w:tcPr>
          <w:p w14:paraId="7D8A0853">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single" w:color="auto" w:sz="4" w:space="0"/>
              <w:left w:val="nil"/>
              <w:bottom w:val="single" w:color="auto" w:sz="8" w:space="0"/>
              <w:right w:val="single" w:color="auto" w:sz="8" w:space="0"/>
            </w:tcBorders>
            <w:shd w:val="clear" w:color="000000" w:fill="FFFFFF"/>
            <w:vAlign w:val="center"/>
          </w:tcPr>
          <w:p w14:paraId="048F563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B65375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CFE072D">
            <w:pPr>
              <w:widowControl/>
              <w:spacing w:line="440" w:lineRule="exact"/>
              <w:jc w:val="center"/>
              <w:textAlignment w:val="center"/>
              <w:rPr>
                <w:color w:val="auto"/>
                <w:sz w:val="21"/>
                <w:szCs w:val="21"/>
                <w:highlight w:val="none"/>
              </w:rPr>
            </w:pPr>
            <w:r>
              <w:rPr>
                <w:color w:val="auto"/>
                <w:kern w:val="0"/>
                <w:sz w:val="21"/>
                <w:szCs w:val="21"/>
                <w:highlight w:val="none"/>
                <w:lang w:bidi="ar"/>
              </w:rPr>
              <w:t>一</w:t>
            </w:r>
          </w:p>
        </w:tc>
        <w:tc>
          <w:tcPr>
            <w:tcW w:w="704" w:type="dxa"/>
            <w:tcBorders>
              <w:top w:val="nil"/>
              <w:left w:val="nil"/>
              <w:bottom w:val="single" w:color="auto" w:sz="8" w:space="0"/>
              <w:right w:val="single" w:color="auto" w:sz="8" w:space="0"/>
            </w:tcBorders>
            <w:shd w:val="clear" w:color="000000" w:fill="FFFFFF"/>
            <w:vAlign w:val="center"/>
          </w:tcPr>
          <w:p w14:paraId="5CD7090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EF0259D">
            <w:pPr>
              <w:widowControl/>
              <w:spacing w:line="440" w:lineRule="exact"/>
              <w:textAlignment w:val="center"/>
              <w:rPr>
                <w:color w:val="auto"/>
                <w:sz w:val="21"/>
                <w:szCs w:val="21"/>
                <w:highlight w:val="none"/>
              </w:rPr>
            </w:pPr>
            <w:r>
              <w:rPr>
                <w:color w:val="auto"/>
                <w:kern w:val="0"/>
                <w:sz w:val="21"/>
                <w:szCs w:val="21"/>
                <w:highlight w:val="none"/>
                <w:lang w:bidi="ar"/>
              </w:rPr>
              <w:t>车站</w:t>
            </w:r>
          </w:p>
        </w:tc>
        <w:tc>
          <w:tcPr>
            <w:tcW w:w="1677" w:type="dxa"/>
            <w:tcBorders>
              <w:top w:val="nil"/>
              <w:left w:val="nil"/>
              <w:bottom w:val="single" w:color="auto" w:sz="8" w:space="0"/>
              <w:right w:val="single" w:color="auto" w:sz="8" w:space="0"/>
            </w:tcBorders>
            <w:shd w:val="clear" w:color="000000" w:fill="FFFFFF"/>
            <w:vAlign w:val="center"/>
          </w:tcPr>
          <w:p w14:paraId="0E5B1769">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2B2DE0FE">
            <w:pPr>
              <w:widowControl/>
              <w:spacing w:line="440" w:lineRule="exact"/>
              <w:textAlignment w:val="center"/>
              <w:rPr>
                <w:color w:val="auto"/>
                <w:sz w:val="21"/>
                <w:szCs w:val="21"/>
                <w:highlight w:val="none"/>
              </w:rPr>
            </w:pPr>
            <w:r>
              <w:rPr>
                <w:color w:val="auto"/>
                <w:kern w:val="0"/>
                <w:sz w:val="21"/>
                <w:szCs w:val="21"/>
                <w:highlight w:val="none"/>
                <w:lang w:bidi="ar"/>
              </w:rPr>
              <w:t>包括车站两端折返线、停车线、渡线、存车线等。</w:t>
            </w:r>
          </w:p>
        </w:tc>
      </w:tr>
      <w:tr w14:paraId="221A14E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23C2F2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C54B58B">
            <w:pPr>
              <w:widowControl/>
              <w:spacing w:line="440" w:lineRule="exact"/>
              <w:jc w:val="center"/>
              <w:textAlignment w:val="center"/>
              <w:rPr>
                <w:color w:val="auto"/>
                <w:sz w:val="21"/>
                <w:szCs w:val="21"/>
                <w:highlight w:val="none"/>
              </w:rPr>
            </w:pPr>
            <w:r>
              <w:rPr>
                <w:color w:val="auto"/>
                <w:kern w:val="0"/>
                <w:sz w:val="21"/>
                <w:szCs w:val="21"/>
                <w:highlight w:val="none"/>
                <w:lang w:bidi="ar"/>
              </w:rPr>
              <w:t>1</w:t>
            </w:r>
          </w:p>
        </w:tc>
        <w:tc>
          <w:tcPr>
            <w:tcW w:w="3816" w:type="dxa"/>
            <w:tcBorders>
              <w:top w:val="nil"/>
              <w:left w:val="nil"/>
              <w:bottom w:val="single" w:color="auto" w:sz="8" w:space="0"/>
              <w:right w:val="single" w:color="auto" w:sz="8" w:space="0"/>
            </w:tcBorders>
            <w:shd w:val="clear" w:color="000000" w:fill="FFFFFF"/>
            <w:vAlign w:val="center"/>
          </w:tcPr>
          <w:p w14:paraId="34B6A176">
            <w:pPr>
              <w:widowControl/>
              <w:spacing w:line="440" w:lineRule="exact"/>
              <w:textAlignment w:val="center"/>
              <w:rPr>
                <w:color w:val="auto"/>
                <w:sz w:val="21"/>
                <w:szCs w:val="21"/>
                <w:highlight w:val="none"/>
              </w:rPr>
            </w:pPr>
            <w:r>
              <w:rPr>
                <w:color w:val="auto"/>
                <w:kern w:val="0"/>
                <w:sz w:val="21"/>
                <w:szCs w:val="21"/>
                <w:highlight w:val="none"/>
                <w:lang w:bidi="ar"/>
              </w:rPr>
              <w:t>地下车站</w:t>
            </w:r>
          </w:p>
        </w:tc>
        <w:tc>
          <w:tcPr>
            <w:tcW w:w="1677" w:type="dxa"/>
            <w:tcBorders>
              <w:top w:val="nil"/>
              <w:left w:val="nil"/>
              <w:bottom w:val="single" w:color="auto" w:sz="8" w:space="0"/>
              <w:right w:val="single" w:color="auto" w:sz="8" w:space="0"/>
            </w:tcBorders>
            <w:shd w:val="clear" w:color="000000" w:fill="FFFFFF"/>
            <w:vAlign w:val="center"/>
          </w:tcPr>
          <w:p w14:paraId="5B2EAE01">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 xml:space="preserve">2 </w:t>
            </w:r>
          </w:p>
        </w:tc>
        <w:tc>
          <w:tcPr>
            <w:tcW w:w="6704" w:type="dxa"/>
            <w:tcBorders>
              <w:top w:val="nil"/>
              <w:left w:val="nil"/>
              <w:bottom w:val="single" w:color="auto" w:sz="8" w:space="0"/>
              <w:right w:val="single" w:color="auto" w:sz="8" w:space="0"/>
            </w:tcBorders>
            <w:shd w:val="clear" w:color="000000" w:fill="FFFFFF"/>
            <w:vAlign w:val="center"/>
          </w:tcPr>
          <w:p w14:paraId="0F2C1AE7">
            <w:pPr>
              <w:widowControl/>
              <w:spacing w:line="440" w:lineRule="exact"/>
              <w:textAlignment w:val="center"/>
              <w:rPr>
                <w:color w:val="auto"/>
                <w:sz w:val="21"/>
                <w:szCs w:val="21"/>
                <w:highlight w:val="none"/>
              </w:rPr>
            </w:pPr>
          </w:p>
        </w:tc>
      </w:tr>
      <w:tr w14:paraId="5D564AA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F0AAE5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96D9B3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08D2952">
            <w:pPr>
              <w:widowControl/>
              <w:spacing w:line="440" w:lineRule="exact"/>
              <w:textAlignment w:val="center"/>
              <w:rPr>
                <w:color w:val="auto"/>
                <w:sz w:val="21"/>
                <w:szCs w:val="21"/>
                <w:highlight w:val="none"/>
              </w:rPr>
            </w:pPr>
            <w:r>
              <w:rPr>
                <w:color w:val="auto"/>
                <w:kern w:val="0"/>
                <w:sz w:val="21"/>
                <w:szCs w:val="21"/>
                <w:highlight w:val="none"/>
                <w:lang w:bidi="ar"/>
              </w:rPr>
              <w:t>一、现浇地下车站</w:t>
            </w:r>
          </w:p>
        </w:tc>
        <w:tc>
          <w:tcPr>
            <w:tcW w:w="1677" w:type="dxa"/>
            <w:tcBorders>
              <w:top w:val="nil"/>
              <w:left w:val="nil"/>
              <w:bottom w:val="single" w:color="auto" w:sz="8" w:space="0"/>
              <w:right w:val="single" w:color="auto" w:sz="8" w:space="0"/>
            </w:tcBorders>
            <w:shd w:val="clear" w:color="000000" w:fill="FFFFFF"/>
            <w:vAlign w:val="center"/>
          </w:tcPr>
          <w:p w14:paraId="350C6B0B">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AF83CF2">
            <w:pPr>
              <w:widowControl/>
              <w:spacing w:line="440" w:lineRule="exact"/>
              <w:textAlignment w:val="center"/>
              <w:rPr>
                <w:color w:val="auto"/>
                <w:sz w:val="21"/>
                <w:szCs w:val="21"/>
                <w:highlight w:val="none"/>
              </w:rPr>
            </w:pPr>
            <w:r>
              <w:rPr>
                <w:color w:val="auto"/>
                <w:kern w:val="0"/>
                <w:sz w:val="21"/>
                <w:szCs w:val="21"/>
                <w:highlight w:val="none"/>
                <w:lang w:bidi="ar"/>
              </w:rPr>
              <w:t>按明挖、盖挖、暗挖分别编制。</w:t>
            </w:r>
          </w:p>
        </w:tc>
      </w:tr>
      <w:tr w14:paraId="0461866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E6DFB6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56C803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52933F2">
            <w:pPr>
              <w:widowControl/>
              <w:spacing w:line="440" w:lineRule="exact"/>
              <w:textAlignment w:val="center"/>
              <w:rPr>
                <w:color w:val="auto"/>
                <w:sz w:val="21"/>
                <w:szCs w:val="21"/>
                <w:highlight w:val="none"/>
              </w:rPr>
            </w:pPr>
            <w:r>
              <w:rPr>
                <w:color w:val="auto"/>
                <w:kern w:val="0"/>
                <w:sz w:val="21"/>
                <w:szCs w:val="21"/>
                <w:highlight w:val="none"/>
                <w:lang w:bidi="ar"/>
              </w:rPr>
              <w:t>（一）明挖地下车站（××站，×层）</w:t>
            </w:r>
          </w:p>
        </w:tc>
        <w:tc>
          <w:tcPr>
            <w:tcW w:w="1677" w:type="dxa"/>
            <w:tcBorders>
              <w:top w:val="nil"/>
              <w:left w:val="nil"/>
              <w:bottom w:val="single" w:color="auto" w:sz="8" w:space="0"/>
              <w:right w:val="single" w:color="auto" w:sz="8" w:space="0"/>
            </w:tcBorders>
            <w:shd w:val="clear" w:color="000000" w:fill="FFFFFF"/>
            <w:vAlign w:val="center"/>
          </w:tcPr>
          <w:p w14:paraId="4063E058">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56741FDE">
            <w:pPr>
              <w:widowControl/>
              <w:spacing w:line="440" w:lineRule="exact"/>
              <w:textAlignment w:val="center"/>
              <w:rPr>
                <w:color w:val="auto"/>
                <w:sz w:val="21"/>
                <w:szCs w:val="21"/>
                <w:highlight w:val="none"/>
              </w:rPr>
            </w:pPr>
            <w:r>
              <w:rPr>
                <w:color w:val="auto"/>
                <w:kern w:val="0"/>
                <w:sz w:val="21"/>
                <w:szCs w:val="21"/>
                <w:highlight w:val="none"/>
                <w:lang w:bidi="ar"/>
              </w:rPr>
              <w:t>按不同围护类型（地下连续墙、SMW、钻孔（排）桩、锚索及土钉墙、其他）、不同层数分别编制。</w:t>
            </w:r>
          </w:p>
        </w:tc>
      </w:tr>
      <w:tr w14:paraId="4C8AE63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BCCDCA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D06AD0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F520B63">
            <w:pPr>
              <w:widowControl/>
              <w:spacing w:line="440" w:lineRule="exact"/>
              <w:textAlignment w:val="center"/>
              <w:rPr>
                <w:color w:val="auto"/>
                <w:sz w:val="21"/>
                <w:szCs w:val="21"/>
                <w:highlight w:val="none"/>
              </w:rPr>
            </w:pPr>
            <w:r>
              <w:rPr>
                <w:color w:val="auto"/>
                <w:kern w:val="0"/>
                <w:sz w:val="21"/>
                <w:szCs w:val="21"/>
                <w:highlight w:val="none"/>
                <w:lang w:bidi="ar"/>
              </w:rPr>
              <w:t>（二）盖挖地下车站（××站，×层）</w:t>
            </w:r>
          </w:p>
        </w:tc>
        <w:tc>
          <w:tcPr>
            <w:tcW w:w="1677" w:type="dxa"/>
            <w:tcBorders>
              <w:top w:val="nil"/>
              <w:left w:val="nil"/>
              <w:bottom w:val="single" w:color="auto" w:sz="8" w:space="0"/>
              <w:right w:val="single" w:color="auto" w:sz="8" w:space="0"/>
            </w:tcBorders>
            <w:shd w:val="clear" w:color="000000" w:fill="FFFFFF"/>
            <w:vAlign w:val="center"/>
          </w:tcPr>
          <w:p w14:paraId="551E3B13">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4A2F1342">
            <w:pPr>
              <w:widowControl/>
              <w:spacing w:line="440" w:lineRule="exact"/>
              <w:textAlignment w:val="center"/>
              <w:rPr>
                <w:color w:val="auto"/>
                <w:sz w:val="21"/>
                <w:szCs w:val="21"/>
                <w:highlight w:val="none"/>
              </w:rPr>
            </w:pPr>
            <w:r>
              <w:rPr>
                <w:color w:val="auto"/>
                <w:kern w:val="0"/>
                <w:sz w:val="21"/>
                <w:szCs w:val="21"/>
                <w:highlight w:val="none"/>
                <w:lang w:bidi="ar"/>
              </w:rPr>
              <w:t>按不同围护类型（地下连续墙、SMW、钻孔（排）桩、锚索及土钉墙、其他）、不同层数分别编制。</w:t>
            </w:r>
          </w:p>
        </w:tc>
      </w:tr>
      <w:tr w14:paraId="1117936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B06471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C18735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093BA37">
            <w:pPr>
              <w:widowControl/>
              <w:spacing w:line="440" w:lineRule="exact"/>
              <w:textAlignment w:val="center"/>
              <w:rPr>
                <w:color w:val="auto"/>
                <w:sz w:val="21"/>
                <w:szCs w:val="21"/>
                <w:highlight w:val="none"/>
              </w:rPr>
            </w:pPr>
            <w:r>
              <w:rPr>
                <w:color w:val="auto"/>
                <w:kern w:val="0"/>
                <w:sz w:val="21"/>
                <w:szCs w:val="21"/>
                <w:highlight w:val="none"/>
                <w:lang w:bidi="ar"/>
              </w:rPr>
              <w:t>（三）暗挖地下车站（××站，×层）</w:t>
            </w:r>
          </w:p>
        </w:tc>
        <w:tc>
          <w:tcPr>
            <w:tcW w:w="1677" w:type="dxa"/>
            <w:tcBorders>
              <w:top w:val="nil"/>
              <w:left w:val="nil"/>
              <w:bottom w:val="single" w:color="auto" w:sz="8" w:space="0"/>
              <w:right w:val="single" w:color="auto" w:sz="8" w:space="0"/>
            </w:tcBorders>
            <w:shd w:val="clear" w:color="000000" w:fill="FFFFFF"/>
            <w:vAlign w:val="center"/>
          </w:tcPr>
          <w:p w14:paraId="06AFD17D">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35EE711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476795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6F3B42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666AA3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0CF070A">
            <w:pPr>
              <w:widowControl/>
              <w:spacing w:line="440" w:lineRule="exact"/>
              <w:textAlignment w:val="center"/>
              <w:rPr>
                <w:color w:val="auto"/>
                <w:sz w:val="21"/>
                <w:szCs w:val="21"/>
                <w:highlight w:val="none"/>
              </w:rPr>
            </w:pPr>
            <w:r>
              <w:rPr>
                <w:color w:val="auto"/>
                <w:kern w:val="0"/>
                <w:sz w:val="21"/>
                <w:szCs w:val="21"/>
                <w:highlight w:val="none"/>
                <w:lang w:bidi="ar"/>
              </w:rPr>
              <w:t>二、装配式地下车站</w:t>
            </w:r>
          </w:p>
        </w:tc>
        <w:tc>
          <w:tcPr>
            <w:tcW w:w="1677" w:type="dxa"/>
            <w:tcBorders>
              <w:top w:val="nil"/>
              <w:left w:val="nil"/>
              <w:bottom w:val="single" w:color="auto" w:sz="8" w:space="0"/>
              <w:right w:val="single" w:color="auto" w:sz="8" w:space="0"/>
            </w:tcBorders>
            <w:shd w:val="clear" w:color="000000" w:fill="FFFFFF"/>
            <w:vAlign w:val="center"/>
          </w:tcPr>
          <w:p w14:paraId="4D4C6A07">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5697666C">
            <w:pPr>
              <w:widowControl/>
              <w:spacing w:line="440" w:lineRule="exact"/>
              <w:textAlignment w:val="center"/>
              <w:rPr>
                <w:color w:val="auto"/>
                <w:sz w:val="21"/>
                <w:szCs w:val="21"/>
                <w:highlight w:val="none"/>
              </w:rPr>
            </w:pPr>
            <w:r>
              <w:rPr>
                <w:color w:val="auto"/>
                <w:kern w:val="0"/>
                <w:sz w:val="21"/>
                <w:szCs w:val="21"/>
                <w:highlight w:val="none"/>
                <w:lang w:bidi="ar"/>
              </w:rPr>
              <w:t>结合装配范围、围护类型、层数分别编制。开项参照现浇地下车站。</w:t>
            </w:r>
          </w:p>
        </w:tc>
      </w:tr>
      <w:tr w14:paraId="5630B8A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C0CDB4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9C4EB0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3E1901A">
            <w:pPr>
              <w:widowControl/>
              <w:spacing w:line="440" w:lineRule="exact"/>
              <w:textAlignment w:val="center"/>
              <w:rPr>
                <w:color w:val="auto"/>
                <w:sz w:val="21"/>
                <w:szCs w:val="21"/>
                <w:highlight w:val="none"/>
              </w:rPr>
            </w:pPr>
            <w:r>
              <w:rPr>
                <w:color w:val="auto"/>
                <w:kern w:val="0"/>
                <w:sz w:val="21"/>
                <w:szCs w:val="21"/>
                <w:highlight w:val="none"/>
                <w:lang w:bidi="ar"/>
              </w:rPr>
              <w:t>三、风险源处理</w:t>
            </w:r>
          </w:p>
        </w:tc>
        <w:tc>
          <w:tcPr>
            <w:tcW w:w="1677" w:type="dxa"/>
            <w:tcBorders>
              <w:top w:val="nil"/>
              <w:left w:val="nil"/>
              <w:bottom w:val="single" w:color="auto" w:sz="8" w:space="0"/>
              <w:right w:val="single" w:color="auto" w:sz="8" w:space="0"/>
            </w:tcBorders>
            <w:shd w:val="clear" w:color="000000" w:fill="FFFFFF"/>
            <w:vAlign w:val="center"/>
          </w:tcPr>
          <w:p w14:paraId="09103C0C">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0379AE34">
            <w:pPr>
              <w:widowControl/>
              <w:spacing w:line="440" w:lineRule="exact"/>
              <w:textAlignment w:val="center"/>
              <w:rPr>
                <w:color w:val="auto"/>
                <w:sz w:val="21"/>
                <w:szCs w:val="21"/>
                <w:highlight w:val="none"/>
              </w:rPr>
            </w:pPr>
            <w:r>
              <w:rPr>
                <w:color w:val="auto"/>
                <w:kern w:val="0"/>
                <w:sz w:val="21"/>
                <w:szCs w:val="21"/>
                <w:highlight w:val="none"/>
                <w:lang w:bidi="ar"/>
              </w:rPr>
              <w:t>风险源费用单独计列，包括建（构）筑物加固保护、岩溶处理、采空区加固、管线加固及悬吊等。</w:t>
            </w:r>
          </w:p>
        </w:tc>
      </w:tr>
      <w:tr w14:paraId="73E5F2B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ED15B1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2627ACA">
            <w:pPr>
              <w:widowControl/>
              <w:spacing w:line="440" w:lineRule="exact"/>
              <w:jc w:val="center"/>
              <w:textAlignment w:val="center"/>
              <w:rPr>
                <w:color w:val="auto"/>
                <w:sz w:val="21"/>
                <w:szCs w:val="21"/>
                <w:highlight w:val="none"/>
              </w:rPr>
            </w:pPr>
            <w:r>
              <w:rPr>
                <w:color w:val="auto"/>
                <w:kern w:val="0"/>
                <w:sz w:val="21"/>
                <w:szCs w:val="21"/>
                <w:highlight w:val="none"/>
                <w:lang w:bidi="ar"/>
              </w:rPr>
              <w:t>2</w:t>
            </w:r>
          </w:p>
        </w:tc>
        <w:tc>
          <w:tcPr>
            <w:tcW w:w="3816" w:type="dxa"/>
            <w:tcBorders>
              <w:top w:val="nil"/>
              <w:left w:val="nil"/>
              <w:bottom w:val="single" w:color="auto" w:sz="8" w:space="0"/>
              <w:right w:val="single" w:color="auto" w:sz="8" w:space="0"/>
            </w:tcBorders>
            <w:shd w:val="clear" w:color="000000" w:fill="FFFFFF"/>
            <w:vAlign w:val="center"/>
          </w:tcPr>
          <w:p w14:paraId="6250D1C4">
            <w:pPr>
              <w:widowControl/>
              <w:spacing w:line="440" w:lineRule="exact"/>
              <w:textAlignment w:val="center"/>
              <w:rPr>
                <w:color w:val="auto"/>
                <w:sz w:val="21"/>
                <w:szCs w:val="21"/>
                <w:highlight w:val="none"/>
              </w:rPr>
            </w:pPr>
            <w:r>
              <w:rPr>
                <w:color w:val="auto"/>
                <w:kern w:val="0"/>
                <w:sz w:val="21"/>
                <w:szCs w:val="21"/>
                <w:highlight w:val="none"/>
                <w:lang w:bidi="ar"/>
              </w:rPr>
              <w:t>高架车站（××站，×层）</w:t>
            </w:r>
          </w:p>
        </w:tc>
        <w:tc>
          <w:tcPr>
            <w:tcW w:w="1677" w:type="dxa"/>
            <w:tcBorders>
              <w:top w:val="nil"/>
              <w:left w:val="nil"/>
              <w:bottom w:val="single" w:color="auto" w:sz="8" w:space="0"/>
              <w:right w:val="single" w:color="auto" w:sz="8" w:space="0"/>
            </w:tcBorders>
            <w:shd w:val="clear" w:color="000000" w:fill="FFFFFF"/>
            <w:vAlign w:val="center"/>
          </w:tcPr>
          <w:p w14:paraId="330FD5BD">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E62D7A0">
            <w:pPr>
              <w:widowControl/>
              <w:spacing w:line="440" w:lineRule="exact"/>
              <w:textAlignment w:val="center"/>
              <w:rPr>
                <w:color w:val="auto"/>
                <w:sz w:val="21"/>
                <w:szCs w:val="21"/>
                <w:highlight w:val="none"/>
              </w:rPr>
            </w:pPr>
            <w:r>
              <w:rPr>
                <w:color w:val="auto"/>
                <w:kern w:val="0"/>
                <w:sz w:val="21"/>
                <w:szCs w:val="21"/>
                <w:highlight w:val="none"/>
                <w:lang w:bidi="ar"/>
              </w:rPr>
              <w:t>按路中侧、层数分别编制。</w:t>
            </w:r>
          </w:p>
        </w:tc>
      </w:tr>
      <w:tr w14:paraId="76B886B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9DC16C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90B2E4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E2C4AA1">
            <w:pPr>
              <w:widowControl/>
              <w:spacing w:line="440" w:lineRule="exact"/>
              <w:textAlignment w:val="center"/>
              <w:rPr>
                <w:color w:val="auto"/>
                <w:sz w:val="21"/>
                <w:szCs w:val="21"/>
                <w:highlight w:val="none"/>
              </w:rPr>
            </w:pPr>
            <w:r>
              <w:rPr>
                <w:color w:val="auto"/>
                <w:kern w:val="0"/>
                <w:sz w:val="21"/>
                <w:szCs w:val="21"/>
                <w:highlight w:val="none"/>
                <w:lang w:bidi="ar"/>
              </w:rPr>
              <w:t>一、路中高架车站（××站，×层）</w:t>
            </w:r>
          </w:p>
        </w:tc>
        <w:tc>
          <w:tcPr>
            <w:tcW w:w="1677" w:type="dxa"/>
            <w:tcBorders>
              <w:top w:val="nil"/>
              <w:left w:val="nil"/>
              <w:bottom w:val="single" w:color="auto" w:sz="8" w:space="0"/>
              <w:right w:val="single" w:color="auto" w:sz="8" w:space="0"/>
            </w:tcBorders>
            <w:shd w:val="clear" w:color="000000" w:fill="FFFFFF"/>
            <w:vAlign w:val="center"/>
          </w:tcPr>
          <w:p w14:paraId="627BFC3F">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54228FB7">
            <w:pPr>
              <w:widowControl/>
              <w:spacing w:line="440" w:lineRule="exact"/>
              <w:textAlignment w:val="center"/>
              <w:rPr>
                <w:color w:val="auto"/>
                <w:sz w:val="21"/>
                <w:szCs w:val="21"/>
                <w:highlight w:val="none"/>
              </w:rPr>
            </w:pPr>
            <w:r>
              <w:rPr>
                <w:color w:val="auto"/>
                <w:kern w:val="0"/>
                <w:sz w:val="21"/>
                <w:szCs w:val="21"/>
                <w:highlight w:val="none"/>
                <w:lang w:bidi="ar"/>
              </w:rPr>
              <w:t>按层数分别编制。</w:t>
            </w:r>
          </w:p>
        </w:tc>
      </w:tr>
      <w:tr w14:paraId="32539F1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862CC1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20AE75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2CD11F8">
            <w:pPr>
              <w:widowControl/>
              <w:spacing w:line="440" w:lineRule="exact"/>
              <w:textAlignment w:val="center"/>
              <w:rPr>
                <w:color w:val="auto"/>
                <w:sz w:val="21"/>
                <w:szCs w:val="21"/>
                <w:highlight w:val="none"/>
              </w:rPr>
            </w:pPr>
            <w:r>
              <w:rPr>
                <w:color w:val="auto"/>
                <w:kern w:val="0"/>
                <w:sz w:val="21"/>
                <w:szCs w:val="21"/>
                <w:highlight w:val="none"/>
                <w:lang w:bidi="ar"/>
              </w:rPr>
              <w:t>二、路侧高架车站（××站，×层）</w:t>
            </w:r>
          </w:p>
        </w:tc>
        <w:tc>
          <w:tcPr>
            <w:tcW w:w="1677" w:type="dxa"/>
            <w:tcBorders>
              <w:top w:val="nil"/>
              <w:left w:val="nil"/>
              <w:bottom w:val="single" w:color="auto" w:sz="8" w:space="0"/>
              <w:right w:val="single" w:color="auto" w:sz="8" w:space="0"/>
            </w:tcBorders>
            <w:shd w:val="clear" w:color="000000" w:fill="FFFFFF"/>
            <w:vAlign w:val="center"/>
          </w:tcPr>
          <w:p w14:paraId="4E1E4920">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36E1FFE0">
            <w:pPr>
              <w:widowControl/>
              <w:spacing w:line="440" w:lineRule="exact"/>
              <w:textAlignment w:val="center"/>
              <w:rPr>
                <w:color w:val="auto"/>
                <w:sz w:val="21"/>
                <w:szCs w:val="21"/>
                <w:highlight w:val="none"/>
              </w:rPr>
            </w:pPr>
            <w:r>
              <w:rPr>
                <w:color w:val="auto"/>
                <w:kern w:val="0"/>
                <w:sz w:val="21"/>
                <w:szCs w:val="21"/>
                <w:highlight w:val="none"/>
                <w:lang w:bidi="ar"/>
              </w:rPr>
              <w:t>按层数分别编制。</w:t>
            </w:r>
          </w:p>
        </w:tc>
      </w:tr>
      <w:tr w14:paraId="6179144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F843B8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06B832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674543E">
            <w:pPr>
              <w:widowControl/>
              <w:spacing w:line="440" w:lineRule="exact"/>
              <w:textAlignment w:val="center"/>
              <w:rPr>
                <w:color w:val="auto"/>
                <w:sz w:val="21"/>
                <w:szCs w:val="21"/>
                <w:highlight w:val="none"/>
              </w:rPr>
            </w:pPr>
            <w:r>
              <w:rPr>
                <w:color w:val="auto"/>
                <w:kern w:val="0"/>
                <w:sz w:val="21"/>
                <w:szCs w:val="21"/>
                <w:highlight w:val="none"/>
                <w:lang w:bidi="ar"/>
              </w:rPr>
              <w:t>三、风险源处理</w:t>
            </w:r>
          </w:p>
        </w:tc>
        <w:tc>
          <w:tcPr>
            <w:tcW w:w="1677" w:type="dxa"/>
            <w:tcBorders>
              <w:top w:val="nil"/>
              <w:left w:val="nil"/>
              <w:bottom w:val="single" w:color="auto" w:sz="8" w:space="0"/>
              <w:right w:val="single" w:color="auto" w:sz="8" w:space="0"/>
            </w:tcBorders>
            <w:shd w:val="clear" w:color="000000" w:fill="FFFFFF"/>
            <w:vAlign w:val="center"/>
          </w:tcPr>
          <w:p w14:paraId="6855396D">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045E9D5B">
            <w:pPr>
              <w:widowControl/>
              <w:spacing w:line="440" w:lineRule="exact"/>
              <w:textAlignment w:val="center"/>
              <w:rPr>
                <w:color w:val="auto"/>
                <w:sz w:val="21"/>
                <w:szCs w:val="21"/>
                <w:highlight w:val="none"/>
              </w:rPr>
            </w:pPr>
            <w:r>
              <w:rPr>
                <w:color w:val="auto"/>
                <w:kern w:val="0"/>
                <w:sz w:val="21"/>
                <w:szCs w:val="21"/>
                <w:highlight w:val="none"/>
                <w:lang w:bidi="ar"/>
              </w:rPr>
              <w:t>风险源费用单独计列，包括建（构）筑物加固保护、岩溶处理、采空区加固、管线加固及悬吊等。</w:t>
            </w:r>
          </w:p>
        </w:tc>
      </w:tr>
      <w:tr w14:paraId="4C2B78C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80F9F4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3B73BB2">
            <w:pPr>
              <w:widowControl/>
              <w:spacing w:line="440" w:lineRule="exact"/>
              <w:jc w:val="center"/>
              <w:textAlignment w:val="center"/>
              <w:rPr>
                <w:color w:val="auto"/>
                <w:sz w:val="21"/>
                <w:szCs w:val="21"/>
                <w:highlight w:val="none"/>
              </w:rPr>
            </w:pPr>
            <w:r>
              <w:rPr>
                <w:color w:val="auto"/>
                <w:kern w:val="0"/>
                <w:sz w:val="21"/>
                <w:szCs w:val="21"/>
                <w:highlight w:val="none"/>
                <w:lang w:bidi="ar"/>
              </w:rPr>
              <w:t>3</w:t>
            </w:r>
          </w:p>
        </w:tc>
        <w:tc>
          <w:tcPr>
            <w:tcW w:w="3816" w:type="dxa"/>
            <w:tcBorders>
              <w:top w:val="nil"/>
              <w:left w:val="nil"/>
              <w:bottom w:val="single" w:color="auto" w:sz="8" w:space="0"/>
              <w:right w:val="single" w:color="auto" w:sz="8" w:space="0"/>
            </w:tcBorders>
            <w:shd w:val="clear" w:color="000000" w:fill="FFFFFF"/>
            <w:vAlign w:val="center"/>
          </w:tcPr>
          <w:p w14:paraId="72EAFAEC">
            <w:pPr>
              <w:widowControl/>
              <w:spacing w:line="440" w:lineRule="exact"/>
              <w:textAlignment w:val="center"/>
              <w:rPr>
                <w:color w:val="auto"/>
                <w:sz w:val="21"/>
                <w:szCs w:val="21"/>
                <w:highlight w:val="none"/>
              </w:rPr>
            </w:pPr>
            <w:r>
              <w:rPr>
                <w:color w:val="auto"/>
                <w:kern w:val="0"/>
                <w:sz w:val="21"/>
                <w:szCs w:val="21"/>
                <w:highlight w:val="none"/>
                <w:lang w:bidi="ar"/>
              </w:rPr>
              <w:t>地面车站（××站，×层）</w:t>
            </w:r>
          </w:p>
        </w:tc>
        <w:tc>
          <w:tcPr>
            <w:tcW w:w="1677" w:type="dxa"/>
            <w:tcBorders>
              <w:top w:val="nil"/>
              <w:left w:val="nil"/>
              <w:bottom w:val="single" w:color="auto" w:sz="8" w:space="0"/>
              <w:right w:val="single" w:color="auto" w:sz="8" w:space="0"/>
            </w:tcBorders>
            <w:shd w:val="clear" w:color="000000" w:fill="FFFFFF"/>
            <w:vAlign w:val="center"/>
          </w:tcPr>
          <w:p w14:paraId="306C93BF">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1AA8BC1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204CED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86A09A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979416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2C58CA9">
            <w:pPr>
              <w:widowControl/>
              <w:spacing w:line="440" w:lineRule="exact"/>
              <w:textAlignment w:val="center"/>
              <w:rPr>
                <w:color w:val="auto"/>
                <w:sz w:val="21"/>
                <w:szCs w:val="21"/>
                <w:highlight w:val="none"/>
              </w:rPr>
            </w:pPr>
            <w:r>
              <w:rPr>
                <w:color w:val="auto"/>
                <w:kern w:val="0"/>
                <w:sz w:val="21"/>
                <w:szCs w:val="21"/>
                <w:highlight w:val="none"/>
                <w:lang w:bidi="ar"/>
              </w:rPr>
              <w:t>一、地面车站（××站，×层）</w:t>
            </w:r>
          </w:p>
        </w:tc>
        <w:tc>
          <w:tcPr>
            <w:tcW w:w="1677" w:type="dxa"/>
            <w:tcBorders>
              <w:top w:val="nil"/>
              <w:left w:val="nil"/>
              <w:bottom w:val="single" w:color="auto" w:sz="8" w:space="0"/>
              <w:right w:val="single" w:color="auto" w:sz="8" w:space="0"/>
            </w:tcBorders>
            <w:shd w:val="clear" w:color="000000" w:fill="FFFFFF"/>
            <w:vAlign w:val="center"/>
          </w:tcPr>
          <w:p w14:paraId="1E50C109">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19AA2B8">
            <w:pPr>
              <w:widowControl/>
              <w:spacing w:line="440" w:lineRule="exact"/>
              <w:textAlignment w:val="center"/>
              <w:rPr>
                <w:color w:val="auto"/>
                <w:sz w:val="21"/>
                <w:szCs w:val="21"/>
                <w:highlight w:val="none"/>
              </w:rPr>
            </w:pPr>
            <w:r>
              <w:rPr>
                <w:color w:val="auto"/>
                <w:kern w:val="0"/>
                <w:sz w:val="21"/>
                <w:szCs w:val="21"/>
                <w:highlight w:val="none"/>
                <w:lang w:bidi="ar"/>
              </w:rPr>
              <w:t>按不同层数分别编制。</w:t>
            </w:r>
          </w:p>
        </w:tc>
      </w:tr>
      <w:tr w14:paraId="0C6604A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D4487B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C5E8DE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483BFAF">
            <w:pPr>
              <w:widowControl/>
              <w:spacing w:line="440" w:lineRule="exact"/>
              <w:textAlignment w:val="center"/>
              <w:rPr>
                <w:color w:val="auto"/>
                <w:sz w:val="21"/>
                <w:szCs w:val="21"/>
                <w:highlight w:val="none"/>
              </w:rPr>
            </w:pPr>
            <w:r>
              <w:rPr>
                <w:color w:val="auto"/>
                <w:kern w:val="0"/>
                <w:sz w:val="21"/>
                <w:szCs w:val="21"/>
                <w:highlight w:val="none"/>
                <w:lang w:bidi="ar"/>
              </w:rPr>
              <w:t>二、风险源处理</w:t>
            </w:r>
          </w:p>
        </w:tc>
        <w:tc>
          <w:tcPr>
            <w:tcW w:w="1677" w:type="dxa"/>
            <w:tcBorders>
              <w:top w:val="nil"/>
              <w:left w:val="nil"/>
              <w:bottom w:val="single" w:color="auto" w:sz="8" w:space="0"/>
              <w:right w:val="single" w:color="auto" w:sz="8" w:space="0"/>
            </w:tcBorders>
            <w:shd w:val="clear" w:color="000000" w:fill="FFFFFF"/>
            <w:vAlign w:val="center"/>
          </w:tcPr>
          <w:p w14:paraId="564934DC">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0A1A4E39">
            <w:pPr>
              <w:widowControl/>
              <w:spacing w:line="440" w:lineRule="exact"/>
              <w:textAlignment w:val="center"/>
              <w:rPr>
                <w:color w:val="auto"/>
                <w:sz w:val="21"/>
                <w:szCs w:val="21"/>
                <w:highlight w:val="none"/>
              </w:rPr>
            </w:pPr>
            <w:r>
              <w:rPr>
                <w:color w:val="auto"/>
                <w:kern w:val="0"/>
                <w:sz w:val="21"/>
                <w:szCs w:val="21"/>
                <w:highlight w:val="none"/>
                <w:lang w:bidi="ar"/>
              </w:rPr>
              <w:t>风险源费用单独计列，包括建（构）筑物加固保护、岩溶处理、采空区加固、管线加固及悬吊等。</w:t>
            </w:r>
          </w:p>
        </w:tc>
      </w:tr>
      <w:tr w14:paraId="542F609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7C4B60E">
            <w:pPr>
              <w:widowControl/>
              <w:spacing w:line="440" w:lineRule="exact"/>
              <w:jc w:val="center"/>
              <w:textAlignment w:val="center"/>
              <w:rPr>
                <w:color w:val="auto"/>
                <w:sz w:val="21"/>
                <w:szCs w:val="21"/>
                <w:highlight w:val="none"/>
              </w:rPr>
            </w:pPr>
            <w:r>
              <w:rPr>
                <w:color w:val="auto"/>
                <w:kern w:val="0"/>
                <w:sz w:val="21"/>
                <w:szCs w:val="21"/>
                <w:highlight w:val="none"/>
                <w:lang w:bidi="ar"/>
              </w:rPr>
              <w:t>二</w:t>
            </w:r>
          </w:p>
        </w:tc>
        <w:tc>
          <w:tcPr>
            <w:tcW w:w="704" w:type="dxa"/>
            <w:tcBorders>
              <w:top w:val="nil"/>
              <w:left w:val="nil"/>
              <w:bottom w:val="single" w:color="auto" w:sz="8" w:space="0"/>
              <w:right w:val="single" w:color="auto" w:sz="8" w:space="0"/>
            </w:tcBorders>
            <w:shd w:val="clear" w:color="000000" w:fill="FFFFFF"/>
            <w:vAlign w:val="center"/>
          </w:tcPr>
          <w:p w14:paraId="1C14AE4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E60C4A5">
            <w:pPr>
              <w:widowControl/>
              <w:spacing w:line="440" w:lineRule="exact"/>
              <w:textAlignment w:val="center"/>
              <w:rPr>
                <w:color w:val="auto"/>
                <w:sz w:val="21"/>
                <w:szCs w:val="21"/>
                <w:highlight w:val="none"/>
              </w:rPr>
            </w:pPr>
            <w:r>
              <w:rPr>
                <w:color w:val="auto"/>
                <w:kern w:val="0"/>
                <w:sz w:val="21"/>
                <w:szCs w:val="21"/>
                <w:highlight w:val="none"/>
                <w:lang w:bidi="ar"/>
              </w:rPr>
              <w:t>区间</w:t>
            </w:r>
          </w:p>
        </w:tc>
        <w:tc>
          <w:tcPr>
            <w:tcW w:w="1677" w:type="dxa"/>
            <w:tcBorders>
              <w:top w:val="nil"/>
              <w:left w:val="nil"/>
              <w:bottom w:val="single" w:color="auto" w:sz="8" w:space="0"/>
              <w:right w:val="single" w:color="auto" w:sz="8" w:space="0"/>
            </w:tcBorders>
            <w:shd w:val="clear" w:color="000000" w:fill="FFFFFF"/>
            <w:vAlign w:val="center"/>
          </w:tcPr>
          <w:p w14:paraId="4E4F9B4F">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56CBF89E">
            <w:pPr>
              <w:widowControl/>
              <w:spacing w:line="440" w:lineRule="exact"/>
              <w:textAlignment w:val="center"/>
              <w:rPr>
                <w:color w:val="auto"/>
                <w:sz w:val="21"/>
                <w:szCs w:val="21"/>
                <w:highlight w:val="none"/>
              </w:rPr>
            </w:pPr>
            <w:r>
              <w:rPr>
                <w:color w:val="auto"/>
                <w:kern w:val="0"/>
                <w:sz w:val="21"/>
                <w:szCs w:val="21"/>
                <w:highlight w:val="none"/>
                <w:lang w:bidi="ar"/>
              </w:rPr>
              <w:t>包括正线、出入线、联络线、区间变电所房屋等。</w:t>
            </w:r>
          </w:p>
        </w:tc>
      </w:tr>
      <w:tr w14:paraId="7286C47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D0E5CC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189A61D">
            <w:pPr>
              <w:widowControl/>
              <w:spacing w:line="440" w:lineRule="exact"/>
              <w:jc w:val="center"/>
              <w:textAlignment w:val="center"/>
              <w:rPr>
                <w:color w:val="auto"/>
                <w:sz w:val="21"/>
                <w:szCs w:val="21"/>
                <w:highlight w:val="none"/>
              </w:rPr>
            </w:pPr>
            <w:r>
              <w:rPr>
                <w:color w:val="auto"/>
                <w:kern w:val="0"/>
                <w:sz w:val="21"/>
                <w:szCs w:val="21"/>
                <w:highlight w:val="none"/>
                <w:lang w:bidi="ar"/>
              </w:rPr>
              <w:t>4</w:t>
            </w:r>
          </w:p>
        </w:tc>
        <w:tc>
          <w:tcPr>
            <w:tcW w:w="3816" w:type="dxa"/>
            <w:tcBorders>
              <w:top w:val="nil"/>
              <w:left w:val="nil"/>
              <w:bottom w:val="single" w:color="auto" w:sz="8" w:space="0"/>
              <w:right w:val="single" w:color="auto" w:sz="8" w:space="0"/>
            </w:tcBorders>
            <w:shd w:val="clear" w:color="000000" w:fill="FFFFFF"/>
            <w:vAlign w:val="center"/>
          </w:tcPr>
          <w:p w14:paraId="7A58A4F5">
            <w:pPr>
              <w:widowControl/>
              <w:spacing w:line="440" w:lineRule="exact"/>
              <w:textAlignment w:val="center"/>
              <w:rPr>
                <w:color w:val="auto"/>
                <w:sz w:val="21"/>
                <w:szCs w:val="21"/>
                <w:highlight w:val="none"/>
              </w:rPr>
            </w:pPr>
            <w:r>
              <w:rPr>
                <w:color w:val="auto"/>
                <w:kern w:val="0"/>
                <w:sz w:val="21"/>
                <w:szCs w:val="21"/>
                <w:highlight w:val="none"/>
                <w:lang w:bidi="ar"/>
              </w:rPr>
              <w:t>地下区间</w:t>
            </w:r>
          </w:p>
        </w:tc>
        <w:tc>
          <w:tcPr>
            <w:tcW w:w="1677" w:type="dxa"/>
            <w:tcBorders>
              <w:top w:val="nil"/>
              <w:left w:val="nil"/>
              <w:bottom w:val="single" w:color="auto" w:sz="8" w:space="0"/>
              <w:right w:val="single" w:color="auto" w:sz="8" w:space="0"/>
            </w:tcBorders>
            <w:shd w:val="clear" w:color="000000" w:fill="FFFFFF"/>
            <w:vAlign w:val="center"/>
          </w:tcPr>
          <w:p w14:paraId="5F54F212">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6C0C283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F33805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65731A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C623AF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1ABD241">
            <w:pPr>
              <w:widowControl/>
              <w:spacing w:line="440" w:lineRule="exact"/>
              <w:textAlignment w:val="center"/>
              <w:rPr>
                <w:color w:val="auto"/>
                <w:sz w:val="21"/>
                <w:szCs w:val="21"/>
                <w:highlight w:val="none"/>
              </w:rPr>
            </w:pPr>
            <w:r>
              <w:rPr>
                <w:color w:val="auto"/>
                <w:kern w:val="0"/>
                <w:sz w:val="21"/>
                <w:szCs w:val="21"/>
                <w:highlight w:val="none"/>
                <w:lang w:bidi="ar"/>
              </w:rPr>
              <w:t>一、盾构区间</w:t>
            </w:r>
          </w:p>
        </w:tc>
        <w:tc>
          <w:tcPr>
            <w:tcW w:w="1677" w:type="dxa"/>
            <w:tcBorders>
              <w:top w:val="nil"/>
              <w:left w:val="nil"/>
              <w:bottom w:val="single" w:color="auto" w:sz="8" w:space="0"/>
              <w:right w:val="single" w:color="auto" w:sz="8" w:space="0"/>
            </w:tcBorders>
            <w:shd w:val="clear" w:color="000000" w:fill="FFFFFF"/>
            <w:vAlign w:val="center"/>
          </w:tcPr>
          <w:p w14:paraId="6D2C0E6D">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64B2BB34">
            <w:pPr>
              <w:widowControl/>
              <w:spacing w:line="440" w:lineRule="exact"/>
              <w:textAlignment w:val="center"/>
              <w:rPr>
                <w:color w:val="auto"/>
                <w:sz w:val="21"/>
                <w:szCs w:val="21"/>
                <w:highlight w:val="none"/>
              </w:rPr>
            </w:pPr>
            <w:r>
              <w:rPr>
                <w:color w:val="auto"/>
                <w:kern w:val="0"/>
                <w:sz w:val="21"/>
                <w:szCs w:val="21"/>
                <w:highlight w:val="none"/>
                <w:lang w:bidi="ar"/>
              </w:rPr>
              <w:t>按不同盾构尺寸分别编制。土压平衡和泥水盾构需注明。</w:t>
            </w:r>
          </w:p>
        </w:tc>
      </w:tr>
      <w:tr w14:paraId="7C3A8CC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7DF149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5D9CF0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F9D28E9">
            <w:pPr>
              <w:widowControl/>
              <w:spacing w:line="440" w:lineRule="exact"/>
              <w:textAlignment w:val="center"/>
              <w:rPr>
                <w:color w:val="auto"/>
                <w:sz w:val="21"/>
                <w:szCs w:val="21"/>
                <w:highlight w:val="none"/>
              </w:rPr>
            </w:pPr>
            <w:r>
              <w:rPr>
                <w:color w:val="auto"/>
                <w:kern w:val="0"/>
                <w:sz w:val="21"/>
                <w:szCs w:val="21"/>
                <w:highlight w:val="none"/>
                <w:lang w:bidi="ar"/>
              </w:rPr>
              <w:t>（一）盾构段</w:t>
            </w:r>
          </w:p>
        </w:tc>
        <w:tc>
          <w:tcPr>
            <w:tcW w:w="1677" w:type="dxa"/>
            <w:tcBorders>
              <w:top w:val="nil"/>
              <w:left w:val="nil"/>
              <w:bottom w:val="single" w:color="auto" w:sz="8" w:space="0"/>
              <w:right w:val="single" w:color="auto" w:sz="8" w:space="0"/>
            </w:tcBorders>
            <w:shd w:val="clear" w:color="000000" w:fill="FFFFFF"/>
            <w:vAlign w:val="center"/>
          </w:tcPr>
          <w:p w14:paraId="73A6B5BE">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6E26330A">
            <w:pPr>
              <w:widowControl/>
              <w:spacing w:line="440" w:lineRule="exact"/>
              <w:textAlignment w:val="center"/>
              <w:rPr>
                <w:color w:val="auto"/>
                <w:sz w:val="21"/>
                <w:szCs w:val="21"/>
                <w:highlight w:val="none"/>
              </w:rPr>
            </w:pPr>
            <w:r>
              <w:rPr>
                <w:color w:val="auto"/>
                <w:kern w:val="0"/>
                <w:sz w:val="21"/>
                <w:szCs w:val="21"/>
                <w:highlight w:val="none"/>
                <w:lang w:bidi="ar"/>
              </w:rPr>
              <w:t>包含区间主体（掘进及出渣、管片拼装、预埋槽道、端头加固等），联络通道、施工监测、泥水处理设备等。</w:t>
            </w:r>
          </w:p>
        </w:tc>
      </w:tr>
      <w:tr w14:paraId="4572CF7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55A3E4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BBBEF9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7ADC422">
            <w:pPr>
              <w:widowControl/>
              <w:spacing w:line="440" w:lineRule="exact"/>
              <w:textAlignment w:val="center"/>
              <w:rPr>
                <w:color w:val="auto"/>
                <w:sz w:val="21"/>
                <w:szCs w:val="21"/>
                <w:highlight w:val="none"/>
              </w:rPr>
            </w:pPr>
            <w:r>
              <w:rPr>
                <w:color w:val="auto"/>
                <w:kern w:val="0"/>
                <w:sz w:val="21"/>
                <w:szCs w:val="21"/>
                <w:highlight w:val="none"/>
                <w:lang w:bidi="ar"/>
              </w:rPr>
              <w:t>（二）区间风井或盾构井</w:t>
            </w:r>
          </w:p>
        </w:tc>
        <w:tc>
          <w:tcPr>
            <w:tcW w:w="1677" w:type="dxa"/>
            <w:tcBorders>
              <w:top w:val="nil"/>
              <w:left w:val="nil"/>
              <w:bottom w:val="single" w:color="auto" w:sz="8" w:space="0"/>
              <w:right w:val="single" w:color="auto" w:sz="8" w:space="0"/>
            </w:tcBorders>
            <w:shd w:val="clear" w:color="000000" w:fill="FFFFFF"/>
            <w:vAlign w:val="center"/>
          </w:tcPr>
          <w:p w14:paraId="7A504626">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4F59833C">
            <w:pPr>
              <w:widowControl/>
              <w:spacing w:line="440" w:lineRule="exact"/>
              <w:textAlignment w:val="center"/>
              <w:rPr>
                <w:color w:val="auto"/>
                <w:sz w:val="21"/>
                <w:szCs w:val="21"/>
                <w:highlight w:val="none"/>
              </w:rPr>
            </w:pPr>
            <w:r>
              <w:rPr>
                <w:color w:val="auto"/>
                <w:kern w:val="0"/>
                <w:sz w:val="21"/>
                <w:szCs w:val="21"/>
                <w:highlight w:val="none"/>
                <w:lang w:bidi="ar"/>
              </w:rPr>
              <w:t>备注尺寸（长×宽×深）。</w:t>
            </w:r>
          </w:p>
        </w:tc>
      </w:tr>
      <w:tr w14:paraId="51C8A9A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555878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B6CAE0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0A86935">
            <w:pPr>
              <w:widowControl/>
              <w:spacing w:line="440" w:lineRule="exact"/>
              <w:textAlignment w:val="center"/>
              <w:rPr>
                <w:color w:val="auto"/>
                <w:sz w:val="21"/>
                <w:szCs w:val="21"/>
                <w:highlight w:val="none"/>
              </w:rPr>
            </w:pPr>
            <w:r>
              <w:rPr>
                <w:color w:val="auto"/>
                <w:kern w:val="0"/>
                <w:sz w:val="21"/>
                <w:szCs w:val="21"/>
                <w:highlight w:val="none"/>
                <w:lang w:bidi="ar"/>
              </w:rPr>
              <w:t>二、TBM区间</w:t>
            </w:r>
          </w:p>
        </w:tc>
        <w:tc>
          <w:tcPr>
            <w:tcW w:w="1677" w:type="dxa"/>
            <w:tcBorders>
              <w:top w:val="nil"/>
              <w:left w:val="nil"/>
              <w:bottom w:val="single" w:color="auto" w:sz="8" w:space="0"/>
              <w:right w:val="single" w:color="auto" w:sz="8" w:space="0"/>
            </w:tcBorders>
            <w:shd w:val="clear" w:color="000000" w:fill="FFFFFF"/>
            <w:vAlign w:val="center"/>
          </w:tcPr>
          <w:p w14:paraId="6A20E472">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6CBED58F">
            <w:pPr>
              <w:widowControl/>
              <w:spacing w:line="440" w:lineRule="exact"/>
              <w:textAlignment w:val="center"/>
              <w:rPr>
                <w:color w:val="auto"/>
                <w:sz w:val="21"/>
                <w:szCs w:val="21"/>
                <w:highlight w:val="none"/>
              </w:rPr>
            </w:pPr>
            <w:r>
              <w:rPr>
                <w:color w:val="auto"/>
                <w:kern w:val="0"/>
                <w:sz w:val="21"/>
                <w:szCs w:val="21"/>
                <w:highlight w:val="none"/>
                <w:lang w:bidi="ar"/>
              </w:rPr>
              <w:t>按不同TBM尺寸分别编制。包含区间主体（掘进及出渣、管片拼装、预埋槽道、端头加固），联络通道，施工监测，区间风井或盾构井等。</w:t>
            </w:r>
          </w:p>
        </w:tc>
      </w:tr>
      <w:tr w14:paraId="7C7775F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74E71E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E28054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D9E9F4C">
            <w:pPr>
              <w:widowControl/>
              <w:spacing w:line="440" w:lineRule="exact"/>
              <w:textAlignment w:val="center"/>
              <w:rPr>
                <w:color w:val="auto"/>
                <w:sz w:val="21"/>
                <w:szCs w:val="21"/>
                <w:highlight w:val="none"/>
              </w:rPr>
            </w:pPr>
            <w:r>
              <w:rPr>
                <w:color w:val="auto"/>
                <w:kern w:val="0"/>
                <w:sz w:val="21"/>
                <w:szCs w:val="21"/>
                <w:highlight w:val="none"/>
                <w:lang w:bidi="ar"/>
              </w:rPr>
              <w:t>（一）TBM段</w:t>
            </w:r>
          </w:p>
        </w:tc>
        <w:tc>
          <w:tcPr>
            <w:tcW w:w="1677" w:type="dxa"/>
            <w:tcBorders>
              <w:top w:val="nil"/>
              <w:left w:val="nil"/>
              <w:bottom w:val="single" w:color="auto" w:sz="8" w:space="0"/>
              <w:right w:val="single" w:color="auto" w:sz="8" w:space="0"/>
            </w:tcBorders>
            <w:shd w:val="clear" w:color="000000" w:fill="FFFFFF"/>
            <w:vAlign w:val="center"/>
          </w:tcPr>
          <w:p w14:paraId="27B76ECD">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6F716E7F">
            <w:pPr>
              <w:widowControl/>
              <w:spacing w:line="440" w:lineRule="exact"/>
              <w:textAlignment w:val="center"/>
              <w:rPr>
                <w:color w:val="auto"/>
                <w:sz w:val="21"/>
                <w:szCs w:val="21"/>
                <w:highlight w:val="none"/>
              </w:rPr>
            </w:pPr>
            <w:r>
              <w:rPr>
                <w:color w:val="auto"/>
                <w:kern w:val="0"/>
                <w:sz w:val="21"/>
                <w:szCs w:val="21"/>
                <w:highlight w:val="none"/>
                <w:lang w:bidi="ar"/>
              </w:rPr>
              <w:t>包含区间主体（掘进及出渣、管片拼装、预埋槽道、端头加固等），联络通道、施工监测等。</w:t>
            </w:r>
          </w:p>
        </w:tc>
      </w:tr>
      <w:tr w14:paraId="6D5DAE8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01DBD2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99B862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08DAAF3">
            <w:pPr>
              <w:widowControl/>
              <w:spacing w:line="440" w:lineRule="exact"/>
              <w:textAlignment w:val="center"/>
              <w:rPr>
                <w:color w:val="auto"/>
                <w:sz w:val="21"/>
                <w:szCs w:val="21"/>
                <w:highlight w:val="none"/>
              </w:rPr>
            </w:pPr>
            <w:r>
              <w:rPr>
                <w:color w:val="auto"/>
                <w:kern w:val="0"/>
                <w:sz w:val="21"/>
                <w:szCs w:val="21"/>
                <w:highlight w:val="none"/>
                <w:lang w:bidi="ar"/>
              </w:rPr>
              <w:t>（二）区间风井或盾构井</w:t>
            </w:r>
          </w:p>
        </w:tc>
        <w:tc>
          <w:tcPr>
            <w:tcW w:w="1677" w:type="dxa"/>
            <w:tcBorders>
              <w:top w:val="nil"/>
              <w:left w:val="nil"/>
              <w:bottom w:val="single" w:color="auto" w:sz="8" w:space="0"/>
              <w:right w:val="single" w:color="auto" w:sz="8" w:space="0"/>
            </w:tcBorders>
            <w:shd w:val="clear" w:color="000000" w:fill="FFFFFF"/>
            <w:vAlign w:val="center"/>
          </w:tcPr>
          <w:p w14:paraId="173BE50B">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4C310140">
            <w:pPr>
              <w:widowControl/>
              <w:spacing w:line="440" w:lineRule="exact"/>
              <w:textAlignment w:val="center"/>
              <w:rPr>
                <w:color w:val="auto"/>
                <w:sz w:val="21"/>
                <w:szCs w:val="21"/>
                <w:highlight w:val="none"/>
              </w:rPr>
            </w:pPr>
            <w:r>
              <w:rPr>
                <w:color w:val="auto"/>
                <w:kern w:val="0"/>
                <w:sz w:val="21"/>
                <w:szCs w:val="21"/>
                <w:highlight w:val="none"/>
                <w:lang w:bidi="ar"/>
              </w:rPr>
              <w:t>备注尺寸（长×宽×深）。</w:t>
            </w:r>
          </w:p>
        </w:tc>
      </w:tr>
      <w:tr w14:paraId="298F0B6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96E795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F14A36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26691C1">
            <w:pPr>
              <w:widowControl/>
              <w:spacing w:line="440" w:lineRule="exact"/>
              <w:textAlignment w:val="center"/>
              <w:rPr>
                <w:color w:val="auto"/>
                <w:sz w:val="21"/>
                <w:szCs w:val="21"/>
                <w:highlight w:val="none"/>
              </w:rPr>
            </w:pPr>
            <w:r>
              <w:rPr>
                <w:color w:val="auto"/>
                <w:kern w:val="0"/>
                <w:sz w:val="21"/>
                <w:szCs w:val="21"/>
                <w:highlight w:val="none"/>
                <w:lang w:bidi="ar"/>
              </w:rPr>
              <w:t>三、明挖区间</w:t>
            </w:r>
          </w:p>
        </w:tc>
        <w:tc>
          <w:tcPr>
            <w:tcW w:w="1677" w:type="dxa"/>
            <w:tcBorders>
              <w:top w:val="nil"/>
              <w:left w:val="nil"/>
              <w:bottom w:val="single" w:color="auto" w:sz="8" w:space="0"/>
              <w:right w:val="single" w:color="auto" w:sz="8" w:space="0"/>
            </w:tcBorders>
            <w:shd w:val="clear" w:color="000000" w:fill="FFFFFF"/>
            <w:vAlign w:val="center"/>
          </w:tcPr>
          <w:p w14:paraId="79207150">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25A0F576">
            <w:pPr>
              <w:widowControl/>
              <w:spacing w:line="440" w:lineRule="exact"/>
              <w:textAlignment w:val="center"/>
              <w:rPr>
                <w:color w:val="auto"/>
                <w:sz w:val="21"/>
                <w:szCs w:val="21"/>
                <w:highlight w:val="none"/>
              </w:rPr>
            </w:pPr>
            <w:r>
              <w:rPr>
                <w:color w:val="auto"/>
                <w:kern w:val="0"/>
                <w:sz w:val="21"/>
                <w:szCs w:val="21"/>
                <w:highlight w:val="none"/>
                <w:lang w:bidi="ar"/>
              </w:rPr>
              <w:t>结合围护结构型式、区间宽度分别编制。包含区间主体，联络通道，施工监测，区间风井或盾构井等。</w:t>
            </w:r>
          </w:p>
        </w:tc>
      </w:tr>
      <w:tr w14:paraId="6724984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BF50CC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3181E6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FE9D2C8">
            <w:pPr>
              <w:widowControl/>
              <w:spacing w:line="440" w:lineRule="exact"/>
              <w:textAlignment w:val="center"/>
              <w:rPr>
                <w:color w:val="auto"/>
                <w:sz w:val="21"/>
                <w:szCs w:val="21"/>
                <w:highlight w:val="none"/>
              </w:rPr>
            </w:pPr>
            <w:r>
              <w:rPr>
                <w:color w:val="auto"/>
                <w:kern w:val="0"/>
                <w:sz w:val="21"/>
                <w:szCs w:val="21"/>
                <w:highlight w:val="none"/>
                <w:lang w:bidi="ar"/>
              </w:rPr>
              <w:t>（一）明挖段</w:t>
            </w:r>
          </w:p>
        </w:tc>
        <w:tc>
          <w:tcPr>
            <w:tcW w:w="1677" w:type="dxa"/>
            <w:tcBorders>
              <w:top w:val="nil"/>
              <w:left w:val="nil"/>
              <w:bottom w:val="single" w:color="auto" w:sz="8" w:space="0"/>
              <w:right w:val="single" w:color="auto" w:sz="8" w:space="0"/>
            </w:tcBorders>
            <w:shd w:val="clear" w:color="000000" w:fill="FFFFFF"/>
            <w:vAlign w:val="center"/>
          </w:tcPr>
          <w:p w14:paraId="25D859E3">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4ABEA314">
            <w:pPr>
              <w:widowControl/>
              <w:spacing w:line="440" w:lineRule="exact"/>
              <w:textAlignment w:val="center"/>
              <w:rPr>
                <w:color w:val="auto"/>
                <w:sz w:val="21"/>
                <w:szCs w:val="21"/>
                <w:highlight w:val="none"/>
              </w:rPr>
            </w:pPr>
            <w:r>
              <w:rPr>
                <w:color w:val="auto"/>
                <w:kern w:val="0"/>
                <w:sz w:val="21"/>
                <w:szCs w:val="21"/>
                <w:highlight w:val="none"/>
                <w:lang w:bidi="ar"/>
              </w:rPr>
              <w:t>包含区间主体、联络通道、施工监测等。</w:t>
            </w:r>
          </w:p>
        </w:tc>
      </w:tr>
      <w:tr w14:paraId="018DB38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C7BA8E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3E14DD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408475C">
            <w:pPr>
              <w:widowControl/>
              <w:spacing w:line="440" w:lineRule="exact"/>
              <w:textAlignment w:val="center"/>
              <w:rPr>
                <w:color w:val="auto"/>
                <w:sz w:val="21"/>
                <w:szCs w:val="21"/>
                <w:highlight w:val="none"/>
              </w:rPr>
            </w:pPr>
            <w:r>
              <w:rPr>
                <w:color w:val="auto"/>
                <w:kern w:val="0"/>
                <w:sz w:val="21"/>
                <w:szCs w:val="21"/>
                <w:highlight w:val="none"/>
                <w:lang w:bidi="ar"/>
              </w:rPr>
              <w:t>1.单线段</w:t>
            </w:r>
          </w:p>
        </w:tc>
        <w:tc>
          <w:tcPr>
            <w:tcW w:w="1677" w:type="dxa"/>
            <w:tcBorders>
              <w:top w:val="nil"/>
              <w:left w:val="nil"/>
              <w:bottom w:val="single" w:color="auto" w:sz="8" w:space="0"/>
              <w:right w:val="single" w:color="auto" w:sz="8" w:space="0"/>
            </w:tcBorders>
            <w:shd w:val="clear" w:color="000000" w:fill="FFFFFF"/>
            <w:vAlign w:val="center"/>
          </w:tcPr>
          <w:p w14:paraId="7C95BE31">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1EA331B4">
            <w:pPr>
              <w:widowControl/>
              <w:spacing w:line="440" w:lineRule="exact"/>
              <w:textAlignment w:val="center"/>
              <w:rPr>
                <w:color w:val="auto"/>
                <w:sz w:val="21"/>
                <w:szCs w:val="21"/>
                <w:highlight w:val="none"/>
              </w:rPr>
            </w:pPr>
            <w:r>
              <w:rPr>
                <w:color w:val="auto"/>
                <w:kern w:val="0"/>
                <w:sz w:val="21"/>
                <w:szCs w:val="21"/>
                <w:highlight w:val="none"/>
                <w:lang w:bidi="ar"/>
              </w:rPr>
              <w:t>按不同围护类型分别编制。</w:t>
            </w:r>
          </w:p>
        </w:tc>
      </w:tr>
      <w:tr w14:paraId="7CE3282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946BE9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E330EF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4ED5AF1">
            <w:pPr>
              <w:widowControl/>
              <w:spacing w:line="440" w:lineRule="exact"/>
              <w:textAlignment w:val="center"/>
              <w:rPr>
                <w:color w:val="auto"/>
                <w:sz w:val="21"/>
                <w:szCs w:val="21"/>
                <w:highlight w:val="none"/>
              </w:rPr>
            </w:pPr>
            <w:r>
              <w:rPr>
                <w:color w:val="auto"/>
                <w:kern w:val="0"/>
                <w:sz w:val="21"/>
                <w:szCs w:val="21"/>
                <w:highlight w:val="none"/>
                <w:lang w:bidi="ar"/>
              </w:rPr>
              <w:t>2.双线段</w:t>
            </w:r>
          </w:p>
        </w:tc>
        <w:tc>
          <w:tcPr>
            <w:tcW w:w="1677" w:type="dxa"/>
            <w:tcBorders>
              <w:top w:val="nil"/>
              <w:left w:val="nil"/>
              <w:bottom w:val="single" w:color="auto" w:sz="8" w:space="0"/>
              <w:right w:val="single" w:color="auto" w:sz="8" w:space="0"/>
            </w:tcBorders>
            <w:shd w:val="clear" w:color="000000" w:fill="FFFFFF"/>
            <w:vAlign w:val="center"/>
          </w:tcPr>
          <w:p w14:paraId="4E822A28">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7EC016B1">
            <w:pPr>
              <w:widowControl/>
              <w:spacing w:line="440" w:lineRule="exact"/>
              <w:textAlignment w:val="center"/>
              <w:rPr>
                <w:color w:val="auto"/>
                <w:sz w:val="21"/>
                <w:szCs w:val="21"/>
                <w:highlight w:val="none"/>
              </w:rPr>
            </w:pPr>
            <w:r>
              <w:rPr>
                <w:color w:val="auto"/>
                <w:kern w:val="0"/>
                <w:sz w:val="21"/>
                <w:szCs w:val="21"/>
                <w:highlight w:val="none"/>
                <w:lang w:bidi="ar"/>
              </w:rPr>
              <w:t>按不同围护类型分别编制。</w:t>
            </w:r>
          </w:p>
        </w:tc>
      </w:tr>
      <w:tr w14:paraId="3EB5663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574578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86DFC5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06E6DC6">
            <w:pPr>
              <w:widowControl/>
              <w:spacing w:line="440" w:lineRule="exact"/>
              <w:textAlignment w:val="center"/>
              <w:rPr>
                <w:color w:val="auto"/>
                <w:sz w:val="21"/>
                <w:szCs w:val="21"/>
                <w:highlight w:val="none"/>
              </w:rPr>
            </w:pPr>
            <w:r>
              <w:rPr>
                <w:color w:val="auto"/>
                <w:kern w:val="0"/>
                <w:sz w:val="21"/>
                <w:szCs w:val="21"/>
                <w:highlight w:val="none"/>
                <w:lang w:bidi="ar"/>
              </w:rPr>
              <w:t>3.三（多）线段</w:t>
            </w:r>
          </w:p>
        </w:tc>
        <w:tc>
          <w:tcPr>
            <w:tcW w:w="1677" w:type="dxa"/>
            <w:tcBorders>
              <w:top w:val="nil"/>
              <w:left w:val="nil"/>
              <w:bottom w:val="single" w:color="auto" w:sz="8" w:space="0"/>
              <w:right w:val="single" w:color="auto" w:sz="8" w:space="0"/>
            </w:tcBorders>
            <w:shd w:val="clear" w:color="000000" w:fill="FFFFFF"/>
            <w:vAlign w:val="center"/>
          </w:tcPr>
          <w:p w14:paraId="42B4C173">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2347B3CF">
            <w:pPr>
              <w:widowControl/>
              <w:spacing w:line="440" w:lineRule="exact"/>
              <w:textAlignment w:val="center"/>
              <w:rPr>
                <w:color w:val="auto"/>
                <w:sz w:val="21"/>
                <w:szCs w:val="21"/>
                <w:highlight w:val="none"/>
              </w:rPr>
            </w:pPr>
            <w:r>
              <w:rPr>
                <w:color w:val="auto"/>
                <w:kern w:val="0"/>
                <w:sz w:val="21"/>
                <w:szCs w:val="21"/>
                <w:highlight w:val="none"/>
                <w:lang w:bidi="ar"/>
              </w:rPr>
              <w:t>按不同围护类型分别编制。</w:t>
            </w:r>
          </w:p>
        </w:tc>
      </w:tr>
      <w:tr w14:paraId="2670D67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4BAC81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912A95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40367B6">
            <w:pPr>
              <w:widowControl/>
              <w:spacing w:line="440" w:lineRule="exact"/>
              <w:textAlignment w:val="center"/>
              <w:rPr>
                <w:color w:val="auto"/>
                <w:sz w:val="21"/>
                <w:szCs w:val="21"/>
                <w:highlight w:val="none"/>
              </w:rPr>
            </w:pPr>
            <w:r>
              <w:rPr>
                <w:color w:val="auto"/>
                <w:kern w:val="0"/>
                <w:sz w:val="21"/>
                <w:szCs w:val="21"/>
                <w:highlight w:val="none"/>
                <w:lang w:bidi="ar"/>
              </w:rPr>
              <w:t>（二）区间风井或盾构井</w:t>
            </w:r>
          </w:p>
        </w:tc>
        <w:tc>
          <w:tcPr>
            <w:tcW w:w="1677" w:type="dxa"/>
            <w:tcBorders>
              <w:top w:val="nil"/>
              <w:left w:val="nil"/>
              <w:bottom w:val="single" w:color="auto" w:sz="8" w:space="0"/>
              <w:right w:val="single" w:color="auto" w:sz="8" w:space="0"/>
            </w:tcBorders>
            <w:shd w:val="clear" w:color="000000" w:fill="FFFFFF"/>
            <w:vAlign w:val="center"/>
          </w:tcPr>
          <w:p w14:paraId="40F06900">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27729F38">
            <w:pPr>
              <w:widowControl/>
              <w:spacing w:line="440" w:lineRule="exact"/>
              <w:textAlignment w:val="center"/>
              <w:rPr>
                <w:color w:val="auto"/>
                <w:sz w:val="21"/>
                <w:szCs w:val="21"/>
                <w:highlight w:val="none"/>
              </w:rPr>
            </w:pPr>
            <w:r>
              <w:rPr>
                <w:color w:val="auto"/>
                <w:kern w:val="0"/>
                <w:sz w:val="21"/>
                <w:szCs w:val="21"/>
                <w:highlight w:val="none"/>
                <w:lang w:bidi="ar"/>
              </w:rPr>
              <w:t>备注尺寸（长×宽×深）。</w:t>
            </w:r>
          </w:p>
        </w:tc>
      </w:tr>
      <w:tr w14:paraId="429E472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FE23DB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0ED9D8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3D85135">
            <w:pPr>
              <w:widowControl/>
              <w:spacing w:line="440" w:lineRule="exact"/>
              <w:textAlignment w:val="center"/>
              <w:rPr>
                <w:color w:val="auto"/>
                <w:sz w:val="21"/>
                <w:szCs w:val="21"/>
                <w:highlight w:val="none"/>
              </w:rPr>
            </w:pPr>
            <w:r>
              <w:rPr>
                <w:color w:val="auto"/>
                <w:kern w:val="0"/>
                <w:sz w:val="21"/>
                <w:szCs w:val="21"/>
                <w:highlight w:val="none"/>
                <w:lang w:bidi="ar"/>
              </w:rPr>
              <w:t>四、盖挖区间</w:t>
            </w:r>
          </w:p>
        </w:tc>
        <w:tc>
          <w:tcPr>
            <w:tcW w:w="1677" w:type="dxa"/>
            <w:tcBorders>
              <w:top w:val="nil"/>
              <w:left w:val="nil"/>
              <w:bottom w:val="single" w:color="auto" w:sz="8" w:space="0"/>
              <w:right w:val="single" w:color="auto" w:sz="8" w:space="0"/>
            </w:tcBorders>
            <w:shd w:val="clear" w:color="000000" w:fill="FFFFFF"/>
            <w:vAlign w:val="center"/>
          </w:tcPr>
          <w:p w14:paraId="1A39C644">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0F05D4C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0D4BEF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A3180B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8227C5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CC6C0DC">
            <w:pPr>
              <w:widowControl/>
              <w:spacing w:line="440" w:lineRule="exact"/>
              <w:textAlignment w:val="center"/>
              <w:rPr>
                <w:color w:val="auto"/>
                <w:sz w:val="21"/>
                <w:szCs w:val="21"/>
                <w:highlight w:val="none"/>
              </w:rPr>
            </w:pPr>
            <w:r>
              <w:rPr>
                <w:color w:val="auto"/>
                <w:kern w:val="0"/>
                <w:sz w:val="21"/>
                <w:szCs w:val="21"/>
                <w:highlight w:val="none"/>
                <w:lang w:bidi="ar"/>
              </w:rPr>
              <w:t>五、暗挖区间</w:t>
            </w:r>
          </w:p>
        </w:tc>
        <w:tc>
          <w:tcPr>
            <w:tcW w:w="1677" w:type="dxa"/>
            <w:tcBorders>
              <w:top w:val="nil"/>
              <w:left w:val="nil"/>
              <w:bottom w:val="single" w:color="auto" w:sz="8" w:space="0"/>
              <w:right w:val="single" w:color="auto" w:sz="8" w:space="0"/>
            </w:tcBorders>
            <w:shd w:val="clear" w:color="000000" w:fill="FFFFFF"/>
            <w:vAlign w:val="center"/>
          </w:tcPr>
          <w:p w14:paraId="7602A7C3">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05B39E7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473DDB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4FEAF1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C2A484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FBDDE0B">
            <w:pPr>
              <w:widowControl/>
              <w:spacing w:line="440" w:lineRule="exact"/>
              <w:textAlignment w:val="center"/>
              <w:rPr>
                <w:color w:val="auto"/>
                <w:sz w:val="21"/>
                <w:szCs w:val="21"/>
                <w:highlight w:val="none"/>
              </w:rPr>
            </w:pPr>
            <w:r>
              <w:rPr>
                <w:color w:val="auto"/>
                <w:kern w:val="0"/>
                <w:sz w:val="21"/>
                <w:szCs w:val="21"/>
                <w:highlight w:val="none"/>
                <w:lang w:bidi="ar"/>
              </w:rPr>
              <w:t>六、U型槽过渡段</w:t>
            </w:r>
          </w:p>
        </w:tc>
        <w:tc>
          <w:tcPr>
            <w:tcW w:w="1677" w:type="dxa"/>
            <w:tcBorders>
              <w:top w:val="nil"/>
              <w:left w:val="nil"/>
              <w:bottom w:val="single" w:color="auto" w:sz="8" w:space="0"/>
              <w:right w:val="single" w:color="auto" w:sz="8" w:space="0"/>
            </w:tcBorders>
            <w:shd w:val="clear" w:color="000000" w:fill="FFFFFF"/>
            <w:vAlign w:val="center"/>
          </w:tcPr>
          <w:p w14:paraId="4DE32539">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78872B3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316A7D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CBFED1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273728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08AE2AE">
            <w:pPr>
              <w:widowControl/>
              <w:spacing w:line="440" w:lineRule="exact"/>
              <w:textAlignment w:val="center"/>
              <w:rPr>
                <w:color w:val="auto"/>
                <w:sz w:val="21"/>
                <w:szCs w:val="21"/>
                <w:highlight w:val="none"/>
              </w:rPr>
            </w:pPr>
            <w:r>
              <w:rPr>
                <w:color w:val="auto"/>
                <w:kern w:val="0"/>
                <w:sz w:val="21"/>
                <w:szCs w:val="21"/>
                <w:highlight w:val="none"/>
                <w:lang w:bidi="ar"/>
              </w:rPr>
              <w:t>（一）U型槽</w:t>
            </w:r>
          </w:p>
        </w:tc>
        <w:tc>
          <w:tcPr>
            <w:tcW w:w="1677" w:type="dxa"/>
            <w:tcBorders>
              <w:top w:val="nil"/>
              <w:left w:val="nil"/>
              <w:bottom w:val="single" w:color="auto" w:sz="8" w:space="0"/>
              <w:right w:val="single" w:color="auto" w:sz="8" w:space="0"/>
            </w:tcBorders>
            <w:shd w:val="clear" w:color="000000" w:fill="FFFFFF"/>
            <w:vAlign w:val="center"/>
          </w:tcPr>
          <w:p w14:paraId="13DF4534">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5FE3AAE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8D33B1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9BA77F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044EC4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85E97D4">
            <w:pPr>
              <w:widowControl/>
              <w:spacing w:line="440" w:lineRule="exact"/>
              <w:textAlignment w:val="center"/>
              <w:rPr>
                <w:color w:val="auto"/>
                <w:sz w:val="21"/>
                <w:szCs w:val="21"/>
                <w:highlight w:val="none"/>
              </w:rPr>
            </w:pPr>
            <w:r>
              <w:rPr>
                <w:color w:val="auto"/>
                <w:kern w:val="0"/>
                <w:sz w:val="21"/>
                <w:szCs w:val="21"/>
                <w:highlight w:val="none"/>
                <w:lang w:bidi="ar"/>
              </w:rPr>
              <w:t>（二）罩棚</w:t>
            </w:r>
          </w:p>
        </w:tc>
        <w:tc>
          <w:tcPr>
            <w:tcW w:w="1677" w:type="dxa"/>
            <w:tcBorders>
              <w:top w:val="nil"/>
              <w:left w:val="nil"/>
              <w:bottom w:val="single" w:color="auto" w:sz="8" w:space="0"/>
              <w:right w:val="single" w:color="auto" w:sz="8" w:space="0"/>
            </w:tcBorders>
            <w:shd w:val="clear" w:color="000000" w:fill="FFFFFF"/>
            <w:vAlign w:val="center"/>
          </w:tcPr>
          <w:p w14:paraId="0722BFD7">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A5CD56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645882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1783D9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998B1D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ACE3F6F">
            <w:pPr>
              <w:widowControl/>
              <w:spacing w:line="440" w:lineRule="exact"/>
              <w:textAlignment w:val="center"/>
              <w:rPr>
                <w:color w:val="auto"/>
                <w:sz w:val="21"/>
                <w:szCs w:val="21"/>
                <w:highlight w:val="none"/>
              </w:rPr>
            </w:pPr>
            <w:r>
              <w:rPr>
                <w:color w:val="auto"/>
                <w:kern w:val="0"/>
                <w:sz w:val="21"/>
                <w:szCs w:val="21"/>
                <w:highlight w:val="none"/>
                <w:lang w:bidi="ar"/>
              </w:rPr>
              <w:t>七、疏散平台</w:t>
            </w:r>
          </w:p>
        </w:tc>
        <w:tc>
          <w:tcPr>
            <w:tcW w:w="1677" w:type="dxa"/>
            <w:tcBorders>
              <w:top w:val="nil"/>
              <w:left w:val="nil"/>
              <w:bottom w:val="single" w:color="auto" w:sz="8" w:space="0"/>
              <w:right w:val="single" w:color="auto" w:sz="8" w:space="0"/>
            </w:tcBorders>
            <w:shd w:val="clear" w:color="000000" w:fill="FFFFFF"/>
            <w:vAlign w:val="center"/>
          </w:tcPr>
          <w:p w14:paraId="35DA3859">
            <w:pPr>
              <w:widowControl/>
              <w:spacing w:line="440" w:lineRule="exact"/>
              <w:jc w:val="center"/>
              <w:textAlignment w:val="center"/>
              <w:rPr>
                <w:color w:val="auto"/>
                <w:sz w:val="21"/>
                <w:szCs w:val="21"/>
                <w:highlight w:val="none"/>
              </w:rPr>
            </w:pPr>
            <w:r>
              <w:rPr>
                <w:color w:val="auto"/>
                <w:kern w:val="0"/>
                <w:sz w:val="21"/>
                <w:szCs w:val="21"/>
                <w:highlight w:val="none"/>
                <w:lang w:bidi="ar"/>
              </w:rPr>
              <w:t>延长米</w:t>
            </w:r>
          </w:p>
        </w:tc>
        <w:tc>
          <w:tcPr>
            <w:tcW w:w="6704" w:type="dxa"/>
            <w:tcBorders>
              <w:top w:val="nil"/>
              <w:left w:val="nil"/>
              <w:bottom w:val="single" w:color="auto" w:sz="8" w:space="0"/>
              <w:right w:val="single" w:color="auto" w:sz="8" w:space="0"/>
            </w:tcBorders>
            <w:shd w:val="clear" w:color="000000" w:fill="FFFFFF"/>
            <w:vAlign w:val="center"/>
          </w:tcPr>
          <w:p w14:paraId="3781267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51CB43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2990F9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CFAA10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F04A544">
            <w:pPr>
              <w:widowControl/>
              <w:spacing w:line="440" w:lineRule="exact"/>
              <w:textAlignment w:val="center"/>
              <w:rPr>
                <w:color w:val="auto"/>
                <w:sz w:val="21"/>
                <w:szCs w:val="21"/>
                <w:highlight w:val="none"/>
              </w:rPr>
            </w:pPr>
            <w:r>
              <w:rPr>
                <w:color w:val="auto"/>
                <w:kern w:val="0"/>
                <w:sz w:val="21"/>
                <w:szCs w:val="21"/>
                <w:highlight w:val="none"/>
                <w:lang w:bidi="ar"/>
              </w:rPr>
              <w:t>八、风险源处理</w:t>
            </w:r>
          </w:p>
        </w:tc>
        <w:tc>
          <w:tcPr>
            <w:tcW w:w="1677" w:type="dxa"/>
            <w:tcBorders>
              <w:top w:val="nil"/>
              <w:left w:val="nil"/>
              <w:bottom w:val="single" w:color="auto" w:sz="8" w:space="0"/>
              <w:right w:val="single" w:color="auto" w:sz="8" w:space="0"/>
            </w:tcBorders>
            <w:shd w:val="clear" w:color="000000" w:fill="FFFFFF"/>
            <w:vAlign w:val="center"/>
          </w:tcPr>
          <w:p w14:paraId="74F8E206">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6A23C92E">
            <w:pPr>
              <w:widowControl/>
              <w:spacing w:line="440" w:lineRule="exact"/>
              <w:textAlignment w:val="center"/>
              <w:rPr>
                <w:color w:val="auto"/>
                <w:sz w:val="21"/>
                <w:szCs w:val="21"/>
                <w:highlight w:val="none"/>
              </w:rPr>
            </w:pPr>
            <w:r>
              <w:rPr>
                <w:color w:val="auto"/>
                <w:kern w:val="0"/>
                <w:sz w:val="21"/>
                <w:szCs w:val="21"/>
                <w:highlight w:val="none"/>
                <w:lang w:bidi="ar"/>
              </w:rPr>
              <w:t>风险源费用单独计列，包括建（构）筑物加固保护、岩溶处理、采空区加固、管线加固及悬吊等。</w:t>
            </w:r>
          </w:p>
        </w:tc>
      </w:tr>
      <w:tr w14:paraId="3ACC800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436F19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D16AF4D">
            <w:pPr>
              <w:widowControl/>
              <w:spacing w:line="440" w:lineRule="exact"/>
              <w:jc w:val="center"/>
              <w:textAlignment w:val="center"/>
              <w:rPr>
                <w:color w:val="auto"/>
                <w:sz w:val="21"/>
                <w:szCs w:val="21"/>
                <w:highlight w:val="none"/>
              </w:rPr>
            </w:pPr>
            <w:r>
              <w:rPr>
                <w:color w:val="auto"/>
                <w:kern w:val="0"/>
                <w:sz w:val="21"/>
                <w:szCs w:val="21"/>
                <w:highlight w:val="none"/>
                <w:lang w:bidi="ar"/>
              </w:rPr>
              <w:t>5</w:t>
            </w:r>
          </w:p>
        </w:tc>
        <w:tc>
          <w:tcPr>
            <w:tcW w:w="3816" w:type="dxa"/>
            <w:tcBorders>
              <w:top w:val="nil"/>
              <w:left w:val="nil"/>
              <w:bottom w:val="single" w:color="auto" w:sz="8" w:space="0"/>
              <w:right w:val="single" w:color="auto" w:sz="8" w:space="0"/>
            </w:tcBorders>
            <w:shd w:val="clear" w:color="000000" w:fill="FFFFFF"/>
            <w:vAlign w:val="center"/>
          </w:tcPr>
          <w:p w14:paraId="3D199BBB">
            <w:pPr>
              <w:widowControl/>
              <w:spacing w:line="440" w:lineRule="exact"/>
              <w:textAlignment w:val="center"/>
              <w:rPr>
                <w:color w:val="auto"/>
                <w:sz w:val="21"/>
                <w:szCs w:val="21"/>
                <w:highlight w:val="none"/>
              </w:rPr>
            </w:pPr>
            <w:r>
              <w:rPr>
                <w:color w:val="auto"/>
                <w:kern w:val="0"/>
                <w:sz w:val="21"/>
                <w:szCs w:val="21"/>
                <w:highlight w:val="none"/>
                <w:lang w:bidi="ar"/>
              </w:rPr>
              <w:t>高架区间</w:t>
            </w:r>
          </w:p>
        </w:tc>
        <w:tc>
          <w:tcPr>
            <w:tcW w:w="1677" w:type="dxa"/>
            <w:tcBorders>
              <w:top w:val="nil"/>
              <w:left w:val="nil"/>
              <w:bottom w:val="single" w:color="auto" w:sz="8" w:space="0"/>
              <w:right w:val="single" w:color="auto" w:sz="8" w:space="0"/>
            </w:tcBorders>
            <w:shd w:val="clear" w:color="000000" w:fill="FFFFFF"/>
            <w:vAlign w:val="center"/>
          </w:tcPr>
          <w:p w14:paraId="08E70781">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461DE23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A9257F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F068B0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0D8E29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9DE562D">
            <w:pPr>
              <w:widowControl/>
              <w:spacing w:line="440" w:lineRule="exact"/>
              <w:textAlignment w:val="center"/>
              <w:rPr>
                <w:color w:val="auto"/>
                <w:sz w:val="21"/>
                <w:szCs w:val="21"/>
                <w:highlight w:val="none"/>
              </w:rPr>
            </w:pPr>
            <w:r>
              <w:rPr>
                <w:color w:val="auto"/>
                <w:kern w:val="0"/>
                <w:sz w:val="21"/>
                <w:szCs w:val="21"/>
                <w:highlight w:val="none"/>
                <w:lang w:bidi="ar"/>
              </w:rPr>
              <w:t>一、钢筋混凝土桥梁</w:t>
            </w:r>
          </w:p>
        </w:tc>
        <w:tc>
          <w:tcPr>
            <w:tcW w:w="1677" w:type="dxa"/>
            <w:tcBorders>
              <w:top w:val="nil"/>
              <w:left w:val="nil"/>
              <w:bottom w:val="single" w:color="auto" w:sz="8" w:space="0"/>
              <w:right w:val="single" w:color="auto" w:sz="8" w:space="0"/>
            </w:tcBorders>
            <w:shd w:val="clear" w:color="000000" w:fill="FFFFFF"/>
            <w:vAlign w:val="center"/>
          </w:tcPr>
          <w:p w14:paraId="333A9CC9">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22E295F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1FB781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A8D1A5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678431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AB94DA2">
            <w:pPr>
              <w:widowControl/>
              <w:spacing w:line="440" w:lineRule="exact"/>
              <w:textAlignment w:val="center"/>
              <w:rPr>
                <w:color w:val="auto"/>
                <w:sz w:val="21"/>
                <w:szCs w:val="21"/>
                <w:highlight w:val="none"/>
              </w:rPr>
            </w:pPr>
            <w:r>
              <w:rPr>
                <w:color w:val="auto"/>
                <w:kern w:val="0"/>
                <w:sz w:val="21"/>
                <w:szCs w:val="21"/>
                <w:highlight w:val="none"/>
                <w:lang w:bidi="ar"/>
              </w:rPr>
              <w:t>（一）现浇</w:t>
            </w:r>
          </w:p>
        </w:tc>
        <w:tc>
          <w:tcPr>
            <w:tcW w:w="1677" w:type="dxa"/>
            <w:tcBorders>
              <w:top w:val="nil"/>
              <w:left w:val="nil"/>
              <w:bottom w:val="single" w:color="auto" w:sz="8" w:space="0"/>
              <w:right w:val="single" w:color="auto" w:sz="8" w:space="0"/>
            </w:tcBorders>
            <w:shd w:val="clear" w:color="000000" w:fill="FFFFFF"/>
            <w:vAlign w:val="center"/>
          </w:tcPr>
          <w:p w14:paraId="340C9CC9">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3F779B1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17E1E7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D1CDBE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F33868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0929EFF">
            <w:pPr>
              <w:widowControl/>
              <w:spacing w:line="440" w:lineRule="exact"/>
              <w:textAlignment w:val="center"/>
              <w:rPr>
                <w:color w:val="auto"/>
                <w:sz w:val="21"/>
                <w:szCs w:val="21"/>
                <w:highlight w:val="none"/>
              </w:rPr>
            </w:pPr>
            <w:r>
              <w:rPr>
                <w:color w:val="auto"/>
                <w:kern w:val="0"/>
                <w:sz w:val="21"/>
                <w:szCs w:val="21"/>
                <w:highlight w:val="none"/>
                <w:lang w:bidi="ar"/>
              </w:rPr>
              <w:t>1.单线桥</w:t>
            </w:r>
          </w:p>
        </w:tc>
        <w:tc>
          <w:tcPr>
            <w:tcW w:w="1677" w:type="dxa"/>
            <w:tcBorders>
              <w:top w:val="nil"/>
              <w:left w:val="nil"/>
              <w:bottom w:val="single" w:color="auto" w:sz="8" w:space="0"/>
              <w:right w:val="single" w:color="auto" w:sz="8" w:space="0"/>
            </w:tcBorders>
            <w:shd w:val="clear" w:color="000000" w:fill="FFFFFF"/>
            <w:vAlign w:val="center"/>
          </w:tcPr>
          <w:p w14:paraId="08605BFC">
            <w:pPr>
              <w:widowControl/>
              <w:spacing w:line="440" w:lineRule="exact"/>
              <w:jc w:val="center"/>
              <w:textAlignment w:val="center"/>
              <w:rPr>
                <w:color w:val="auto"/>
                <w:sz w:val="21"/>
                <w:szCs w:val="21"/>
                <w:highlight w:val="none"/>
              </w:rPr>
            </w:pPr>
            <w:r>
              <w:rPr>
                <w:color w:val="auto"/>
                <w:kern w:val="0"/>
                <w:sz w:val="21"/>
                <w:szCs w:val="21"/>
                <w:highlight w:val="none"/>
                <w:lang w:bidi="ar"/>
              </w:rPr>
              <w:t>延长米/m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6C46EB2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7AC1F5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BB0520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45DF77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C5DA1EE">
            <w:pPr>
              <w:widowControl/>
              <w:spacing w:line="440" w:lineRule="exact"/>
              <w:textAlignment w:val="center"/>
              <w:rPr>
                <w:color w:val="auto"/>
                <w:sz w:val="21"/>
                <w:szCs w:val="21"/>
                <w:highlight w:val="none"/>
              </w:rPr>
            </w:pPr>
            <w:r>
              <w:rPr>
                <w:color w:val="auto"/>
                <w:kern w:val="0"/>
                <w:sz w:val="21"/>
                <w:szCs w:val="21"/>
                <w:highlight w:val="none"/>
                <w:lang w:bidi="ar"/>
              </w:rPr>
              <w:t>2.双线桥</w:t>
            </w:r>
          </w:p>
        </w:tc>
        <w:tc>
          <w:tcPr>
            <w:tcW w:w="1677" w:type="dxa"/>
            <w:tcBorders>
              <w:top w:val="nil"/>
              <w:left w:val="nil"/>
              <w:bottom w:val="single" w:color="auto" w:sz="8" w:space="0"/>
              <w:right w:val="single" w:color="auto" w:sz="8" w:space="0"/>
            </w:tcBorders>
            <w:shd w:val="clear" w:color="000000" w:fill="FFFFFF"/>
            <w:vAlign w:val="center"/>
          </w:tcPr>
          <w:p w14:paraId="364506A4">
            <w:pPr>
              <w:widowControl/>
              <w:spacing w:line="440" w:lineRule="exact"/>
              <w:jc w:val="center"/>
              <w:textAlignment w:val="center"/>
              <w:rPr>
                <w:color w:val="auto"/>
                <w:sz w:val="21"/>
                <w:szCs w:val="21"/>
                <w:highlight w:val="none"/>
              </w:rPr>
            </w:pPr>
            <w:r>
              <w:rPr>
                <w:color w:val="auto"/>
                <w:kern w:val="0"/>
                <w:sz w:val="21"/>
                <w:szCs w:val="21"/>
                <w:highlight w:val="none"/>
                <w:lang w:bidi="ar"/>
              </w:rPr>
              <w:t>双延米/m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5EF128B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FC704B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BD3843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6B662B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57EE91E">
            <w:pPr>
              <w:widowControl/>
              <w:spacing w:line="440" w:lineRule="exact"/>
              <w:textAlignment w:val="center"/>
              <w:rPr>
                <w:color w:val="auto"/>
                <w:sz w:val="21"/>
                <w:szCs w:val="21"/>
                <w:highlight w:val="none"/>
              </w:rPr>
            </w:pPr>
            <w:r>
              <w:rPr>
                <w:color w:val="auto"/>
                <w:kern w:val="0"/>
                <w:sz w:val="21"/>
                <w:szCs w:val="21"/>
                <w:highlight w:val="none"/>
                <w:lang w:bidi="ar"/>
              </w:rPr>
              <w:t>3.三（多）线桥</w:t>
            </w:r>
          </w:p>
        </w:tc>
        <w:tc>
          <w:tcPr>
            <w:tcW w:w="1677" w:type="dxa"/>
            <w:tcBorders>
              <w:top w:val="nil"/>
              <w:left w:val="nil"/>
              <w:bottom w:val="single" w:color="auto" w:sz="8" w:space="0"/>
              <w:right w:val="single" w:color="auto" w:sz="8" w:space="0"/>
            </w:tcBorders>
            <w:shd w:val="clear" w:color="000000" w:fill="FFFFFF"/>
            <w:vAlign w:val="center"/>
          </w:tcPr>
          <w:p w14:paraId="533A3B71">
            <w:pPr>
              <w:widowControl/>
              <w:spacing w:line="440" w:lineRule="exact"/>
              <w:jc w:val="center"/>
              <w:textAlignment w:val="center"/>
              <w:rPr>
                <w:color w:val="auto"/>
                <w:sz w:val="21"/>
                <w:szCs w:val="21"/>
                <w:highlight w:val="none"/>
              </w:rPr>
            </w:pPr>
            <w:r>
              <w:rPr>
                <w:color w:val="auto"/>
                <w:kern w:val="0"/>
                <w:sz w:val="21"/>
                <w:szCs w:val="21"/>
                <w:highlight w:val="none"/>
                <w:lang w:bidi="ar"/>
              </w:rPr>
              <w:t>多线延长米/m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21827EE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079A8E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8837F8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3D21FF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B5F5052">
            <w:pPr>
              <w:widowControl/>
              <w:spacing w:line="440" w:lineRule="exact"/>
              <w:textAlignment w:val="center"/>
              <w:rPr>
                <w:color w:val="auto"/>
                <w:sz w:val="21"/>
                <w:szCs w:val="21"/>
                <w:highlight w:val="none"/>
              </w:rPr>
            </w:pPr>
            <w:r>
              <w:rPr>
                <w:color w:val="auto"/>
                <w:kern w:val="0"/>
                <w:sz w:val="21"/>
                <w:szCs w:val="21"/>
                <w:highlight w:val="none"/>
                <w:lang w:bidi="ar"/>
              </w:rPr>
              <w:t>（二）预制</w:t>
            </w:r>
          </w:p>
        </w:tc>
        <w:tc>
          <w:tcPr>
            <w:tcW w:w="1677" w:type="dxa"/>
            <w:tcBorders>
              <w:top w:val="nil"/>
              <w:left w:val="nil"/>
              <w:bottom w:val="single" w:color="auto" w:sz="8" w:space="0"/>
              <w:right w:val="single" w:color="auto" w:sz="8" w:space="0"/>
            </w:tcBorders>
            <w:shd w:val="clear" w:color="000000" w:fill="FFFFFF"/>
            <w:vAlign w:val="center"/>
          </w:tcPr>
          <w:p w14:paraId="50BA3C92">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0ECB795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F481E1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B5E5B8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7E55CC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0D3B2E3">
            <w:pPr>
              <w:widowControl/>
              <w:spacing w:line="440" w:lineRule="exact"/>
              <w:textAlignment w:val="center"/>
              <w:rPr>
                <w:color w:val="auto"/>
                <w:sz w:val="21"/>
                <w:szCs w:val="21"/>
                <w:highlight w:val="none"/>
              </w:rPr>
            </w:pPr>
            <w:r>
              <w:rPr>
                <w:color w:val="auto"/>
                <w:kern w:val="0"/>
                <w:sz w:val="21"/>
                <w:szCs w:val="21"/>
                <w:highlight w:val="none"/>
                <w:lang w:bidi="ar"/>
              </w:rPr>
              <w:t>1.单线桥</w:t>
            </w:r>
          </w:p>
        </w:tc>
        <w:tc>
          <w:tcPr>
            <w:tcW w:w="1677" w:type="dxa"/>
            <w:tcBorders>
              <w:top w:val="nil"/>
              <w:left w:val="nil"/>
              <w:bottom w:val="single" w:color="auto" w:sz="8" w:space="0"/>
              <w:right w:val="single" w:color="auto" w:sz="8" w:space="0"/>
            </w:tcBorders>
            <w:shd w:val="clear" w:color="000000" w:fill="FFFFFF"/>
            <w:vAlign w:val="center"/>
          </w:tcPr>
          <w:p w14:paraId="103229DA">
            <w:pPr>
              <w:widowControl/>
              <w:spacing w:line="440" w:lineRule="exact"/>
              <w:jc w:val="center"/>
              <w:textAlignment w:val="center"/>
              <w:rPr>
                <w:color w:val="auto"/>
                <w:sz w:val="21"/>
                <w:szCs w:val="21"/>
                <w:highlight w:val="none"/>
              </w:rPr>
            </w:pPr>
            <w:r>
              <w:rPr>
                <w:color w:val="auto"/>
                <w:kern w:val="0"/>
                <w:sz w:val="21"/>
                <w:szCs w:val="21"/>
                <w:highlight w:val="none"/>
                <w:lang w:bidi="ar"/>
              </w:rPr>
              <w:t>延长米/m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75E2CE8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930A11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E8AB78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F24DA9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2F83E30">
            <w:pPr>
              <w:widowControl/>
              <w:spacing w:line="440" w:lineRule="exact"/>
              <w:textAlignment w:val="center"/>
              <w:rPr>
                <w:color w:val="auto"/>
                <w:sz w:val="21"/>
                <w:szCs w:val="21"/>
                <w:highlight w:val="none"/>
              </w:rPr>
            </w:pPr>
            <w:r>
              <w:rPr>
                <w:color w:val="auto"/>
                <w:kern w:val="0"/>
                <w:sz w:val="21"/>
                <w:szCs w:val="21"/>
                <w:highlight w:val="none"/>
                <w:lang w:bidi="ar"/>
              </w:rPr>
              <w:t>2.双线桥</w:t>
            </w:r>
          </w:p>
        </w:tc>
        <w:tc>
          <w:tcPr>
            <w:tcW w:w="1677" w:type="dxa"/>
            <w:tcBorders>
              <w:top w:val="nil"/>
              <w:left w:val="nil"/>
              <w:bottom w:val="single" w:color="auto" w:sz="8" w:space="0"/>
              <w:right w:val="single" w:color="auto" w:sz="8" w:space="0"/>
            </w:tcBorders>
            <w:shd w:val="clear" w:color="000000" w:fill="FFFFFF"/>
            <w:vAlign w:val="center"/>
          </w:tcPr>
          <w:p w14:paraId="41BBDE8B">
            <w:pPr>
              <w:widowControl/>
              <w:spacing w:line="440" w:lineRule="exact"/>
              <w:jc w:val="center"/>
              <w:textAlignment w:val="center"/>
              <w:rPr>
                <w:color w:val="auto"/>
                <w:sz w:val="21"/>
                <w:szCs w:val="21"/>
                <w:highlight w:val="none"/>
              </w:rPr>
            </w:pPr>
            <w:r>
              <w:rPr>
                <w:color w:val="auto"/>
                <w:kern w:val="0"/>
                <w:sz w:val="21"/>
                <w:szCs w:val="21"/>
                <w:highlight w:val="none"/>
                <w:lang w:bidi="ar"/>
              </w:rPr>
              <w:t>双延米/m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76CD24A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193097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E143E4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9B6D87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8D1E821">
            <w:pPr>
              <w:widowControl/>
              <w:spacing w:line="440" w:lineRule="exact"/>
              <w:textAlignment w:val="center"/>
              <w:rPr>
                <w:color w:val="auto"/>
                <w:sz w:val="21"/>
                <w:szCs w:val="21"/>
                <w:highlight w:val="none"/>
              </w:rPr>
            </w:pPr>
            <w:r>
              <w:rPr>
                <w:color w:val="auto"/>
                <w:kern w:val="0"/>
                <w:sz w:val="21"/>
                <w:szCs w:val="21"/>
                <w:highlight w:val="none"/>
                <w:lang w:bidi="ar"/>
              </w:rPr>
              <w:t>3.三（多）线桥</w:t>
            </w:r>
          </w:p>
        </w:tc>
        <w:tc>
          <w:tcPr>
            <w:tcW w:w="1677" w:type="dxa"/>
            <w:tcBorders>
              <w:top w:val="nil"/>
              <w:left w:val="nil"/>
              <w:bottom w:val="single" w:color="auto" w:sz="8" w:space="0"/>
              <w:right w:val="single" w:color="auto" w:sz="8" w:space="0"/>
            </w:tcBorders>
            <w:shd w:val="clear" w:color="000000" w:fill="FFFFFF"/>
            <w:vAlign w:val="center"/>
          </w:tcPr>
          <w:p w14:paraId="75F105C4">
            <w:pPr>
              <w:widowControl/>
              <w:spacing w:line="440" w:lineRule="exact"/>
              <w:jc w:val="center"/>
              <w:textAlignment w:val="center"/>
              <w:rPr>
                <w:color w:val="auto"/>
                <w:sz w:val="21"/>
                <w:szCs w:val="21"/>
                <w:highlight w:val="none"/>
              </w:rPr>
            </w:pPr>
            <w:r>
              <w:rPr>
                <w:color w:val="auto"/>
                <w:kern w:val="0"/>
                <w:sz w:val="21"/>
                <w:szCs w:val="21"/>
                <w:highlight w:val="none"/>
                <w:lang w:bidi="ar"/>
              </w:rPr>
              <w:t>多线延长米/m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13177E74">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F2D854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05F14B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5EA646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AEDD049">
            <w:pPr>
              <w:widowControl/>
              <w:spacing w:line="440" w:lineRule="exact"/>
              <w:textAlignment w:val="center"/>
              <w:rPr>
                <w:color w:val="auto"/>
                <w:sz w:val="21"/>
                <w:szCs w:val="21"/>
                <w:highlight w:val="none"/>
              </w:rPr>
            </w:pPr>
            <w:r>
              <w:rPr>
                <w:color w:val="auto"/>
                <w:kern w:val="0"/>
                <w:sz w:val="21"/>
                <w:szCs w:val="21"/>
                <w:highlight w:val="none"/>
                <w:lang w:bidi="ar"/>
              </w:rPr>
              <w:t>二、钢结构桥梁</w:t>
            </w:r>
          </w:p>
        </w:tc>
        <w:tc>
          <w:tcPr>
            <w:tcW w:w="1677" w:type="dxa"/>
            <w:tcBorders>
              <w:top w:val="nil"/>
              <w:left w:val="nil"/>
              <w:bottom w:val="single" w:color="auto" w:sz="8" w:space="0"/>
              <w:right w:val="single" w:color="auto" w:sz="8" w:space="0"/>
            </w:tcBorders>
            <w:shd w:val="clear" w:color="000000" w:fill="FFFFFF"/>
            <w:vAlign w:val="center"/>
          </w:tcPr>
          <w:p w14:paraId="3E1FBBC3">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081BEE1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EF863E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4A81D0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6B998E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4832347">
            <w:pPr>
              <w:widowControl/>
              <w:spacing w:line="440" w:lineRule="exact"/>
              <w:textAlignment w:val="center"/>
              <w:rPr>
                <w:color w:val="auto"/>
                <w:sz w:val="21"/>
                <w:szCs w:val="21"/>
                <w:highlight w:val="none"/>
              </w:rPr>
            </w:pPr>
            <w:r>
              <w:rPr>
                <w:color w:val="auto"/>
                <w:kern w:val="0"/>
                <w:sz w:val="21"/>
                <w:szCs w:val="21"/>
                <w:highlight w:val="none"/>
                <w:lang w:bidi="ar"/>
              </w:rPr>
              <w:t>（一）单线桥</w:t>
            </w:r>
          </w:p>
        </w:tc>
        <w:tc>
          <w:tcPr>
            <w:tcW w:w="1677" w:type="dxa"/>
            <w:tcBorders>
              <w:top w:val="nil"/>
              <w:left w:val="nil"/>
              <w:bottom w:val="single" w:color="auto" w:sz="8" w:space="0"/>
              <w:right w:val="single" w:color="auto" w:sz="8" w:space="0"/>
            </w:tcBorders>
            <w:shd w:val="clear" w:color="000000" w:fill="FFFFFF"/>
            <w:vAlign w:val="center"/>
          </w:tcPr>
          <w:p w14:paraId="716C8137">
            <w:pPr>
              <w:widowControl/>
              <w:spacing w:line="440" w:lineRule="exact"/>
              <w:jc w:val="center"/>
              <w:textAlignment w:val="center"/>
              <w:rPr>
                <w:color w:val="auto"/>
                <w:sz w:val="21"/>
                <w:szCs w:val="21"/>
                <w:highlight w:val="none"/>
              </w:rPr>
            </w:pPr>
            <w:r>
              <w:rPr>
                <w:color w:val="auto"/>
                <w:kern w:val="0"/>
                <w:sz w:val="21"/>
                <w:szCs w:val="21"/>
                <w:highlight w:val="none"/>
                <w:lang w:bidi="ar"/>
              </w:rPr>
              <w:t>延长米/m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5F1FF90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F7300B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2EECF8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CF9310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DE6FC71">
            <w:pPr>
              <w:widowControl/>
              <w:spacing w:line="440" w:lineRule="exact"/>
              <w:textAlignment w:val="center"/>
              <w:rPr>
                <w:color w:val="auto"/>
                <w:sz w:val="21"/>
                <w:szCs w:val="21"/>
                <w:highlight w:val="none"/>
              </w:rPr>
            </w:pPr>
            <w:r>
              <w:rPr>
                <w:color w:val="auto"/>
                <w:kern w:val="0"/>
                <w:sz w:val="21"/>
                <w:szCs w:val="21"/>
                <w:highlight w:val="none"/>
                <w:lang w:bidi="ar"/>
              </w:rPr>
              <w:t>（二）双线桥</w:t>
            </w:r>
          </w:p>
        </w:tc>
        <w:tc>
          <w:tcPr>
            <w:tcW w:w="1677" w:type="dxa"/>
            <w:tcBorders>
              <w:top w:val="nil"/>
              <w:left w:val="nil"/>
              <w:bottom w:val="single" w:color="auto" w:sz="8" w:space="0"/>
              <w:right w:val="single" w:color="auto" w:sz="8" w:space="0"/>
            </w:tcBorders>
            <w:shd w:val="clear" w:color="000000" w:fill="FFFFFF"/>
            <w:vAlign w:val="center"/>
          </w:tcPr>
          <w:p w14:paraId="15A57004">
            <w:pPr>
              <w:widowControl/>
              <w:spacing w:line="440" w:lineRule="exact"/>
              <w:jc w:val="center"/>
              <w:textAlignment w:val="center"/>
              <w:rPr>
                <w:color w:val="auto"/>
                <w:sz w:val="21"/>
                <w:szCs w:val="21"/>
                <w:highlight w:val="none"/>
              </w:rPr>
            </w:pPr>
            <w:r>
              <w:rPr>
                <w:color w:val="auto"/>
                <w:kern w:val="0"/>
                <w:sz w:val="21"/>
                <w:szCs w:val="21"/>
                <w:highlight w:val="none"/>
                <w:lang w:bidi="ar"/>
              </w:rPr>
              <w:t>双延米/m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30F74AE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BDD88B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9DE7B2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713B29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311F08E">
            <w:pPr>
              <w:widowControl/>
              <w:spacing w:line="440" w:lineRule="exact"/>
              <w:textAlignment w:val="center"/>
              <w:rPr>
                <w:color w:val="auto"/>
                <w:sz w:val="21"/>
                <w:szCs w:val="21"/>
                <w:highlight w:val="none"/>
              </w:rPr>
            </w:pPr>
            <w:r>
              <w:rPr>
                <w:color w:val="auto"/>
                <w:kern w:val="0"/>
                <w:sz w:val="21"/>
                <w:szCs w:val="21"/>
                <w:highlight w:val="none"/>
                <w:lang w:bidi="ar"/>
              </w:rPr>
              <w:t>（三）三（多）线桥</w:t>
            </w:r>
          </w:p>
        </w:tc>
        <w:tc>
          <w:tcPr>
            <w:tcW w:w="1677" w:type="dxa"/>
            <w:tcBorders>
              <w:top w:val="nil"/>
              <w:left w:val="nil"/>
              <w:bottom w:val="single" w:color="auto" w:sz="8" w:space="0"/>
              <w:right w:val="single" w:color="auto" w:sz="8" w:space="0"/>
            </w:tcBorders>
            <w:shd w:val="clear" w:color="000000" w:fill="FFFFFF"/>
            <w:vAlign w:val="center"/>
          </w:tcPr>
          <w:p w14:paraId="30EA4C08">
            <w:pPr>
              <w:widowControl/>
              <w:spacing w:line="440" w:lineRule="exact"/>
              <w:jc w:val="center"/>
              <w:textAlignment w:val="center"/>
              <w:rPr>
                <w:color w:val="auto"/>
                <w:sz w:val="21"/>
                <w:szCs w:val="21"/>
                <w:highlight w:val="none"/>
              </w:rPr>
            </w:pPr>
            <w:r>
              <w:rPr>
                <w:color w:val="auto"/>
                <w:kern w:val="0"/>
                <w:sz w:val="21"/>
                <w:szCs w:val="21"/>
                <w:highlight w:val="none"/>
                <w:lang w:bidi="ar"/>
              </w:rPr>
              <w:t>多线延长米/m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696D83C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639A96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A4F044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74491F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A054781">
            <w:pPr>
              <w:widowControl/>
              <w:spacing w:line="440" w:lineRule="exact"/>
              <w:textAlignment w:val="center"/>
              <w:rPr>
                <w:color w:val="auto"/>
                <w:sz w:val="21"/>
                <w:szCs w:val="21"/>
                <w:highlight w:val="none"/>
              </w:rPr>
            </w:pPr>
            <w:r>
              <w:rPr>
                <w:color w:val="auto"/>
                <w:kern w:val="0"/>
                <w:sz w:val="21"/>
                <w:szCs w:val="21"/>
                <w:highlight w:val="none"/>
                <w:lang w:bidi="ar"/>
              </w:rPr>
              <w:t>三、特殊节点桥</w:t>
            </w:r>
          </w:p>
        </w:tc>
        <w:tc>
          <w:tcPr>
            <w:tcW w:w="1677" w:type="dxa"/>
            <w:tcBorders>
              <w:top w:val="nil"/>
              <w:left w:val="nil"/>
              <w:bottom w:val="single" w:color="auto" w:sz="8" w:space="0"/>
              <w:right w:val="single" w:color="auto" w:sz="8" w:space="0"/>
            </w:tcBorders>
            <w:shd w:val="clear" w:color="000000" w:fill="FFFFFF"/>
            <w:vAlign w:val="center"/>
          </w:tcPr>
          <w:p w14:paraId="016D2785">
            <w:pPr>
              <w:widowControl/>
              <w:spacing w:line="440" w:lineRule="exact"/>
              <w:jc w:val="center"/>
              <w:textAlignment w:val="center"/>
              <w:rPr>
                <w:color w:val="auto"/>
                <w:sz w:val="21"/>
                <w:szCs w:val="21"/>
                <w:highlight w:val="none"/>
              </w:rPr>
            </w:pPr>
            <w:r>
              <w:rPr>
                <w:color w:val="auto"/>
                <w:kern w:val="0"/>
                <w:sz w:val="21"/>
                <w:szCs w:val="21"/>
                <w:highlight w:val="none"/>
                <w:lang w:bidi="ar"/>
              </w:rPr>
              <w:t>延长米/m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19918AA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002F00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140AFA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353F2B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E71FB6D">
            <w:pPr>
              <w:widowControl/>
              <w:spacing w:line="440" w:lineRule="exact"/>
              <w:textAlignment w:val="center"/>
              <w:rPr>
                <w:color w:val="auto"/>
                <w:sz w:val="21"/>
                <w:szCs w:val="21"/>
                <w:highlight w:val="none"/>
              </w:rPr>
            </w:pPr>
            <w:r>
              <w:rPr>
                <w:color w:val="auto"/>
                <w:kern w:val="0"/>
                <w:sz w:val="21"/>
                <w:szCs w:val="21"/>
                <w:highlight w:val="none"/>
                <w:lang w:bidi="ar"/>
              </w:rPr>
              <w:t>四、噪声防护</w:t>
            </w:r>
          </w:p>
        </w:tc>
        <w:tc>
          <w:tcPr>
            <w:tcW w:w="1677" w:type="dxa"/>
            <w:tcBorders>
              <w:top w:val="nil"/>
              <w:left w:val="nil"/>
              <w:bottom w:val="single" w:color="auto" w:sz="8" w:space="0"/>
              <w:right w:val="single" w:color="auto" w:sz="8" w:space="0"/>
            </w:tcBorders>
            <w:shd w:val="clear" w:color="000000" w:fill="FFFFFF"/>
            <w:vAlign w:val="center"/>
          </w:tcPr>
          <w:p w14:paraId="78D20296">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0963A3ED">
            <w:pPr>
              <w:widowControl/>
              <w:spacing w:line="440" w:lineRule="exact"/>
              <w:textAlignment w:val="center"/>
              <w:rPr>
                <w:color w:val="auto"/>
                <w:sz w:val="21"/>
                <w:szCs w:val="21"/>
                <w:highlight w:val="none"/>
              </w:rPr>
            </w:pPr>
            <w:r>
              <w:rPr>
                <w:color w:val="auto"/>
                <w:kern w:val="0"/>
                <w:sz w:val="21"/>
                <w:szCs w:val="21"/>
                <w:highlight w:val="none"/>
                <w:lang w:bidi="ar"/>
              </w:rPr>
              <w:t>包括声屏障。</w:t>
            </w:r>
          </w:p>
        </w:tc>
      </w:tr>
      <w:tr w14:paraId="575F6CD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E0D607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8CA1CD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7861251">
            <w:pPr>
              <w:widowControl/>
              <w:spacing w:line="440" w:lineRule="exact"/>
              <w:textAlignment w:val="center"/>
              <w:rPr>
                <w:color w:val="auto"/>
                <w:sz w:val="21"/>
                <w:szCs w:val="21"/>
                <w:highlight w:val="none"/>
              </w:rPr>
            </w:pPr>
            <w:r>
              <w:rPr>
                <w:color w:val="auto"/>
                <w:kern w:val="0"/>
                <w:sz w:val="21"/>
                <w:szCs w:val="21"/>
                <w:highlight w:val="none"/>
                <w:lang w:bidi="ar"/>
              </w:rPr>
              <w:t>五、桥下绿化</w:t>
            </w:r>
          </w:p>
        </w:tc>
        <w:tc>
          <w:tcPr>
            <w:tcW w:w="1677" w:type="dxa"/>
            <w:tcBorders>
              <w:top w:val="nil"/>
              <w:left w:val="nil"/>
              <w:bottom w:val="single" w:color="auto" w:sz="8" w:space="0"/>
              <w:right w:val="single" w:color="auto" w:sz="8" w:space="0"/>
            </w:tcBorders>
            <w:shd w:val="clear" w:color="000000" w:fill="FFFFFF"/>
            <w:vAlign w:val="center"/>
          </w:tcPr>
          <w:p w14:paraId="2F15F587">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E128E4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CA51D7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8BF0FA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DE5C4F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60B5EE3">
            <w:pPr>
              <w:widowControl/>
              <w:spacing w:line="440" w:lineRule="exact"/>
              <w:textAlignment w:val="center"/>
              <w:rPr>
                <w:color w:val="auto"/>
                <w:sz w:val="21"/>
                <w:szCs w:val="21"/>
                <w:highlight w:val="none"/>
              </w:rPr>
            </w:pPr>
            <w:r>
              <w:rPr>
                <w:color w:val="auto"/>
                <w:kern w:val="0"/>
                <w:sz w:val="21"/>
                <w:szCs w:val="21"/>
                <w:highlight w:val="none"/>
                <w:lang w:bidi="ar"/>
              </w:rPr>
              <w:t>六、检修便道</w:t>
            </w:r>
          </w:p>
        </w:tc>
        <w:tc>
          <w:tcPr>
            <w:tcW w:w="1677" w:type="dxa"/>
            <w:tcBorders>
              <w:top w:val="nil"/>
              <w:left w:val="nil"/>
              <w:bottom w:val="single" w:color="auto" w:sz="8" w:space="0"/>
              <w:right w:val="single" w:color="auto" w:sz="8" w:space="0"/>
            </w:tcBorders>
            <w:shd w:val="clear" w:color="000000" w:fill="FFFFFF"/>
            <w:vAlign w:val="center"/>
          </w:tcPr>
          <w:p w14:paraId="0AFF4255">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31533EB8">
            <w:pPr>
              <w:widowControl/>
              <w:spacing w:line="440" w:lineRule="exact"/>
              <w:textAlignment w:val="center"/>
              <w:rPr>
                <w:color w:val="auto"/>
                <w:sz w:val="21"/>
                <w:szCs w:val="21"/>
                <w:highlight w:val="none"/>
              </w:rPr>
            </w:pPr>
            <w:r>
              <w:rPr>
                <w:color w:val="auto"/>
                <w:kern w:val="0"/>
                <w:sz w:val="21"/>
                <w:szCs w:val="21"/>
                <w:highlight w:val="none"/>
                <w:lang w:bidi="ar"/>
              </w:rPr>
              <w:t>备注宽度。</w:t>
            </w:r>
          </w:p>
        </w:tc>
      </w:tr>
      <w:tr w14:paraId="0BC970F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CC04CB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E584CE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D77B62F">
            <w:pPr>
              <w:widowControl/>
              <w:spacing w:line="440" w:lineRule="exact"/>
              <w:textAlignment w:val="center"/>
              <w:rPr>
                <w:color w:val="auto"/>
                <w:sz w:val="21"/>
                <w:szCs w:val="21"/>
                <w:highlight w:val="none"/>
              </w:rPr>
            </w:pPr>
            <w:r>
              <w:rPr>
                <w:color w:val="auto"/>
                <w:kern w:val="0"/>
                <w:sz w:val="21"/>
                <w:szCs w:val="21"/>
                <w:highlight w:val="none"/>
                <w:lang w:bidi="ar"/>
              </w:rPr>
              <w:t>七、线路防护栅栏</w:t>
            </w:r>
          </w:p>
        </w:tc>
        <w:tc>
          <w:tcPr>
            <w:tcW w:w="1677" w:type="dxa"/>
            <w:tcBorders>
              <w:top w:val="nil"/>
              <w:left w:val="nil"/>
              <w:bottom w:val="single" w:color="auto" w:sz="8" w:space="0"/>
              <w:right w:val="single" w:color="auto" w:sz="8" w:space="0"/>
            </w:tcBorders>
            <w:shd w:val="clear" w:color="000000" w:fill="FFFFFF"/>
            <w:vAlign w:val="center"/>
          </w:tcPr>
          <w:p w14:paraId="2883A79C">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7C2D3E4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5429D6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A27BF0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790B90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9A4E991">
            <w:pPr>
              <w:widowControl/>
              <w:spacing w:line="440" w:lineRule="exact"/>
              <w:textAlignment w:val="center"/>
              <w:rPr>
                <w:color w:val="auto"/>
                <w:sz w:val="21"/>
                <w:szCs w:val="21"/>
                <w:highlight w:val="none"/>
              </w:rPr>
            </w:pPr>
            <w:r>
              <w:rPr>
                <w:color w:val="auto"/>
                <w:kern w:val="0"/>
                <w:sz w:val="21"/>
                <w:szCs w:val="21"/>
                <w:highlight w:val="none"/>
                <w:lang w:bidi="ar"/>
              </w:rPr>
              <w:t>八、疏散平台</w:t>
            </w:r>
          </w:p>
        </w:tc>
        <w:tc>
          <w:tcPr>
            <w:tcW w:w="1677" w:type="dxa"/>
            <w:tcBorders>
              <w:top w:val="nil"/>
              <w:left w:val="nil"/>
              <w:bottom w:val="single" w:color="auto" w:sz="8" w:space="0"/>
              <w:right w:val="single" w:color="auto" w:sz="8" w:space="0"/>
            </w:tcBorders>
            <w:shd w:val="clear" w:color="000000" w:fill="FFFFFF"/>
            <w:vAlign w:val="center"/>
          </w:tcPr>
          <w:p w14:paraId="5AD76E55">
            <w:pPr>
              <w:widowControl/>
              <w:spacing w:line="440" w:lineRule="exact"/>
              <w:jc w:val="center"/>
              <w:textAlignment w:val="center"/>
              <w:rPr>
                <w:color w:val="auto"/>
                <w:sz w:val="21"/>
                <w:szCs w:val="21"/>
                <w:highlight w:val="none"/>
              </w:rPr>
            </w:pPr>
            <w:r>
              <w:rPr>
                <w:color w:val="auto"/>
                <w:kern w:val="0"/>
                <w:sz w:val="21"/>
                <w:szCs w:val="21"/>
                <w:highlight w:val="none"/>
                <w:lang w:bidi="ar"/>
              </w:rPr>
              <w:t>延长米</w:t>
            </w:r>
          </w:p>
        </w:tc>
        <w:tc>
          <w:tcPr>
            <w:tcW w:w="6704" w:type="dxa"/>
            <w:tcBorders>
              <w:top w:val="nil"/>
              <w:left w:val="nil"/>
              <w:bottom w:val="single" w:color="auto" w:sz="8" w:space="0"/>
              <w:right w:val="single" w:color="auto" w:sz="8" w:space="0"/>
            </w:tcBorders>
            <w:shd w:val="clear" w:color="000000" w:fill="FFFFFF"/>
            <w:vAlign w:val="center"/>
          </w:tcPr>
          <w:p w14:paraId="41A869B8">
            <w:pPr>
              <w:widowControl/>
              <w:spacing w:line="440" w:lineRule="exact"/>
              <w:textAlignment w:val="center"/>
              <w:rPr>
                <w:color w:val="auto"/>
                <w:sz w:val="21"/>
                <w:szCs w:val="21"/>
                <w:highlight w:val="none"/>
              </w:rPr>
            </w:pPr>
            <w:r>
              <w:rPr>
                <w:color w:val="auto"/>
                <w:kern w:val="0"/>
                <w:sz w:val="21"/>
                <w:szCs w:val="21"/>
                <w:highlight w:val="none"/>
                <w:lang w:bidi="ar"/>
              </w:rPr>
              <w:t>若桥梁电缆槽盖板兼做疏散平台时，不计列此项。</w:t>
            </w:r>
          </w:p>
        </w:tc>
      </w:tr>
      <w:tr w14:paraId="66130DE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A4AC63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1051B6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85D83B0">
            <w:pPr>
              <w:widowControl/>
              <w:spacing w:line="440" w:lineRule="exact"/>
              <w:textAlignment w:val="center"/>
              <w:rPr>
                <w:color w:val="auto"/>
                <w:sz w:val="21"/>
                <w:szCs w:val="21"/>
                <w:highlight w:val="none"/>
              </w:rPr>
            </w:pPr>
            <w:r>
              <w:rPr>
                <w:color w:val="auto"/>
                <w:kern w:val="0"/>
                <w:sz w:val="21"/>
                <w:szCs w:val="21"/>
                <w:highlight w:val="none"/>
                <w:lang w:bidi="ar"/>
              </w:rPr>
              <w:t>九、风险源处理</w:t>
            </w:r>
          </w:p>
        </w:tc>
        <w:tc>
          <w:tcPr>
            <w:tcW w:w="1677" w:type="dxa"/>
            <w:tcBorders>
              <w:top w:val="nil"/>
              <w:left w:val="nil"/>
              <w:bottom w:val="single" w:color="auto" w:sz="8" w:space="0"/>
              <w:right w:val="single" w:color="auto" w:sz="8" w:space="0"/>
            </w:tcBorders>
            <w:shd w:val="clear" w:color="000000" w:fill="FFFFFF"/>
            <w:vAlign w:val="center"/>
          </w:tcPr>
          <w:p w14:paraId="6495817D">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4DA9D0E0">
            <w:pPr>
              <w:widowControl/>
              <w:spacing w:line="440" w:lineRule="exact"/>
              <w:textAlignment w:val="center"/>
              <w:rPr>
                <w:color w:val="auto"/>
                <w:sz w:val="21"/>
                <w:szCs w:val="21"/>
                <w:highlight w:val="none"/>
              </w:rPr>
            </w:pPr>
            <w:r>
              <w:rPr>
                <w:color w:val="auto"/>
                <w:kern w:val="0"/>
                <w:sz w:val="21"/>
                <w:szCs w:val="21"/>
                <w:highlight w:val="none"/>
                <w:lang w:bidi="ar"/>
              </w:rPr>
              <w:t>风险源费用单独计列，包括建（构）筑物加固保护、岩溶处理、采空区加固、管线加固及悬吊等。</w:t>
            </w:r>
          </w:p>
        </w:tc>
      </w:tr>
      <w:tr w14:paraId="1BF3721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4F4C43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E5F757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79B1334">
            <w:pPr>
              <w:widowControl/>
              <w:spacing w:line="440" w:lineRule="exact"/>
              <w:textAlignment w:val="center"/>
              <w:rPr>
                <w:color w:val="auto"/>
                <w:sz w:val="21"/>
                <w:szCs w:val="21"/>
                <w:highlight w:val="none"/>
              </w:rPr>
            </w:pPr>
            <w:r>
              <w:rPr>
                <w:color w:val="auto"/>
                <w:kern w:val="0"/>
                <w:sz w:val="21"/>
                <w:szCs w:val="21"/>
                <w:highlight w:val="none"/>
                <w:lang w:bidi="ar"/>
              </w:rPr>
              <w:t>十、制（存）梁场</w:t>
            </w:r>
          </w:p>
        </w:tc>
        <w:tc>
          <w:tcPr>
            <w:tcW w:w="1677" w:type="dxa"/>
            <w:tcBorders>
              <w:top w:val="nil"/>
              <w:left w:val="nil"/>
              <w:bottom w:val="single" w:color="auto" w:sz="8" w:space="0"/>
              <w:right w:val="single" w:color="auto" w:sz="8" w:space="0"/>
            </w:tcBorders>
            <w:shd w:val="clear" w:color="000000" w:fill="FFFFFF"/>
            <w:vAlign w:val="center"/>
          </w:tcPr>
          <w:p w14:paraId="4E9D1B7D">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6EE1BC70">
            <w:pPr>
              <w:widowControl/>
              <w:spacing w:line="440" w:lineRule="exact"/>
              <w:textAlignment w:val="center"/>
              <w:rPr>
                <w:color w:val="auto"/>
                <w:sz w:val="21"/>
                <w:szCs w:val="21"/>
                <w:highlight w:val="none"/>
              </w:rPr>
            </w:pPr>
            <w:r>
              <w:rPr>
                <w:color w:val="auto"/>
                <w:kern w:val="0"/>
                <w:sz w:val="21"/>
                <w:szCs w:val="21"/>
                <w:highlight w:val="none"/>
                <w:lang w:bidi="ar"/>
              </w:rPr>
              <w:t>对应各处梁场布置方案分列。</w:t>
            </w:r>
          </w:p>
        </w:tc>
      </w:tr>
      <w:tr w14:paraId="75DD950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CA3FBF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04D5944">
            <w:pPr>
              <w:widowControl/>
              <w:spacing w:line="440" w:lineRule="exact"/>
              <w:jc w:val="center"/>
              <w:textAlignment w:val="center"/>
              <w:rPr>
                <w:color w:val="auto"/>
                <w:sz w:val="21"/>
                <w:szCs w:val="21"/>
                <w:highlight w:val="none"/>
              </w:rPr>
            </w:pPr>
            <w:r>
              <w:rPr>
                <w:color w:val="auto"/>
                <w:kern w:val="0"/>
                <w:sz w:val="21"/>
                <w:szCs w:val="21"/>
                <w:highlight w:val="none"/>
                <w:lang w:bidi="ar"/>
              </w:rPr>
              <w:t>6</w:t>
            </w:r>
          </w:p>
        </w:tc>
        <w:tc>
          <w:tcPr>
            <w:tcW w:w="3816" w:type="dxa"/>
            <w:tcBorders>
              <w:top w:val="nil"/>
              <w:left w:val="nil"/>
              <w:bottom w:val="single" w:color="auto" w:sz="8" w:space="0"/>
              <w:right w:val="single" w:color="auto" w:sz="8" w:space="0"/>
            </w:tcBorders>
            <w:shd w:val="clear" w:color="000000" w:fill="FFFFFF"/>
            <w:vAlign w:val="center"/>
          </w:tcPr>
          <w:p w14:paraId="4614CFC1">
            <w:pPr>
              <w:widowControl/>
              <w:spacing w:line="440" w:lineRule="exact"/>
              <w:textAlignment w:val="center"/>
              <w:rPr>
                <w:color w:val="auto"/>
                <w:sz w:val="21"/>
                <w:szCs w:val="21"/>
                <w:highlight w:val="none"/>
              </w:rPr>
            </w:pPr>
            <w:r>
              <w:rPr>
                <w:color w:val="auto"/>
                <w:kern w:val="0"/>
                <w:sz w:val="21"/>
                <w:szCs w:val="21"/>
                <w:highlight w:val="none"/>
                <w:lang w:bidi="ar"/>
              </w:rPr>
              <w:t>地面区间</w:t>
            </w:r>
          </w:p>
        </w:tc>
        <w:tc>
          <w:tcPr>
            <w:tcW w:w="1677" w:type="dxa"/>
            <w:tcBorders>
              <w:top w:val="nil"/>
              <w:left w:val="nil"/>
              <w:bottom w:val="single" w:color="auto" w:sz="8" w:space="0"/>
              <w:right w:val="single" w:color="auto" w:sz="8" w:space="0"/>
            </w:tcBorders>
            <w:shd w:val="clear" w:color="000000" w:fill="FFFFFF"/>
            <w:vAlign w:val="center"/>
          </w:tcPr>
          <w:p w14:paraId="17E073A0">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3CA7DF1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DFE5CE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7F5AEC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CE0500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D20FA29">
            <w:pPr>
              <w:widowControl/>
              <w:spacing w:line="440" w:lineRule="exact"/>
              <w:textAlignment w:val="center"/>
              <w:rPr>
                <w:color w:val="auto"/>
                <w:sz w:val="21"/>
                <w:szCs w:val="21"/>
                <w:highlight w:val="none"/>
              </w:rPr>
            </w:pPr>
            <w:r>
              <w:rPr>
                <w:color w:val="auto"/>
                <w:kern w:val="0"/>
                <w:sz w:val="21"/>
                <w:szCs w:val="21"/>
                <w:highlight w:val="none"/>
                <w:lang w:bidi="ar"/>
              </w:rPr>
              <w:t>一、路基</w:t>
            </w:r>
          </w:p>
        </w:tc>
        <w:tc>
          <w:tcPr>
            <w:tcW w:w="1677" w:type="dxa"/>
            <w:tcBorders>
              <w:top w:val="nil"/>
              <w:left w:val="nil"/>
              <w:bottom w:val="single" w:color="auto" w:sz="8" w:space="0"/>
              <w:right w:val="single" w:color="auto" w:sz="8" w:space="0"/>
            </w:tcBorders>
            <w:shd w:val="clear" w:color="000000" w:fill="FFFFFF"/>
            <w:vAlign w:val="center"/>
          </w:tcPr>
          <w:p w14:paraId="3755C3ED">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729E36D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1A8025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38DB79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D55AC4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65268CD">
            <w:pPr>
              <w:widowControl/>
              <w:spacing w:line="440" w:lineRule="exact"/>
              <w:textAlignment w:val="center"/>
              <w:rPr>
                <w:color w:val="auto"/>
                <w:sz w:val="21"/>
                <w:szCs w:val="21"/>
                <w:highlight w:val="none"/>
              </w:rPr>
            </w:pPr>
            <w:r>
              <w:rPr>
                <w:color w:val="auto"/>
                <w:kern w:val="0"/>
                <w:sz w:val="21"/>
                <w:szCs w:val="21"/>
                <w:highlight w:val="none"/>
                <w:lang w:bidi="ar"/>
              </w:rPr>
              <w:t>二、涵洞（××座）</w:t>
            </w:r>
          </w:p>
        </w:tc>
        <w:tc>
          <w:tcPr>
            <w:tcW w:w="1677" w:type="dxa"/>
            <w:tcBorders>
              <w:top w:val="nil"/>
              <w:left w:val="nil"/>
              <w:bottom w:val="single" w:color="auto" w:sz="8" w:space="0"/>
              <w:right w:val="single" w:color="auto" w:sz="8" w:space="0"/>
            </w:tcBorders>
            <w:shd w:val="clear" w:color="000000" w:fill="FFFFFF"/>
            <w:vAlign w:val="center"/>
          </w:tcPr>
          <w:p w14:paraId="01106A52">
            <w:pPr>
              <w:widowControl/>
              <w:spacing w:line="440" w:lineRule="exact"/>
              <w:jc w:val="center"/>
              <w:textAlignment w:val="center"/>
              <w:rPr>
                <w:color w:val="auto"/>
                <w:sz w:val="21"/>
                <w:szCs w:val="21"/>
                <w:highlight w:val="none"/>
              </w:rPr>
            </w:pPr>
            <w:r>
              <w:rPr>
                <w:color w:val="auto"/>
                <w:kern w:val="0"/>
                <w:sz w:val="21"/>
                <w:szCs w:val="21"/>
                <w:highlight w:val="none"/>
                <w:lang w:bidi="ar"/>
              </w:rPr>
              <w:t>横延米</w:t>
            </w:r>
          </w:p>
        </w:tc>
        <w:tc>
          <w:tcPr>
            <w:tcW w:w="6704" w:type="dxa"/>
            <w:tcBorders>
              <w:top w:val="nil"/>
              <w:left w:val="nil"/>
              <w:bottom w:val="single" w:color="auto" w:sz="8" w:space="0"/>
              <w:right w:val="single" w:color="auto" w:sz="8" w:space="0"/>
            </w:tcBorders>
            <w:shd w:val="clear" w:color="000000" w:fill="FFFFFF"/>
            <w:vAlign w:val="center"/>
          </w:tcPr>
          <w:p w14:paraId="13BA6E06">
            <w:pPr>
              <w:widowControl/>
              <w:spacing w:line="440" w:lineRule="exact"/>
              <w:textAlignment w:val="center"/>
              <w:rPr>
                <w:color w:val="auto"/>
                <w:sz w:val="21"/>
                <w:szCs w:val="21"/>
                <w:highlight w:val="none"/>
              </w:rPr>
            </w:pPr>
            <w:r>
              <w:rPr>
                <w:color w:val="auto"/>
                <w:kern w:val="0"/>
                <w:sz w:val="21"/>
                <w:szCs w:val="21"/>
                <w:highlight w:val="none"/>
                <w:lang w:bidi="ar"/>
              </w:rPr>
              <w:t>包括基础、涵身、出入口端、翼墙、沟床开挖、铺砌、道路铺设等，按单、双、多孔分列。</w:t>
            </w:r>
          </w:p>
        </w:tc>
      </w:tr>
      <w:tr w14:paraId="54E4603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4A6CCE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129BDC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CC34528">
            <w:pPr>
              <w:widowControl/>
              <w:spacing w:line="440" w:lineRule="exact"/>
              <w:textAlignment w:val="center"/>
              <w:rPr>
                <w:color w:val="auto"/>
                <w:sz w:val="21"/>
                <w:szCs w:val="21"/>
                <w:highlight w:val="none"/>
              </w:rPr>
            </w:pPr>
            <w:r>
              <w:rPr>
                <w:color w:val="auto"/>
                <w:kern w:val="0"/>
                <w:sz w:val="21"/>
                <w:szCs w:val="21"/>
                <w:highlight w:val="none"/>
                <w:lang w:bidi="ar"/>
              </w:rPr>
              <w:t>三、噪声防护</w:t>
            </w:r>
          </w:p>
        </w:tc>
        <w:tc>
          <w:tcPr>
            <w:tcW w:w="1677" w:type="dxa"/>
            <w:tcBorders>
              <w:top w:val="nil"/>
              <w:left w:val="nil"/>
              <w:bottom w:val="single" w:color="auto" w:sz="8" w:space="0"/>
              <w:right w:val="single" w:color="auto" w:sz="8" w:space="0"/>
            </w:tcBorders>
            <w:shd w:val="clear" w:color="000000" w:fill="FFFFFF"/>
            <w:vAlign w:val="center"/>
          </w:tcPr>
          <w:p w14:paraId="7285B1B1">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56365D31">
            <w:pPr>
              <w:widowControl/>
              <w:spacing w:line="440" w:lineRule="exact"/>
              <w:textAlignment w:val="center"/>
              <w:rPr>
                <w:color w:val="auto"/>
                <w:sz w:val="21"/>
                <w:szCs w:val="21"/>
                <w:highlight w:val="none"/>
              </w:rPr>
            </w:pPr>
            <w:r>
              <w:rPr>
                <w:color w:val="auto"/>
                <w:kern w:val="0"/>
                <w:sz w:val="21"/>
                <w:szCs w:val="21"/>
                <w:highlight w:val="none"/>
                <w:lang w:bidi="ar"/>
              </w:rPr>
              <w:t>包括声屏障。</w:t>
            </w:r>
          </w:p>
        </w:tc>
      </w:tr>
      <w:tr w14:paraId="7B5A81D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90CB50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0D3CD5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0355DCD">
            <w:pPr>
              <w:widowControl/>
              <w:spacing w:line="440" w:lineRule="exact"/>
              <w:textAlignment w:val="center"/>
              <w:rPr>
                <w:color w:val="auto"/>
                <w:sz w:val="21"/>
                <w:szCs w:val="21"/>
                <w:highlight w:val="none"/>
              </w:rPr>
            </w:pPr>
            <w:r>
              <w:rPr>
                <w:color w:val="auto"/>
                <w:kern w:val="0"/>
                <w:sz w:val="21"/>
                <w:szCs w:val="21"/>
                <w:highlight w:val="none"/>
                <w:lang w:bidi="ar"/>
              </w:rPr>
              <w:t>四、线路防护栅栏</w:t>
            </w:r>
          </w:p>
        </w:tc>
        <w:tc>
          <w:tcPr>
            <w:tcW w:w="1677" w:type="dxa"/>
            <w:tcBorders>
              <w:top w:val="nil"/>
              <w:left w:val="nil"/>
              <w:bottom w:val="single" w:color="auto" w:sz="8" w:space="0"/>
              <w:right w:val="single" w:color="auto" w:sz="8" w:space="0"/>
            </w:tcBorders>
            <w:shd w:val="clear" w:color="000000" w:fill="FFFFFF"/>
            <w:vAlign w:val="center"/>
          </w:tcPr>
          <w:p w14:paraId="6B26CB5D">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6B58051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74C1EE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DDD269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6B5F45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CE9415E">
            <w:pPr>
              <w:widowControl/>
              <w:spacing w:line="440" w:lineRule="exact"/>
              <w:textAlignment w:val="center"/>
              <w:rPr>
                <w:color w:val="auto"/>
                <w:sz w:val="21"/>
                <w:szCs w:val="21"/>
                <w:highlight w:val="none"/>
              </w:rPr>
            </w:pPr>
            <w:r>
              <w:rPr>
                <w:color w:val="auto"/>
                <w:kern w:val="0"/>
                <w:sz w:val="21"/>
                <w:szCs w:val="21"/>
                <w:highlight w:val="none"/>
                <w:lang w:bidi="ar"/>
              </w:rPr>
              <w:t>五、风险源处理</w:t>
            </w:r>
          </w:p>
        </w:tc>
        <w:tc>
          <w:tcPr>
            <w:tcW w:w="1677" w:type="dxa"/>
            <w:tcBorders>
              <w:top w:val="nil"/>
              <w:left w:val="nil"/>
              <w:bottom w:val="single" w:color="auto" w:sz="8" w:space="0"/>
              <w:right w:val="single" w:color="auto" w:sz="8" w:space="0"/>
            </w:tcBorders>
            <w:shd w:val="clear" w:color="000000" w:fill="FFFFFF"/>
            <w:vAlign w:val="center"/>
          </w:tcPr>
          <w:p w14:paraId="5B9C0AAD">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1790374C">
            <w:pPr>
              <w:widowControl/>
              <w:spacing w:line="440" w:lineRule="exact"/>
              <w:textAlignment w:val="center"/>
              <w:rPr>
                <w:color w:val="auto"/>
                <w:sz w:val="21"/>
                <w:szCs w:val="21"/>
                <w:highlight w:val="none"/>
              </w:rPr>
            </w:pPr>
            <w:r>
              <w:rPr>
                <w:color w:val="auto"/>
                <w:sz w:val="21"/>
                <w:szCs w:val="21"/>
                <w:highlight w:val="none"/>
              </w:rPr>
              <w:t>风险源费用单独计列，包括建（构）筑物加固保护、岩溶处理、采空区加固、管线加固及悬吊等。</w:t>
            </w:r>
          </w:p>
        </w:tc>
      </w:tr>
      <w:tr w14:paraId="5D223B3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D87872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5585DA0">
            <w:pPr>
              <w:widowControl/>
              <w:spacing w:line="440" w:lineRule="exact"/>
              <w:jc w:val="center"/>
              <w:textAlignment w:val="center"/>
              <w:rPr>
                <w:color w:val="auto"/>
                <w:sz w:val="21"/>
                <w:szCs w:val="21"/>
                <w:highlight w:val="none"/>
              </w:rPr>
            </w:pPr>
            <w:r>
              <w:rPr>
                <w:color w:val="auto"/>
                <w:kern w:val="0"/>
                <w:sz w:val="21"/>
                <w:szCs w:val="21"/>
                <w:highlight w:val="none"/>
                <w:lang w:bidi="ar"/>
              </w:rPr>
              <w:t>7</w:t>
            </w:r>
          </w:p>
        </w:tc>
        <w:tc>
          <w:tcPr>
            <w:tcW w:w="3816" w:type="dxa"/>
            <w:tcBorders>
              <w:top w:val="nil"/>
              <w:left w:val="nil"/>
              <w:bottom w:val="single" w:color="auto" w:sz="8" w:space="0"/>
              <w:right w:val="single" w:color="auto" w:sz="8" w:space="0"/>
            </w:tcBorders>
            <w:shd w:val="clear" w:color="000000" w:fill="FFFFFF"/>
            <w:vAlign w:val="center"/>
          </w:tcPr>
          <w:p w14:paraId="1BFC8C7E">
            <w:pPr>
              <w:widowControl/>
              <w:spacing w:line="440" w:lineRule="exact"/>
              <w:textAlignment w:val="center"/>
              <w:rPr>
                <w:color w:val="auto"/>
                <w:sz w:val="21"/>
                <w:szCs w:val="21"/>
                <w:highlight w:val="none"/>
              </w:rPr>
            </w:pPr>
            <w:r>
              <w:rPr>
                <w:color w:val="auto"/>
                <w:kern w:val="0"/>
                <w:sz w:val="21"/>
                <w:szCs w:val="21"/>
                <w:highlight w:val="none"/>
                <w:lang w:bidi="ar"/>
              </w:rPr>
              <w:t>特殊线段区间</w:t>
            </w:r>
          </w:p>
        </w:tc>
        <w:tc>
          <w:tcPr>
            <w:tcW w:w="1677" w:type="dxa"/>
            <w:tcBorders>
              <w:top w:val="nil"/>
              <w:left w:val="nil"/>
              <w:bottom w:val="single" w:color="auto" w:sz="8" w:space="0"/>
              <w:right w:val="single" w:color="auto" w:sz="8" w:space="0"/>
            </w:tcBorders>
            <w:shd w:val="clear" w:color="000000" w:fill="FFFFFF"/>
            <w:vAlign w:val="center"/>
          </w:tcPr>
          <w:p w14:paraId="0BA897EC">
            <w:pPr>
              <w:widowControl/>
              <w:spacing w:line="440" w:lineRule="exact"/>
              <w:jc w:val="center"/>
              <w:textAlignment w:val="center"/>
              <w:rPr>
                <w:color w:val="auto"/>
                <w:sz w:val="21"/>
                <w:szCs w:val="21"/>
                <w:highlight w:val="none"/>
              </w:rPr>
            </w:pPr>
            <w:r>
              <w:rPr>
                <w:color w:val="auto"/>
                <w:kern w:val="0"/>
                <w:sz w:val="21"/>
                <w:szCs w:val="21"/>
                <w:highlight w:val="none"/>
                <w:lang w:bidi="ar"/>
              </w:rPr>
              <w:t>双延米</w:t>
            </w:r>
          </w:p>
        </w:tc>
        <w:tc>
          <w:tcPr>
            <w:tcW w:w="6704" w:type="dxa"/>
            <w:tcBorders>
              <w:top w:val="nil"/>
              <w:left w:val="nil"/>
              <w:bottom w:val="single" w:color="auto" w:sz="8" w:space="0"/>
              <w:right w:val="single" w:color="auto" w:sz="8" w:space="0"/>
            </w:tcBorders>
            <w:shd w:val="clear" w:color="000000" w:fill="FFFFFF"/>
            <w:vAlign w:val="center"/>
          </w:tcPr>
          <w:p w14:paraId="5D3243C7">
            <w:pPr>
              <w:widowControl/>
              <w:spacing w:line="440" w:lineRule="exact"/>
              <w:textAlignment w:val="center"/>
              <w:rPr>
                <w:color w:val="auto"/>
                <w:sz w:val="21"/>
                <w:szCs w:val="21"/>
                <w:highlight w:val="none"/>
              </w:rPr>
            </w:pPr>
            <w:r>
              <w:rPr>
                <w:color w:val="auto"/>
                <w:kern w:val="0"/>
                <w:sz w:val="21"/>
                <w:szCs w:val="21"/>
                <w:highlight w:val="none"/>
                <w:lang w:bidi="ar"/>
              </w:rPr>
              <w:t>包括出入线、联络线等。</w:t>
            </w:r>
          </w:p>
        </w:tc>
      </w:tr>
      <w:tr w14:paraId="2E10DC8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44B58B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236721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8AC8758">
            <w:pPr>
              <w:widowControl/>
              <w:spacing w:line="440" w:lineRule="exact"/>
              <w:textAlignment w:val="center"/>
              <w:rPr>
                <w:color w:val="auto"/>
                <w:sz w:val="21"/>
                <w:szCs w:val="21"/>
                <w:highlight w:val="none"/>
              </w:rPr>
            </w:pPr>
            <w:r>
              <w:rPr>
                <w:color w:val="auto"/>
                <w:kern w:val="0"/>
                <w:sz w:val="21"/>
                <w:szCs w:val="21"/>
                <w:highlight w:val="none"/>
                <w:lang w:bidi="ar"/>
              </w:rPr>
              <w:t>一、出入线</w:t>
            </w:r>
          </w:p>
        </w:tc>
        <w:tc>
          <w:tcPr>
            <w:tcW w:w="1677" w:type="dxa"/>
            <w:tcBorders>
              <w:top w:val="nil"/>
              <w:left w:val="nil"/>
              <w:bottom w:val="single" w:color="auto" w:sz="8" w:space="0"/>
              <w:right w:val="single" w:color="auto" w:sz="8" w:space="0"/>
            </w:tcBorders>
            <w:shd w:val="clear" w:color="000000" w:fill="FFFFFF"/>
            <w:vAlign w:val="center"/>
          </w:tcPr>
          <w:p w14:paraId="4D80367D">
            <w:pPr>
              <w:widowControl/>
              <w:spacing w:line="440" w:lineRule="exact"/>
              <w:jc w:val="center"/>
              <w:textAlignment w:val="center"/>
              <w:rPr>
                <w:color w:val="auto"/>
                <w:sz w:val="21"/>
                <w:szCs w:val="21"/>
                <w:highlight w:val="none"/>
              </w:rPr>
            </w:pPr>
            <w:r>
              <w:rPr>
                <w:color w:val="auto"/>
                <w:kern w:val="0"/>
                <w:sz w:val="21"/>
                <w:szCs w:val="21"/>
                <w:highlight w:val="none"/>
                <w:lang w:bidi="ar"/>
              </w:rPr>
              <w:t>延长米</w:t>
            </w:r>
          </w:p>
        </w:tc>
        <w:tc>
          <w:tcPr>
            <w:tcW w:w="6704" w:type="dxa"/>
            <w:tcBorders>
              <w:top w:val="nil"/>
              <w:left w:val="nil"/>
              <w:bottom w:val="single" w:color="auto" w:sz="8" w:space="0"/>
              <w:right w:val="single" w:color="auto" w:sz="8" w:space="0"/>
            </w:tcBorders>
            <w:shd w:val="clear" w:color="000000" w:fill="FFFFFF"/>
            <w:vAlign w:val="center"/>
          </w:tcPr>
          <w:p w14:paraId="7D7332F2">
            <w:pPr>
              <w:widowControl/>
              <w:spacing w:line="440" w:lineRule="exact"/>
              <w:textAlignment w:val="center"/>
              <w:rPr>
                <w:color w:val="auto"/>
                <w:sz w:val="21"/>
                <w:szCs w:val="21"/>
                <w:highlight w:val="none"/>
              </w:rPr>
            </w:pPr>
            <w:r>
              <w:rPr>
                <w:color w:val="auto"/>
                <w:kern w:val="0"/>
                <w:sz w:val="21"/>
                <w:szCs w:val="21"/>
                <w:highlight w:val="none"/>
                <w:lang w:bidi="ar"/>
              </w:rPr>
              <w:t>按明挖、盾构、暗挖、U型槽过渡段、路基等分列。</w:t>
            </w:r>
          </w:p>
        </w:tc>
      </w:tr>
      <w:tr w14:paraId="7A00853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2AC933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37B579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DBB1497">
            <w:pPr>
              <w:widowControl/>
              <w:spacing w:line="440" w:lineRule="exact"/>
              <w:textAlignment w:val="center"/>
              <w:rPr>
                <w:color w:val="auto"/>
                <w:sz w:val="21"/>
                <w:szCs w:val="21"/>
                <w:highlight w:val="none"/>
              </w:rPr>
            </w:pPr>
            <w:r>
              <w:rPr>
                <w:color w:val="auto"/>
                <w:kern w:val="0"/>
                <w:sz w:val="21"/>
                <w:szCs w:val="21"/>
                <w:highlight w:val="none"/>
                <w:lang w:bidi="ar"/>
              </w:rPr>
              <w:t>二、联络线</w:t>
            </w:r>
          </w:p>
        </w:tc>
        <w:tc>
          <w:tcPr>
            <w:tcW w:w="1677" w:type="dxa"/>
            <w:tcBorders>
              <w:top w:val="nil"/>
              <w:left w:val="nil"/>
              <w:bottom w:val="single" w:color="auto" w:sz="8" w:space="0"/>
              <w:right w:val="single" w:color="auto" w:sz="8" w:space="0"/>
            </w:tcBorders>
            <w:shd w:val="clear" w:color="000000" w:fill="FFFFFF"/>
            <w:vAlign w:val="center"/>
          </w:tcPr>
          <w:p w14:paraId="5F1E8A58">
            <w:pPr>
              <w:widowControl/>
              <w:spacing w:line="440" w:lineRule="exact"/>
              <w:jc w:val="center"/>
              <w:textAlignment w:val="center"/>
              <w:rPr>
                <w:color w:val="auto"/>
                <w:sz w:val="21"/>
                <w:szCs w:val="21"/>
                <w:highlight w:val="none"/>
              </w:rPr>
            </w:pPr>
            <w:r>
              <w:rPr>
                <w:color w:val="auto"/>
                <w:kern w:val="0"/>
                <w:sz w:val="21"/>
                <w:szCs w:val="21"/>
                <w:highlight w:val="none"/>
                <w:lang w:bidi="ar"/>
              </w:rPr>
              <w:t>延长米</w:t>
            </w:r>
          </w:p>
        </w:tc>
        <w:tc>
          <w:tcPr>
            <w:tcW w:w="6704" w:type="dxa"/>
            <w:tcBorders>
              <w:top w:val="nil"/>
              <w:left w:val="nil"/>
              <w:bottom w:val="single" w:color="auto" w:sz="8" w:space="0"/>
              <w:right w:val="single" w:color="auto" w:sz="8" w:space="0"/>
            </w:tcBorders>
            <w:shd w:val="clear" w:color="000000" w:fill="FFFFFF"/>
            <w:vAlign w:val="center"/>
          </w:tcPr>
          <w:p w14:paraId="63B98EE9">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7D212C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926F4A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969B8ED">
            <w:pPr>
              <w:widowControl/>
              <w:spacing w:line="440" w:lineRule="exact"/>
              <w:jc w:val="center"/>
              <w:textAlignment w:val="center"/>
              <w:rPr>
                <w:color w:val="auto"/>
                <w:sz w:val="21"/>
                <w:szCs w:val="21"/>
                <w:highlight w:val="none"/>
              </w:rPr>
            </w:pPr>
            <w:r>
              <w:rPr>
                <w:color w:val="auto"/>
                <w:kern w:val="0"/>
                <w:sz w:val="21"/>
                <w:szCs w:val="21"/>
                <w:highlight w:val="none"/>
                <w:lang w:bidi="ar"/>
              </w:rPr>
              <w:t>8</w:t>
            </w:r>
          </w:p>
        </w:tc>
        <w:tc>
          <w:tcPr>
            <w:tcW w:w="3816" w:type="dxa"/>
            <w:tcBorders>
              <w:top w:val="nil"/>
              <w:left w:val="nil"/>
              <w:bottom w:val="single" w:color="auto" w:sz="8" w:space="0"/>
              <w:right w:val="single" w:color="auto" w:sz="8" w:space="0"/>
            </w:tcBorders>
            <w:shd w:val="clear" w:color="000000" w:fill="FFFFFF"/>
            <w:vAlign w:val="center"/>
          </w:tcPr>
          <w:p w14:paraId="5C2445EE">
            <w:pPr>
              <w:widowControl/>
              <w:spacing w:line="440" w:lineRule="exact"/>
              <w:textAlignment w:val="center"/>
              <w:rPr>
                <w:color w:val="auto"/>
                <w:sz w:val="21"/>
                <w:szCs w:val="21"/>
                <w:highlight w:val="none"/>
              </w:rPr>
            </w:pPr>
            <w:r>
              <w:rPr>
                <w:color w:val="auto"/>
                <w:kern w:val="0"/>
                <w:sz w:val="21"/>
                <w:szCs w:val="21"/>
                <w:highlight w:val="none"/>
                <w:lang w:bidi="ar"/>
              </w:rPr>
              <w:t>其他区间建筑</w:t>
            </w:r>
          </w:p>
        </w:tc>
        <w:tc>
          <w:tcPr>
            <w:tcW w:w="1677" w:type="dxa"/>
            <w:tcBorders>
              <w:top w:val="nil"/>
              <w:left w:val="nil"/>
              <w:bottom w:val="single" w:color="auto" w:sz="8" w:space="0"/>
              <w:right w:val="single" w:color="auto" w:sz="8" w:space="0"/>
            </w:tcBorders>
            <w:shd w:val="clear" w:color="000000" w:fill="FFFFFF"/>
            <w:vAlign w:val="center"/>
          </w:tcPr>
          <w:p w14:paraId="6921D6F0">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3859AC2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EC402C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EDED73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F0C77F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5AFF921">
            <w:pPr>
              <w:widowControl/>
              <w:spacing w:line="440" w:lineRule="exact"/>
              <w:textAlignment w:val="center"/>
              <w:rPr>
                <w:color w:val="auto"/>
                <w:sz w:val="21"/>
                <w:szCs w:val="21"/>
                <w:highlight w:val="none"/>
              </w:rPr>
            </w:pPr>
            <w:r>
              <w:rPr>
                <w:color w:val="auto"/>
                <w:kern w:val="0"/>
                <w:sz w:val="21"/>
                <w:szCs w:val="21"/>
                <w:highlight w:val="none"/>
                <w:lang w:bidi="ar"/>
              </w:rPr>
              <w:t>一、区间变电所</w:t>
            </w:r>
          </w:p>
        </w:tc>
        <w:tc>
          <w:tcPr>
            <w:tcW w:w="1677" w:type="dxa"/>
            <w:tcBorders>
              <w:top w:val="nil"/>
              <w:left w:val="nil"/>
              <w:bottom w:val="single" w:color="auto" w:sz="8" w:space="0"/>
              <w:right w:val="single" w:color="auto" w:sz="8" w:space="0"/>
            </w:tcBorders>
            <w:shd w:val="clear" w:color="000000" w:fill="FFFFFF"/>
            <w:vAlign w:val="center"/>
          </w:tcPr>
          <w:p w14:paraId="051F2F1D">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373E3491">
            <w:pPr>
              <w:widowControl/>
              <w:spacing w:line="440" w:lineRule="exact"/>
              <w:textAlignment w:val="center"/>
              <w:rPr>
                <w:color w:val="auto"/>
                <w:sz w:val="21"/>
                <w:szCs w:val="21"/>
                <w:highlight w:val="none"/>
              </w:rPr>
            </w:pPr>
            <w:r>
              <w:rPr>
                <w:color w:val="auto"/>
                <w:kern w:val="0"/>
                <w:sz w:val="21"/>
                <w:szCs w:val="21"/>
                <w:highlight w:val="none"/>
                <w:lang w:bidi="ar"/>
              </w:rPr>
              <w:t>区间单独的变电所房屋等。</w:t>
            </w:r>
          </w:p>
        </w:tc>
      </w:tr>
      <w:tr w14:paraId="56FDC36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6E29B4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2DCD4C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D6E5015">
            <w:pPr>
              <w:widowControl/>
              <w:spacing w:line="440" w:lineRule="exact"/>
              <w:textAlignment w:val="center"/>
              <w:rPr>
                <w:color w:val="auto"/>
                <w:sz w:val="21"/>
                <w:szCs w:val="21"/>
                <w:highlight w:val="none"/>
              </w:rPr>
            </w:pPr>
            <w:r>
              <w:rPr>
                <w:color w:val="auto"/>
                <w:kern w:val="0"/>
                <w:sz w:val="21"/>
                <w:szCs w:val="21"/>
                <w:highlight w:val="none"/>
                <w:lang w:bidi="ar"/>
              </w:rPr>
              <w:t>二、其他</w:t>
            </w:r>
          </w:p>
        </w:tc>
        <w:tc>
          <w:tcPr>
            <w:tcW w:w="1677" w:type="dxa"/>
            <w:tcBorders>
              <w:top w:val="nil"/>
              <w:left w:val="nil"/>
              <w:bottom w:val="single" w:color="auto" w:sz="8" w:space="0"/>
              <w:right w:val="single" w:color="auto" w:sz="8" w:space="0"/>
            </w:tcBorders>
            <w:shd w:val="clear" w:color="000000" w:fill="FFFFFF"/>
            <w:vAlign w:val="center"/>
          </w:tcPr>
          <w:p w14:paraId="1D164742">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269BDCC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75A0B4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161A2FF">
            <w:pPr>
              <w:widowControl/>
              <w:spacing w:line="440" w:lineRule="exact"/>
              <w:jc w:val="center"/>
              <w:textAlignment w:val="center"/>
              <w:rPr>
                <w:color w:val="auto"/>
                <w:sz w:val="21"/>
                <w:szCs w:val="21"/>
                <w:highlight w:val="none"/>
              </w:rPr>
            </w:pPr>
            <w:r>
              <w:rPr>
                <w:color w:val="auto"/>
                <w:kern w:val="0"/>
                <w:sz w:val="21"/>
                <w:szCs w:val="21"/>
                <w:highlight w:val="none"/>
                <w:lang w:bidi="ar"/>
              </w:rPr>
              <w:t>三</w:t>
            </w:r>
          </w:p>
        </w:tc>
        <w:tc>
          <w:tcPr>
            <w:tcW w:w="704" w:type="dxa"/>
            <w:tcBorders>
              <w:top w:val="nil"/>
              <w:left w:val="nil"/>
              <w:bottom w:val="single" w:color="auto" w:sz="8" w:space="0"/>
              <w:right w:val="single" w:color="auto" w:sz="8" w:space="0"/>
            </w:tcBorders>
            <w:shd w:val="clear" w:color="000000" w:fill="FFFFFF"/>
            <w:vAlign w:val="center"/>
          </w:tcPr>
          <w:p w14:paraId="63EB418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76B35C0">
            <w:pPr>
              <w:widowControl/>
              <w:spacing w:line="440" w:lineRule="exact"/>
              <w:textAlignment w:val="center"/>
              <w:rPr>
                <w:color w:val="auto"/>
                <w:sz w:val="21"/>
                <w:szCs w:val="21"/>
                <w:highlight w:val="none"/>
              </w:rPr>
            </w:pPr>
            <w:r>
              <w:rPr>
                <w:color w:val="auto"/>
                <w:kern w:val="0"/>
                <w:sz w:val="21"/>
                <w:szCs w:val="21"/>
                <w:highlight w:val="none"/>
                <w:lang w:bidi="ar"/>
              </w:rPr>
              <w:t>轨道</w:t>
            </w:r>
          </w:p>
        </w:tc>
        <w:tc>
          <w:tcPr>
            <w:tcW w:w="1677" w:type="dxa"/>
            <w:tcBorders>
              <w:top w:val="nil"/>
              <w:left w:val="nil"/>
              <w:bottom w:val="single" w:color="auto" w:sz="8" w:space="0"/>
              <w:right w:val="single" w:color="auto" w:sz="8" w:space="0"/>
            </w:tcBorders>
            <w:shd w:val="clear" w:color="000000" w:fill="FFFFFF"/>
            <w:vAlign w:val="center"/>
          </w:tcPr>
          <w:p w14:paraId="11DB821A">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6202A1B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D3EDEC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EF826F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5300BC9">
            <w:pPr>
              <w:widowControl/>
              <w:spacing w:line="440" w:lineRule="exact"/>
              <w:jc w:val="center"/>
              <w:textAlignment w:val="center"/>
              <w:rPr>
                <w:color w:val="auto"/>
                <w:sz w:val="21"/>
                <w:szCs w:val="21"/>
                <w:highlight w:val="none"/>
              </w:rPr>
            </w:pPr>
            <w:r>
              <w:rPr>
                <w:color w:val="auto"/>
                <w:kern w:val="0"/>
                <w:sz w:val="21"/>
                <w:szCs w:val="21"/>
                <w:highlight w:val="none"/>
                <w:lang w:bidi="ar"/>
              </w:rPr>
              <w:t>9</w:t>
            </w:r>
          </w:p>
        </w:tc>
        <w:tc>
          <w:tcPr>
            <w:tcW w:w="3816" w:type="dxa"/>
            <w:tcBorders>
              <w:top w:val="nil"/>
              <w:left w:val="nil"/>
              <w:bottom w:val="single" w:color="auto" w:sz="8" w:space="0"/>
              <w:right w:val="single" w:color="auto" w:sz="8" w:space="0"/>
            </w:tcBorders>
            <w:shd w:val="clear" w:color="000000" w:fill="FFFFFF"/>
            <w:vAlign w:val="center"/>
          </w:tcPr>
          <w:p w14:paraId="66F0472D">
            <w:pPr>
              <w:widowControl/>
              <w:spacing w:line="440" w:lineRule="exact"/>
              <w:textAlignment w:val="center"/>
              <w:rPr>
                <w:color w:val="auto"/>
                <w:sz w:val="21"/>
                <w:szCs w:val="21"/>
                <w:highlight w:val="none"/>
              </w:rPr>
            </w:pPr>
            <w:r>
              <w:rPr>
                <w:color w:val="auto"/>
                <w:kern w:val="0"/>
                <w:sz w:val="21"/>
                <w:szCs w:val="21"/>
                <w:highlight w:val="none"/>
                <w:lang w:bidi="ar"/>
              </w:rPr>
              <w:t>正线</w:t>
            </w:r>
          </w:p>
        </w:tc>
        <w:tc>
          <w:tcPr>
            <w:tcW w:w="1677" w:type="dxa"/>
            <w:tcBorders>
              <w:top w:val="nil"/>
              <w:left w:val="nil"/>
              <w:bottom w:val="single" w:color="auto" w:sz="8" w:space="0"/>
              <w:right w:val="single" w:color="auto" w:sz="8" w:space="0"/>
            </w:tcBorders>
            <w:shd w:val="clear" w:color="000000" w:fill="FFFFFF"/>
            <w:vAlign w:val="center"/>
          </w:tcPr>
          <w:p w14:paraId="6A0F80BC">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5A001621">
            <w:pPr>
              <w:widowControl/>
              <w:spacing w:line="440" w:lineRule="exact"/>
              <w:textAlignment w:val="center"/>
              <w:rPr>
                <w:color w:val="auto"/>
                <w:sz w:val="21"/>
                <w:szCs w:val="21"/>
                <w:highlight w:val="none"/>
              </w:rPr>
            </w:pPr>
            <w:r>
              <w:rPr>
                <w:color w:val="auto"/>
                <w:kern w:val="0"/>
                <w:sz w:val="21"/>
                <w:szCs w:val="21"/>
                <w:highlight w:val="none"/>
                <w:lang w:bidi="ar"/>
              </w:rPr>
              <w:t>包括配线（含联络线、折返线、停车线、渡线、安全线等）。</w:t>
            </w:r>
          </w:p>
        </w:tc>
      </w:tr>
      <w:tr w14:paraId="19D5305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9C637F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4877E6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043BD00">
            <w:pPr>
              <w:widowControl/>
              <w:spacing w:line="440" w:lineRule="exact"/>
              <w:textAlignment w:val="center"/>
              <w:rPr>
                <w:color w:val="auto"/>
                <w:sz w:val="21"/>
                <w:szCs w:val="21"/>
                <w:highlight w:val="none"/>
              </w:rPr>
            </w:pPr>
            <w:r>
              <w:rPr>
                <w:color w:val="auto"/>
                <w:kern w:val="0"/>
                <w:sz w:val="21"/>
                <w:szCs w:val="21"/>
                <w:highlight w:val="none"/>
                <w:lang w:bidi="ar"/>
              </w:rPr>
              <w:t>一、新建</w:t>
            </w:r>
          </w:p>
        </w:tc>
        <w:tc>
          <w:tcPr>
            <w:tcW w:w="1677" w:type="dxa"/>
            <w:tcBorders>
              <w:top w:val="nil"/>
              <w:left w:val="nil"/>
              <w:bottom w:val="single" w:color="auto" w:sz="8" w:space="0"/>
              <w:right w:val="single" w:color="auto" w:sz="8" w:space="0"/>
            </w:tcBorders>
            <w:shd w:val="clear" w:color="000000" w:fill="FFFFFF"/>
            <w:vAlign w:val="center"/>
          </w:tcPr>
          <w:p w14:paraId="15B0FAC0">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4FF7F7A4">
            <w:pPr>
              <w:widowControl/>
              <w:spacing w:line="440" w:lineRule="exact"/>
              <w:textAlignment w:val="center"/>
              <w:rPr>
                <w:color w:val="auto"/>
                <w:sz w:val="21"/>
                <w:szCs w:val="21"/>
                <w:highlight w:val="none"/>
              </w:rPr>
            </w:pPr>
            <w:r>
              <w:rPr>
                <w:color w:val="auto"/>
                <w:kern w:val="0"/>
                <w:sz w:val="21"/>
                <w:szCs w:val="21"/>
                <w:highlight w:val="none"/>
                <w:lang w:bidi="ar"/>
              </w:rPr>
              <w:t>按现浇、预制分列。</w:t>
            </w:r>
          </w:p>
        </w:tc>
      </w:tr>
      <w:tr w14:paraId="701C9EE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E663A6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152AE9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AF2AA3E">
            <w:pPr>
              <w:widowControl/>
              <w:spacing w:line="440" w:lineRule="exact"/>
              <w:textAlignment w:val="center"/>
              <w:rPr>
                <w:color w:val="auto"/>
                <w:sz w:val="21"/>
                <w:szCs w:val="21"/>
                <w:highlight w:val="none"/>
              </w:rPr>
            </w:pPr>
            <w:r>
              <w:rPr>
                <w:color w:val="auto"/>
                <w:kern w:val="0"/>
                <w:sz w:val="21"/>
                <w:szCs w:val="21"/>
                <w:highlight w:val="none"/>
                <w:lang w:bidi="ar"/>
              </w:rPr>
              <w:t>（一）地下段</w:t>
            </w:r>
          </w:p>
        </w:tc>
        <w:tc>
          <w:tcPr>
            <w:tcW w:w="1677" w:type="dxa"/>
            <w:tcBorders>
              <w:top w:val="nil"/>
              <w:left w:val="nil"/>
              <w:bottom w:val="single" w:color="auto" w:sz="8" w:space="0"/>
              <w:right w:val="single" w:color="auto" w:sz="8" w:space="0"/>
            </w:tcBorders>
            <w:shd w:val="clear" w:color="000000" w:fill="FFFFFF"/>
            <w:vAlign w:val="center"/>
          </w:tcPr>
          <w:p w14:paraId="47535F0D">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3D3FA56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150F93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C267F0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E597F9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0FA6E59">
            <w:pPr>
              <w:widowControl/>
              <w:spacing w:line="440" w:lineRule="exact"/>
              <w:textAlignment w:val="center"/>
              <w:rPr>
                <w:color w:val="auto"/>
                <w:sz w:val="21"/>
                <w:szCs w:val="21"/>
                <w:highlight w:val="none"/>
              </w:rPr>
            </w:pPr>
            <w:r>
              <w:rPr>
                <w:color w:val="auto"/>
                <w:kern w:val="0"/>
                <w:sz w:val="21"/>
                <w:szCs w:val="21"/>
                <w:highlight w:val="none"/>
                <w:lang w:bidi="ar"/>
              </w:rPr>
              <w:t>1.铺轨（含道床）</w:t>
            </w:r>
          </w:p>
        </w:tc>
        <w:tc>
          <w:tcPr>
            <w:tcW w:w="1677" w:type="dxa"/>
            <w:tcBorders>
              <w:top w:val="nil"/>
              <w:left w:val="nil"/>
              <w:bottom w:val="single" w:color="auto" w:sz="8" w:space="0"/>
              <w:right w:val="single" w:color="auto" w:sz="8" w:space="0"/>
            </w:tcBorders>
            <w:shd w:val="clear" w:color="000000" w:fill="FFFFFF"/>
            <w:vAlign w:val="center"/>
          </w:tcPr>
          <w:p w14:paraId="007D5E3B">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675B63E1">
            <w:pPr>
              <w:widowControl/>
              <w:spacing w:line="440" w:lineRule="exact"/>
              <w:textAlignment w:val="center"/>
              <w:rPr>
                <w:color w:val="auto"/>
                <w:sz w:val="21"/>
                <w:szCs w:val="21"/>
                <w:highlight w:val="none"/>
              </w:rPr>
            </w:pPr>
            <w:r>
              <w:rPr>
                <w:color w:val="auto"/>
                <w:kern w:val="0"/>
                <w:sz w:val="21"/>
                <w:szCs w:val="21"/>
                <w:highlight w:val="none"/>
                <w:lang w:bidi="ar"/>
              </w:rPr>
              <w:t>按一般段、中等减振段、高等减振段、特殊减振段分列。</w:t>
            </w:r>
          </w:p>
        </w:tc>
      </w:tr>
      <w:tr w14:paraId="703A487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1F1CFD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A1D9F3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FC7C9B4">
            <w:pPr>
              <w:widowControl/>
              <w:spacing w:line="440" w:lineRule="exact"/>
              <w:textAlignment w:val="center"/>
              <w:rPr>
                <w:color w:val="auto"/>
                <w:sz w:val="21"/>
                <w:szCs w:val="21"/>
                <w:highlight w:val="none"/>
              </w:rPr>
            </w:pPr>
            <w:r>
              <w:rPr>
                <w:color w:val="auto"/>
                <w:kern w:val="0"/>
                <w:sz w:val="21"/>
                <w:szCs w:val="21"/>
                <w:highlight w:val="none"/>
                <w:lang w:bidi="ar"/>
              </w:rPr>
              <w:t>（1）一般段</w:t>
            </w:r>
          </w:p>
        </w:tc>
        <w:tc>
          <w:tcPr>
            <w:tcW w:w="1677" w:type="dxa"/>
            <w:tcBorders>
              <w:top w:val="nil"/>
              <w:left w:val="nil"/>
              <w:bottom w:val="single" w:color="auto" w:sz="8" w:space="0"/>
              <w:right w:val="single" w:color="auto" w:sz="8" w:space="0"/>
            </w:tcBorders>
            <w:shd w:val="clear" w:color="000000" w:fill="FFFFFF"/>
            <w:vAlign w:val="center"/>
          </w:tcPr>
          <w:p w14:paraId="6F517819">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6556838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46D113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5431EE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7EF484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5BCAC5A">
            <w:pPr>
              <w:widowControl/>
              <w:spacing w:line="440" w:lineRule="exact"/>
              <w:textAlignment w:val="center"/>
              <w:rPr>
                <w:color w:val="auto"/>
                <w:sz w:val="21"/>
                <w:szCs w:val="21"/>
                <w:highlight w:val="none"/>
              </w:rPr>
            </w:pPr>
            <w:r>
              <w:rPr>
                <w:color w:val="auto"/>
                <w:kern w:val="0"/>
                <w:sz w:val="21"/>
                <w:szCs w:val="21"/>
                <w:highlight w:val="none"/>
                <w:lang w:bidi="ar"/>
              </w:rPr>
              <w:t>（2）中等减振段</w:t>
            </w:r>
          </w:p>
        </w:tc>
        <w:tc>
          <w:tcPr>
            <w:tcW w:w="1677" w:type="dxa"/>
            <w:tcBorders>
              <w:top w:val="nil"/>
              <w:left w:val="nil"/>
              <w:bottom w:val="single" w:color="auto" w:sz="8" w:space="0"/>
              <w:right w:val="single" w:color="auto" w:sz="8" w:space="0"/>
            </w:tcBorders>
            <w:shd w:val="clear" w:color="000000" w:fill="FFFFFF"/>
            <w:vAlign w:val="center"/>
          </w:tcPr>
          <w:p w14:paraId="2AD9F237">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4DADE68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D59D4F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0B0CD7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E5E147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10E8308">
            <w:pPr>
              <w:widowControl/>
              <w:spacing w:line="440" w:lineRule="exact"/>
              <w:textAlignment w:val="center"/>
              <w:rPr>
                <w:color w:val="auto"/>
                <w:sz w:val="21"/>
                <w:szCs w:val="21"/>
                <w:highlight w:val="none"/>
              </w:rPr>
            </w:pPr>
            <w:r>
              <w:rPr>
                <w:color w:val="auto"/>
                <w:kern w:val="0"/>
                <w:sz w:val="21"/>
                <w:szCs w:val="21"/>
                <w:highlight w:val="none"/>
                <w:lang w:bidi="ar"/>
              </w:rPr>
              <w:t>（3）高等减振段</w:t>
            </w:r>
          </w:p>
        </w:tc>
        <w:tc>
          <w:tcPr>
            <w:tcW w:w="1677" w:type="dxa"/>
            <w:tcBorders>
              <w:top w:val="nil"/>
              <w:left w:val="nil"/>
              <w:bottom w:val="single" w:color="auto" w:sz="8" w:space="0"/>
              <w:right w:val="single" w:color="auto" w:sz="8" w:space="0"/>
            </w:tcBorders>
            <w:shd w:val="clear" w:color="000000" w:fill="FFFFFF"/>
            <w:vAlign w:val="center"/>
          </w:tcPr>
          <w:p w14:paraId="5653D66F">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364903C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A2638F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5A9D7D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CE51DA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68D69D6">
            <w:pPr>
              <w:widowControl/>
              <w:spacing w:line="440" w:lineRule="exact"/>
              <w:textAlignment w:val="center"/>
              <w:rPr>
                <w:color w:val="auto"/>
                <w:sz w:val="21"/>
                <w:szCs w:val="21"/>
                <w:highlight w:val="none"/>
              </w:rPr>
            </w:pPr>
            <w:r>
              <w:rPr>
                <w:color w:val="auto"/>
                <w:kern w:val="0"/>
                <w:sz w:val="21"/>
                <w:szCs w:val="21"/>
                <w:highlight w:val="none"/>
                <w:lang w:bidi="ar"/>
              </w:rPr>
              <w:t>（4）特殊减振段</w:t>
            </w:r>
          </w:p>
        </w:tc>
        <w:tc>
          <w:tcPr>
            <w:tcW w:w="1677" w:type="dxa"/>
            <w:tcBorders>
              <w:top w:val="nil"/>
              <w:left w:val="nil"/>
              <w:bottom w:val="single" w:color="auto" w:sz="8" w:space="0"/>
              <w:right w:val="single" w:color="auto" w:sz="8" w:space="0"/>
            </w:tcBorders>
            <w:shd w:val="clear" w:color="000000" w:fill="FFFFFF"/>
            <w:vAlign w:val="center"/>
          </w:tcPr>
          <w:p w14:paraId="03CB4AAD">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380D1CC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162BB5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020A6F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D2FB2E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BB2BD33">
            <w:pPr>
              <w:widowControl/>
              <w:spacing w:line="440" w:lineRule="exact"/>
              <w:textAlignment w:val="center"/>
              <w:rPr>
                <w:color w:val="auto"/>
                <w:sz w:val="21"/>
                <w:szCs w:val="21"/>
                <w:highlight w:val="none"/>
              </w:rPr>
            </w:pPr>
            <w:r>
              <w:rPr>
                <w:color w:val="auto"/>
                <w:kern w:val="0"/>
                <w:sz w:val="21"/>
                <w:szCs w:val="21"/>
                <w:highlight w:val="none"/>
                <w:lang w:bidi="ar"/>
              </w:rPr>
              <w:t>2.铺道岔</w:t>
            </w:r>
          </w:p>
        </w:tc>
        <w:tc>
          <w:tcPr>
            <w:tcW w:w="1677" w:type="dxa"/>
            <w:tcBorders>
              <w:top w:val="nil"/>
              <w:left w:val="nil"/>
              <w:bottom w:val="single" w:color="auto" w:sz="8" w:space="0"/>
              <w:right w:val="single" w:color="auto" w:sz="8" w:space="0"/>
            </w:tcBorders>
            <w:shd w:val="clear" w:color="000000" w:fill="FFFFFF"/>
            <w:vAlign w:val="center"/>
          </w:tcPr>
          <w:p w14:paraId="24B95A39">
            <w:pPr>
              <w:widowControl/>
              <w:spacing w:line="440" w:lineRule="exact"/>
              <w:jc w:val="center"/>
              <w:textAlignment w:val="center"/>
              <w:rPr>
                <w:color w:val="auto"/>
                <w:sz w:val="21"/>
                <w:szCs w:val="21"/>
                <w:highlight w:val="none"/>
              </w:rPr>
            </w:pPr>
            <w:r>
              <w:rPr>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4A2E41A2">
            <w:pPr>
              <w:widowControl/>
              <w:spacing w:line="440" w:lineRule="exact"/>
              <w:textAlignment w:val="center"/>
              <w:rPr>
                <w:color w:val="auto"/>
                <w:sz w:val="21"/>
                <w:szCs w:val="21"/>
                <w:highlight w:val="none"/>
              </w:rPr>
            </w:pPr>
            <w:r>
              <w:rPr>
                <w:color w:val="auto"/>
                <w:kern w:val="0"/>
                <w:sz w:val="21"/>
                <w:szCs w:val="21"/>
                <w:highlight w:val="none"/>
                <w:lang w:bidi="ar"/>
              </w:rPr>
              <w:t>按不同型号分列。</w:t>
            </w:r>
          </w:p>
        </w:tc>
      </w:tr>
      <w:tr w14:paraId="7C5CE8A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00B085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453658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550E3B9">
            <w:pPr>
              <w:widowControl/>
              <w:spacing w:line="440" w:lineRule="exact"/>
              <w:textAlignment w:val="center"/>
              <w:rPr>
                <w:color w:val="auto"/>
                <w:sz w:val="21"/>
                <w:szCs w:val="21"/>
                <w:highlight w:val="none"/>
              </w:rPr>
            </w:pPr>
            <w:r>
              <w:rPr>
                <w:color w:val="auto"/>
                <w:kern w:val="0"/>
                <w:sz w:val="21"/>
                <w:szCs w:val="21"/>
                <w:highlight w:val="none"/>
                <w:lang w:bidi="ar"/>
              </w:rPr>
              <w:t>（1）单开道岔</w:t>
            </w:r>
          </w:p>
        </w:tc>
        <w:tc>
          <w:tcPr>
            <w:tcW w:w="1677" w:type="dxa"/>
            <w:tcBorders>
              <w:top w:val="nil"/>
              <w:left w:val="nil"/>
              <w:bottom w:val="single" w:color="auto" w:sz="8" w:space="0"/>
              <w:right w:val="single" w:color="auto" w:sz="8" w:space="0"/>
            </w:tcBorders>
            <w:shd w:val="clear" w:color="000000" w:fill="FFFFFF"/>
            <w:vAlign w:val="center"/>
          </w:tcPr>
          <w:p w14:paraId="77E1E82B">
            <w:pPr>
              <w:widowControl/>
              <w:spacing w:line="440" w:lineRule="exact"/>
              <w:jc w:val="center"/>
              <w:textAlignment w:val="center"/>
              <w:rPr>
                <w:color w:val="auto"/>
                <w:sz w:val="21"/>
                <w:szCs w:val="21"/>
                <w:highlight w:val="none"/>
              </w:rPr>
            </w:pPr>
            <w:r>
              <w:rPr>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103EE5D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268FD1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B23359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E15C99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C252903">
            <w:pPr>
              <w:widowControl/>
              <w:spacing w:line="440" w:lineRule="exact"/>
              <w:textAlignment w:val="center"/>
              <w:rPr>
                <w:color w:val="auto"/>
                <w:sz w:val="21"/>
                <w:szCs w:val="21"/>
                <w:highlight w:val="none"/>
              </w:rPr>
            </w:pPr>
            <w:r>
              <w:rPr>
                <w:color w:val="auto"/>
                <w:kern w:val="0"/>
                <w:sz w:val="21"/>
                <w:szCs w:val="21"/>
                <w:highlight w:val="none"/>
                <w:lang w:bidi="ar"/>
              </w:rPr>
              <w:t>（2）特种道岔</w:t>
            </w:r>
          </w:p>
        </w:tc>
        <w:tc>
          <w:tcPr>
            <w:tcW w:w="1677" w:type="dxa"/>
            <w:tcBorders>
              <w:top w:val="nil"/>
              <w:left w:val="nil"/>
              <w:bottom w:val="single" w:color="auto" w:sz="8" w:space="0"/>
              <w:right w:val="single" w:color="auto" w:sz="8" w:space="0"/>
            </w:tcBorders>
            <w:shd w:val="clear" w:color="000000" w:fill="FFFFFF"/>
            <w:vAlign w:val="center"/>
          </w:tcPr>
          <w:p w14:paraId="7FD11692">
            <w:pPr>
              <w:widowControl/>
              <w:spacing w:line="440" w:lineRule="exact"/>
              <w:jc w:val="center"/>
              <w:textAlignment w:val="center"/>
              <w:rPr>
                <w:color w:val="auto"/>
                <w:sz w:val="21"/>
                <w:szCs w:val="21"/>
                <w:highlight w:val="none"/>
              </w:rPr>
            </w:pPr>
            <w:r>
              <w:rPr>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76134353">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152BFF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AC1756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AE9AB1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687BE29">
            <w:pPr>
              <w:widowControl/>
              <w:spacing w:line="440" w:lineRule="exact"/>
              <w:textAlignment w:val="center"/>
              <w:rPr>
                <w:color w:val="auto"/>
                <w:sz w:val="21"/>
                <w:szCs w:val="21"/>
                <w:highlight w:val="none"/>
              </w:rPr>
            </w:pPr>
            <w:r>
              <w:rPr>
                <w:color w:val="auto"/>
                <w:kern w:val="0"/>
                <w:sz w:val="21"/>
                <w:szCs w:val="21"/>
                <w:highlight w:val="none"/>
                <w:lang w:bidi="ar"/>
              </w:rPr>
              <w:t>（二）高架段</w:t>
            </w:r>
          </w:p>
        </w:tc>
        <w:tc>
          <w:tcPr>
            <w:tcW w:w="1677" w:type="dxa"/>
            <w:tcBorders>
              <w:top w:val="nil"/>
              <w:left w:val="nil"/>
              <w:bottom w:val="single" w:color="auto" w:sz="8" w:space="0"/>
              <w:right w:val="single" w:color="auto" w:sz="8" w:space="0"/>
            </w:tcBorders>
            <w:shd w:val="clear" w:color="000000" w:fill="FFFFFF"/>
            <w:vAlign w:val="center"/>
          </w:tcPr>
          <w:p w14:paraId="78FA671F">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569D212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A269F6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82528F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2E394E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DCD4E82">
            <w:pPr>
              <w:widowControl/>
              <w:spacing w:line="440" w:lineRule="exact"/>
              <w:textAlignment w:val="center"/>
              <w:rPr>
                <w:color w:val="auto"/>
                <w:sz w:val="21"/>
                <w:szCs w:val="21"/>
                <w:highlight w:val="none"/>
              </w:rPr>
            </w:pPr>
            <w:r>
              <w:rPr>
                <w:color w:val="auto"/>
                <w:kern w:val="0"/>
                <w:sz w:val="21"/>
                <w:szCs w:val="21"/>
                <w:highlight w:val="none"/>
                <w:lang w:bidi="ar"/>
              </w:rPr>
              <w:t>1.铺轨（含道床）</w:t>
            </w:r>
          </w:p>
        </w:tc>
        <w:tc>
          <w:tcPr>
            <w:tcW w:w="1677" w:type="dxa"/>
            <w:tcBorders>
              <w:top w:val="nil"/>
              <w:left w:val="nil"/>
              <w:bottom w:val="single" w:color="auto" w:sz="8" w:space="0"/>
              <w:right w:val="single" w:color="auto" w:sz="8" w:space="0"/>
            </w:tcBorders>
            <w:shd w:val="clear" w:color="000000" w:fill="FFFFFF"/>
            <w:vAlign w:val="center"/>
          </w:tcPr>
          <w:p w14:paraId="5C4605C0">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2079FF84">
            <w:pPr>
              <w:widowControl/>
              <w:spacing w:line="440" w:lineRule="exact"/>
              <w:textAlignment w:val="center"/>
              <w:rPr>
                <w:color w:val="auto"/>
                <w:sz w:val="21"/>
                <w:szCs w:val="21"/>
                <w:highlight w:val="none"/>
              </w:rPr>
            </w:pPr>
            <w:r>
              <w:rPr>
                <w:color w:val="auto"/>
                <w:kern w:val="0"/>
                <w:sz w:val="21"/>
                <w:szCs w:val="21"/>
                <w:highlight w:val="none"/>
                <w:lang w:bidi="ar"/>
              </w:rPr>
              <w:t>按一般段、中等减振段、高等减振段、特殊减振段分列。</w:t>
            </w:r>
          </w:p>
        </w:tc>
      </w:tr>
      <w:tr w14:paraId="400EAD6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B40554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94AA01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2E37D8A">
            <w:pPr>
              <w:widowControl/>
              <w:spacing w:line="440" w:lineRule="exact"/>
              <w:textAlignment w:val="center"/>
              <w:rPr>
                <w:color w:val="auto"/>
                <w:sz w:val="21"/>
                <w:szCs w:val="21"/>
                <w:highlight w:val="none"/>
              </w:rPr>
            </w:pPr>
            <w:r>
              <w:rPr>
                <w:color w:val="auto"/>
                <w:kern w:val="0"/>
                <w:sz w:val="21"/>
                <w:szCs w:val="21"/>
                <w:highlight w:val="none"/>
                <w:lang w:bidi="ar"/>
              </w:rPr>
              <w:t>（1）一般段</w:t>
            </w:r>
          </w:p>
        </w:tc>
        <w:tc>
          <w:tcPr>
            <w:tcW w:w="1677" w:type="dxa"/>
            <w:tcBorders>
              <w:top w:val="nil"/>
              <w:left w:val="nil"/>
              <w:bottom w:val="single" w:color="auto" w:sz="8" w:space="0"/>
              <w:right w:val="single" w:color="auto" w:sz="8" w:space="0"/>
            </w:tcBorders>
            <w:shd w:val="clear" w:color="000000" w:fill="FFFFFF"/>
            <w:vAlign w:val="center"/>
          </w:tcPr>
          <w:p w14:paraId="6DF311E5">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721AB5C4">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1B09CC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C7D815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2D3C7D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5A7609C">
            <w:pPr>
              <w:widowControl/>
              <w:spacing w:line="440" w:lineRule="exact"/>
              <w:textAlignment w:val="center"/>
              <w:rPr>
                <w:color w:val="auto"/>
                <w:sz w:val="21"/>
                <w:szCs w:val="21"/>
                <w:highlight w:val="none"/>
              </w:rPr>
            </w:pPr>
            <w:r>
              <w:rPr>
                <w:color w:val="auto"/>
                <w:kern w:val="0"/>
                <w:sz w:val="21"/>
                <w:szCs w:val="21"/>
                <w:highlight w:val="none"/>
                <w:lang w:bidi="ar"/>
              </w:rPr>
              <w:t>（2）中等减振段</w:t>
            </w:r>
          </w:p>
        </w:tc>
        <w:tc>
          <w:tcPr>
            <w:tcW w:w="1677" w:type="dxa"/>
            <w:tcBorders>
              <w:top w:val="nil"/>
              <w:left w:val="nil"/>
              <w:bottom w:val="single" w:color="auto" w:sz="8" w:space="0"/>
              <w:right w:val="single" w:color="auto" w:sz="8" w:space="0"/>
            </w:tcBorders>
            <w:shd w:val="clear" w:color="000000" w:fill="FFFFFF"/>
            <w:vAlign w:val="center"/>
          </w:tcPr>
          <w:p w14:paraId="551756F6">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74FEC9A9">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D0D98A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7B0183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3F5813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4CBF6C9">
            <w:pPr>
              <w:widowControl/>
              <w:spacing w:line="440" w:lineRule="exact"/>
              <w:textAlignment w:val="center"/>
              <w:rPr>
                <w:color w:val="auto"/>
                <w:sz w:val="21"/>
                <w:szCs w:val="21"/>
                <w:highlight w:val="none"/>
              </w:rPr>
            </w:pPr>
            <w:r>
              <w:rPr>
                <w:color w:val="auto"/>
                <w:kern w:val="0"/>
                <w:sz w:val="21"/>
                <w:szCs w:val="21"/>
                <w:highlight w:val="none"/>
                <w:lang w:bidi="ar"/>
              </w:rPr>
              <w:t>（3）高等减振段</w:t>
            </w:r>
          </w:p>
        </w:tc>
        <w:tc>
          <w:tcPr>
            <w:tcW w:w="1677" w:type="dxa"/>
            <w:tcBorders>
              <w:top w:val="nil"/>
              <w:left w:val="nil"/>
              <w:bottom w:val="single" w:color="auto" w:sz="8" w:space="0"/>
              <w:right w:val="single" w:color="auto" w:sz="8" w:space="0"/>
            </w:tcBorders>
            <w:shd w:val="clear" w:color="000000" w:fill="FFFFFF"/>
            <w:vAlign w:val="center"/>
          </w:tcPr>
          <w:p w14:paraId="4229EE4D">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06E79B2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31808E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C36198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B70284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D48F823">
            <w:pPr>
              <w:widowControl/>
              <w:spacing w:line="440" w:lineRule="exact"/>
              <w:textAlignment w:val="center"/>
              <w:rPr>
                <w:color w:val="auto"/>
                <w:sz w:val="21"/>
                <w:szCs w:val="21"/>
                <w:highlight w:val="none"/>
              </w:rPr>
            </w:pPr>
            <w:r>
              <w:rPr>
                <w:color w:val="auto"/>
                <w:kern w:val="0"/>
                <w:sz w:val="21"/>
                <w:szCs w:val="21"/>
                <w:highlight w:val="none"/>
                <w:lang w:bidi="ar"/>
              </w:rPr>
              <w:t>（4）特殊减振段</w:t>
            </w:r>
          </w:p>
        </w:tc>
        <w:tc>
          <w:tcPr>
            <w:tcW w:w="1677" w:type="dxa"/>
            <w:tcBorders>
              <w:top w:val="nil"/>
              <w:left w:val="nil"/>
              <w:bottom w:val="single" w:color="auto" w:sz="8" w:space="0"/>
              <w:right w:val="single" w:color="auto" w:sz="8" w:space="0"/>
            </w:tcBorders>
            <w:shd w:val="clear" w:color="000000" w:fill="FFFFFF"/>
            <w:vAlign w:val="center"/>
          </w:tcPr>
          <w:p w14:paraId="073E7DC7">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74C9669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C6A859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FC265D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A8D5C4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2AE28F3">
            <w:pPr>
              <w:widowControl/>
              <w:spacing w:line="440" w:lineRule="exact"/>
              <w:textAlignment w:val="center"/>
              <w:rPr>
                <w:color w:val="auto"/>
                <w:sz w:val="21"/>
                <w:szCs w:val="21"/>
                <w:highlight w:val="none"/>
              </w:rPr>
            </w:pPr>
            <w:r>
              <w:rPr>
                <w:color w:val="auto"/>
                <w:kern w:val="0"/>
                <w:sz w:val="21"/>
                <w:szCs w:val="21"/>
                <w:highlight w:val="none"/>
                <w:lang w:bidi="ar"/>
              </w:rPr>
              <w:t>2.铺道岔</w:t>
            </w:r>
          </w:p>
        </w:tc>
        <w:tc>
          <w:tcPr>
            <w:tcW w:w="1677" w:type="dxa"/>
            <w:tcBorders>
              <w:top w:val="nil"/>
              <w:left w:val="nil"/>
              <w:bottom w:val="single" w:color="auto" w:sz="8" w:space="0"/>
              <w:right w:val="single" w:color="auto" w:sz="8" w:space="0"/>
            </w:tcBorders>
            <w:shd w:val="clear" w:color="000000" w:fill="FFFFFF"/>
            <w:vAlign w:val="center"/>
          </w:tcPr>
          <w:p w14:paraId="05D23512">
            <w:pPr>
              <w:widowControl/>
              <w:spacing w:line="440" w:lineRule="exact"/>
              <w:jc w:val="center"/>
              <w:textAlignment w:val="center"/>
              <w:rPr>
                <w:color w:val="auto"/>
                <w:sz w:val="21"/>
                <w:szCs w:val="21"/>
                <w:highlight w:val="none"/>
              </w:rPr>
            </w:pPr>
            <w:r>
              <w:rPr>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45DF4B50">
            <w:pPr>
              <w:widowControl/>
              <w:spacing w:line="440" w:lineRule="exact"/>
              <w:textAlignment w:val="center"/>
              <w:rPr>
                <w:color w:val="auto"/>
                <w:sz w:val="21"/>
                <w:szCs w:val="21"/>
                <w:highlight w:val="none"/>
              </w:rPr>
            </w:pPr>
            <w:r>
              <w:rPr>
                <w:color w:val="auto"/>
                <w:kern w:val="0"/>
                <w:sz w:val="21"/>
                <w:szCs w:val="21"/>
                <w:highlight w:val="none"/>
                <w:lang w:bidi="ar"/>
              </w:rPr>
              <w:t>按不同型号分列。</w:t>
            </w:r>
          </w:p>
        </w:tc>
      </w:tr>
      <w:tr w14:paraId="192412E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11A91A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AD8FD4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CAF6DD6">
            <w:pPr>
              <w:widowControl/>
              <w:spacing w:line="440" w:lineRule="exact"/>
              <w:textAlignment w:val="center"/>
              <w:rPr>
                <w:color w:val="auto"/>
                <w:sz w:val="21"/>
                <w:szCs w:val="21"/>
                <w:highlight w:val="none"/>
              </w:rPr>
            </w:pPr>
            <w:r>
              <w:rPr>
                <w:color w:val="auto"/>
                <w:kern w:val="0"/>
                <w:sz w:val="21"/>
                <w:szCs w:val="21"/>
                <w:highlight w:val="none"/>
                <w:lang w:bidi="ar"/>
              </w:rPr>
              <w:t>（1）单开道岔</w:t>
            </w:r>
          </w:p>
        </w:tc>
        <w:tc>
          <w:tcPr>
            <w:tcW w:w="1677" w:type="dxa"/>
            <w:tcBorders>
              <w:top w:val="nil"/>
              <w:left w:val="nil"/>
              <w:bottom w:val="single" w:color="auto" w:sz="8" w:space="0"/>
              <w:right w:val="single" w:color="auto" w:sz="8" w:space="0"/>
            </w:tcBorders>
            <w:shd w:val="clear" w:color="000000" w:fill="FFFFFF"/>
            <w:vAlign w:val="center"/>
          </w:tcPr>
          <w:p w14:paraId="79955371">
            <w:pPr>
              <w:widowControl/>
              <w:spacing w:line="440" w:lineRule="exact"/>
              <w:jc w:val="center"/>
              <w:textAlignment w:val="center"/>
              <w:rPr>
                <w:color w:val="auto"/>
                <w:sz w:val="21"/>
                <w:szCs w:val="21"/>
                <w:highlight w:val="none"/>
              </w:rPr>
            </w:pPr>
            <w:r>
              <w:rPr>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3A95E0C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83B35A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F94829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A4B68C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0948360">
            <w:pPr>
              <w:widowControl/>
              <w:spacing w:line="440" w:lineRule="exact"/>
              <w:textAlignment w:val="center"/>
              <w:rPr>
                <w:color w:val="auto"/>
                <w:sz w:val="21"/>
                <w:szCs w:val="21"/>
                <w:highlight w:val="none"/>
              </w:rPr>
            </w:pPr>
            <w:r>
              <w:rPr>
                <w:color w:val="auto"/>
                <w:kern w:val="0"/>
                <w:sz w:val="21"/>
                <w:szCs w:val="21"/>
                <w:highlight w:val="none"/>
                <w:lang w:bidi="ar"/>
              </w:rPr>
              <w:t>（2）特种道岔</w:t>
            </w:r>
          </w:p>
        </w:tc>
        <w:tc>
          <w:tcPr>
            <w:tcW w:w="1677" w:type="dxa"/>
            <w:tcBorders>
              <w:top w:val="nil"/>
              <w:left w:val="nil"/>
              <w:bottom w:val="single" w:color="auto" w:sz="8" w:space="0"/>
              <w:right w:val="single" w:color="auto" w:sz="8" w:space="0"/>
            </w:tcBorders>
            <w:shd w:val="clear" w:color="000000" w:fill="FFFFFF"/>
            <w:vAlign w:val="center"/>
          </w:tcPr>
          <w:p w14:paraId="534B17FC">
            <w:pPr>
              <w:widowControl/>
              <w:spacing w:line="440" w:lineRule="exact"/>
              <w:jc w:val="center"/>
              <w:textAlignment w:val="center"/>
              <w:rPr>
                <w:color w:val="auto"/>
                <w:sz w:val="21"/>
                <w:szCs w:val="21"/>
                <w:highlight w:val="none"/>
              </w:rPr>
            </w:pPr>
            <w:r>
              <w:rPr>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0AE628B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9668A7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B6B344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EAF568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EF62244">
            <w:pPr>
              <w:widowControl/>
              <w:spacing w:line="440" w:lineRule="exact"/>
              <w:textAlignment w:val="center"/>
              <w:rPr>
                <w:color w:val="auto"/>
                <w:sz w:val="21"/>
                <w:szCs w:val="21"/>
                <w:highlight w:val="none"/>
              </w:rPr>
            </w:pPr>
            <w:r>
              <w:rPr>
                <w:color w:val="auto"/>
                <w:kern w:val="0"/>
                <w:sz w:val="21"/>
                <w:szCs w:val="21"/>
                <w:highlight w:val="none"/>
                <w:lang w:bidi="ar"/>
              </w:rPr>
              <w:t>（三）地面段</w:t>
            </w:r>
          </w:p>
        </w:tc>
        <w:tc>
          <w:tcPr>
            <w:tcW w:w="1677" w:type="dxa"/>
            <w:tcBorders>
              <w:top w:val="nil"/>
              <w:left w:val="nil"/>
              <w:bottom w:val="single" w:color="auto" w:sz="8" w:space="0"/>
              <w:right w:val="single" w:color="auto" w:sz="8" w:space="0"/>
            </w:tcBorders>
            <w:shd w:val="clear" w:color="000000" w:fill="FFFFFF"/>
            <w:vAlign w:val="center"/>
          </w:tcPr>
          <w:p w14:paraId="512F4855">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00221C0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0FE2EC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8FD135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8A17F2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3AA5974">
            <w:pPr>
              <w:widowControl/>
              <w:spacing w:line="440" w:lineRule="exact"/>
              <w:textAlignment w:val="center"/>
              <w:rPr>
                <w:color w:val="auto"/>
                <w:sz w:val="21"/>
                <w:szCs w:val="21"/>
                <w:highlight w:val="none"/>
              </w:rPr>
            </w:pPr>
            <w:r>
              <w:rPr>
                <w:color w:val="auto"/>
                <w:kern w:val="0"/>
                <w:sz w:val="21"/>
                <w:szCs w:val="21"/>
                <w:highlight w:val="none"/>
                <w:lang w:bidi="ar"/>
              </w:rPr>
              <w:t>1.铺轨（含道床）</w:t>
            </w:r>
          </w:p>
        </w:tc>
        <w:tc>
          <w:tcPr>
            <w:tcW w:w="1677" w:type="dxa"/>
            <w:tcBorders>
              <w:top w:val="nil"/>
              <w:left w:val="nil"/>
              <w:bottom w:val="single" w:color="auto" w:sz="8" w:space="0"/>
              <w:right w:val="single" w:color="auto" w:sz="8" w:space="0"/>
            </w:tcBorders>
            <w:shd w:val="clear" w:color="000000" w:fill="FFFFFF"/>
            <w:vAlign w:val="center"/>
          </w:tcPr>
          <w:p w14:paraId="4A6BB033">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70F0674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1E2DA2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0AA8B7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F65F07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C263B1E">
            <w:pPr>
              <w:widowControl/>
              <w:spacing w:line="440" w:lineRule="exact"/>
              <w:textAlignment w:val="center"/>
              <w:rPr>
                <w:color w:val="auto"/>
                <w:sz w:val="21"/>
                <w:szCs w:val="21"/>
                <w:highlight w:val="none"/>
              </w:rPr>
            </w:pPr>
            <w:r>
              <w:rPr>
                <w:color w:val="auto"/>
                <w:kern w:val="0"/>
                <w:sz w:val="21"/>
                <w:szCs w:val="21"/>
                <w:highlight w:val="none"/>
                <w:lang w:bidi="ar"/>
              </w:rPr>
              <w:t>（1）碎石道床</w:t>
            </w:r>
          </w:p>
        </w:tc>
        <w:tc>
          <w:tcPr>
            <w:tcW w:w="1677" w:type="dxa"/>
            <w:tcBorders>
              <w:top w:val="nil"/>
              <w:left w:val="nil"/>
              <w:bottom w:val="single" w:color="auto" w:sz="8" w:space="0"/>
              <w:right w:val="single" w:color="auto" w:sz="8" w:space="0"/>
            </w:tcBorders>
            <w:shd w:val="clear" w:color="000000" w:fill="FFFFFF"/>
            <w:vAlign w:val="center"/>
          </w:tcPr>
          <w:p w14:paraId="4135DCDF">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4B53E4E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78CC85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4C9143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64666A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E60011B">
            <w:pPr>
              <w:widowControl/>
              <w:spacing w:line="440" w:lineRule="exact"/>
              <w:textAlignment w:val="center"/>
              <w:rPr>
                <w:color w:val="auto"/>
                <w:sz w:val="21"/>
                <w:szCs w:val="21"/>
                <w:highlight w:val="none"/>
              </w:rPr>
            </w:pPr>
            <w:r>
              <w:rPr>
                <w:color w:val="auto"/>
                <w:kern w:val="0"/>
                <w:sz w:val="21"/>
                <w:szCs w:val="21"/>
                <w:highlight w:val="none"/>
                <w:lang w:bidi="ar"/>
              </w:rPr>
              <w:t>（2）整体道床</w:t>
            </w:r>
          </w:p>
        </w:tc>
        <w:tc>
          <w:tcPr>
            <w:tcW w:w="1677" w:type="dxa"/>
            <w:tcBorders>
              <w:top w:val="nil"/>
              <w:left w:val="nil"/>
              <w:bottom w:val="single" w:color="auto" w:sz="8" w:space="0"/>
              <w:right w:val="single" w:color="auto" w:sz="8" w:space="0"/>
            </w:tcBorders>
            <w:shd w:val="clear" w:color="000000" w:fill="FFFFFF"/>
            <w:vAlign w:val="center"/>
          </w:tcPr>
          <w:p w14:paraId="4D844732">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214EDB6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6E460C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40CD02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23CDBF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E18809B">
            <w:pPr>
              <w:widowControl/>
              <w:spacing w:line="440" w:lineRule="exact"/>
              <w:textAlignment w:val="center"/>
              <w:rPr>
                <w:color w:val="auto"/>
                <w:sz w:val="21"/>
                <w:szCs w:val="21"/>
                <w:highlight w:val="none"/>
              </w:rPr>
            </w:pPr>
            <w:r>
              <w:rPr>
                <w:color w:val="auto"/>
                <w:kern w:val="0"/>
                <w:sz w:val="21"/>
                <w:szCs w:val="21"/>
                <w:highlight w:val="none"/>
                <w:lang w:bidi="ar"/>
              </w:rPr>
              <w:t>2.铺道岔</w:t>
            </w:r>
          </w:p>
        </w:tc>
        <w:tc>
          <w:tcPr>
            <w:tcW w:w="1677" w:type="dxa"/>
            <w:tcBorders>
              <w:top w:val="nil"/>
              <w:left w:val="nil"/>
              <w:bottom w:val="single" w:color="auto" w:sz="8" w:space="0"/>
              <w:right w:val="single" w:color="auto" w:sz="8" w:space="0"/>
            </w:tcBorders>
            <w:shd w:val="clear" w:color="000000" w:fill="FFFFFF"/>
            <w:vAlign w:val="center"/>
          </w:tcPr>
          <w:p w14:paraId="411FE2BE">
            <w:pPr>
              <w:widowControl/>
              <w:spacing w:line="440" w:lineRule="exact"/>
              <w:jc w:val="center"/>
              <w:textAlignment w:val="center"/>
              <w:rPr>
                <w:color w:val="auto"/>
                <w:sz w:val="21"/>
                <w:szCs w:val="21"/>
                <w:highlight w:val="none"/>
              </w:rPr>
            </w:pPr>
            <w:r>
              <w:rPr>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11B92DFD">
            <w:pPr>
              <w:widowControl/>
              <w:spacing w:line="440" w:lineRule="exact"/>
              <w:textAlignment w:val="center"/>
              <w:rPr>
                <w:color w:val="auto"/>
                <w:sz w:val="21"/>
                <w:szCs w:val="21"/>
                <w:highlight w:val="none"/>
              </w:rPr>
            </w:pPr>
            <w:r>
              <w:rPr>
                <w:color w:val="auto"/>
                <w:kern w:val="0"/>
                <w:sz w:val="21"/>
                <w:szCs w:val="21"/>
                <w:highlight w:val="none"/>
                <w:lang w:bidi="ar"/>
              </w:rPr>
              <w:t>按不同型号分列。</w:t>
            </w:r>
          </w:p>
        </w:tc>
      </w:tr>
      <w:tr w14:paraId="3D9E672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7AB9FC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4897BB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F32DCA3">
            <w:pPr>
              <w:widowControl/>
              <w:spacing w:line="440" w:lineRule="exact"/>
              <w:textAlignment w:val="center"/>
              <w:rPr>
                <w:color w:val="auto"/>
                <w:sz w:val="21"/>
                <w:szCs w:val="21"/>
                <w:highlight w:val="none"/>
              </w:rPr>
            </w:pPr>
            <w:r>
              <w:rPr>
                <w:color w:val="auto"/>
                <w:kern w:val="0"/>
                <w:sz w:val="21"/>
                <w:szCs w:val="21"/>
                <w:highlight w:val="none"/>
                <w:lang w:bidi="ar"/>
              </w:rPr>
              <w:t>（1）单开道岔</w:t>
            </w:r>
          </w:p>
        </w:tc>
        <w:tc>
          <w:tcPr>
            <w:tcW w:w="1677" w:type="dxa"/>
            <w:tcBorders>
              <w:top w:val="nil"/>
              <w:left w:val="nil"/>
              <w:bottom w:val="single" w:color="auto" w:sz="8" w:space="0"/>
              <w:right w:val="single" w:color="auto" w:sz="8" w:space="0"/>
            </w:tcBorders>
            <w:shd w:val="clear" w:color="000000" w:fill="FFFFFF"/>
            <w:vAlign w:val="center"/>
          </w:tcPr>
          <w:p w14:paraId="309B0960">
            <w:pPr>
              <w:widowControl/>
              <w:spacing w:line="440" w:lineRule="exact"/>
              <w:jc w:val="center"/>
              <w:textAlignment w:val="center"/>
              <w:rPr>
                <w:color w:val="auto"/>
                <w:sz w:val="21"/>
                <w:szCs w:val="21"/>
                <w:highlight w:val="none"/>
              </w:rPr>
            </w:pPr>
            <w:r>
              <w:rPr>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2A1BF93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C243CF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940CB1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2A5D74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6637CB0">
            <w:pPr>
              <w:widowControl/>
              <w:spacing w:line="440" w:lineRule="exact"/>
              <w:textAlignment w:val="center"/>
              <w:rPr>
                <w:color w:val="auto"/>
                <w:sz w:val="21"/>
                <w:szCs w:val="21"/>
                <w:highlight w:val="none"/>
              </w:rPr>
            </w:pPr>
            <w:r>
              <w:rPr>
                <w:color w:val="auto"/>
                <w:kern w:val="0"/>
                <w:sz w:val="21"/>
                <w:szCs w:val="21"/>
                <w:highlight w:val="none"/>
                <w:lang w:bidi="ar"/>
              </w:rPr>
              <w:t>（2）特种道岔</w:t>
            </w:r>
          </w:p>
        </w:tc>
        <w:tc>
          <w:tcPr>
            <w:tcW w:w="1677" w:type="dxa"/>
            <w:tcBorders>
              <w:top w:val="nil"/>
              <w:left w:val="nil"/>
              <w:bottom w:val="single" w:color="auto" w:sz="8" w:space="0"/>
              <w:right w:val="single" w:color="auto" w:sz="8" w:space="0"/>
            </w:tcBorders>
            <w:shd w:val="clear" w:color="000000" w:fill="FFFFFF"/>
            <w:vAlign w:val="center"/>
          </w:tcPr>
          <w:p w14:paraId="129574DA">
            <w:pPr>
              <w:widowControl/>
              <w:spacing w:line="440" w:lineRule="exact"/>
              <w:jc w:val="center"/>
              <w:textAlignment w:val="center"/>
              <w:rPr>
                <w:color w:val="auto"/>
                <w:sz w:val="21"/>
                <w:szCs w:val="21"/>
                <w:highlight w:val="none"/>
              </w:rPr>
            </w:pPr>
            <w:r>
              <w:rPr>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2F4443B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B8B931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E1658A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BEBA1A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BB395DE">
            <w:pPr>
              <w:widowControl/>
              <w:spacing w:line="440" w:lineRule="exact"/>
              <w:textAlignment w:val="center"/>
              <w:rPr>
                <w:color w:val="auto"/>
                <w:sz w:val="21"/>
                <w:szCs w:val="21"/>
                <w:highlight w:val="none"/>
              </w:rPr>
            </w:pPr>
            <w:r>
              <w:rPr>
                <w:color w:val="auto"/>
                <w:kern w:val="0"/>
                <w:sz w:val="21"/>
                <w:szCs w:val="21"/>
                <w:highlight w:val="none"/>
                <w:lang w:bidi="ar"/>
              </w:rPr>
              <w:t>二、改建</w:t>
            </w:r>
          </w:p>
        </w:tc>
        <w:tc>
          <w:tcPr>
            <w:tcW w:w="1677" w:type="dxa"/>
            <w:tcBorders>
              <w:top w:val="nil"/>
              <w:left w:val="nil"/>
              <w:bottom w:val="single" w:color="auto" w:sz="8" w:space="0"/>
              <w:right w:val="single" w:color="auto" w:sz="8" w:space="0"/>
            </w:tcBorders>
            <w:shd w:val="clear" w:color="000000" w:fill="FFFFFF"/>
            <w:vAlign w:val="center"/>
          </w:tcPr>
          <w:p w14:paraId="27E5B5F9">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690B4E3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C2CCD4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1B9AFB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489FFE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9D6DABC">
            <w:pPr>
              <w:widowControl/>
              <w:spacing w:line="440" w:lineRule="exact"/>
              <w:textAlignment w:val="center"/>
              <w:rPr>
                <w:color w:val="auto"/>
                <w:sz w:val="21"/>
                <w:szCs w:val="21"/>
                <w:highlight w:val="none"/>
              </w:rPr>
            </w:pPr>
            <w:r>
              <w:rPr>
                <w:color w:val="auto"/>
                <w:kern w:val="0"/>
                <w:sz w:val="21"/>
                <w:szCs w:val="21"/>
                <w:highlight w:val="none"/>
                <w:lang w:bidi="ar"/>
              </w:rPr>
              <w:t>（一）线路（含道床）</w:t>
            </w:r>
          </w:p>
        </w:tc>
        <w:tc>
          <w:tcPr>
            <w:tcW w:w="1677" w:type="dxa"/>
            <w:tcBorders>
              <w:top w:val="nil"/>
              <w:left w:val="nil"/>
              <w:bottom w:val="single" w:color="auto" w:sz="8" w:space="0"/>
              <w:right w:val="single" w:color="auto" w:sz="8" w:space="0"/>
            </w:tcBorders>
            <w:shd w:val="clear" w:color="000000" w:fill="FFFFFF"/>
            <w:vAlign w:val="center"/>
          </w:tcPr>
          <w:p w14:paraId="581F4E24">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1CB2ABF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C24E53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2FDB9D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E48857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76C952A">
            <w:pPr>
              <w:widowControl/>
              <w:spacing w:line="440" w:lineRule="exact"/>
              <w:textAlignment w:val="center"/>
              <w:rPr>
                <w:color w:val="auto"/>
                <w:sz w:val="21"/>
                <w:szCs w:val="21"/>
                <w:highlight w:val="none"/>
              </w:rPr>
            </w:pPr>
            <w:r>
              <w:rPr>
                <w:color w:val="auto"/>
                <w:kern w:val="0"/>
                <w:sz w:val="21"/>
                <w:szCs w:val="21"/>
                <w:highlight w:val="none"/>
                <w:lang w:bidi="ar"/>
              </w:rPr>
              <w:t>（二）道岔</w:t>
            </w:r>
          </w:p>
        </w:tc>
        <w:tc>
          <w:tcPr>
            <w:tcW w:w="1677" w:type="dxa"/>
            <w:tcBorders>
              <w:top w:val="nil"/>
              <w:left w:val="nil"/>
              <w:bottom w:val="single" w:color="auto" w:sz="8" w:space="0"/>
              <w:right w:val="single" w:color="auto" w:sz="8" w:space="0"/>
            </w:tcBorders>
            <w:shd w:val="clear" w:color="000000" w:fill="FFFFFF"/>
            <w:vAlign w:val="center"/>
          </w:tcPr>
          <w:p w14:paraId="03C1814D">
            <w:pPr>
              <w:widowControl/>
              <w:spacing w:line="440" w:lineRule="exact"/>
              <w:jc w:val="center"/>
              <w:textAlignment w:val="center"/>
              <w:rPr>
                <w:color w:val="auto"/>
                <w:sz w:val="21"/>
                <w:szCs w:val="21"/>
                <w:highlight w:val="none"/>
              </w:rPr>
            </w:pPr>
            <w:r>
              <w:rPr>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6F0B0A4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A9F580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6DFE03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E6E9FFD">
            <w:pPr>
              <w:widowControl/>
              <w:spacing w:line="440" w:lineRule="exact"/>
              <w:jc w:val="center"/>
              <w:textAlignment w:val="center"/>
              <w:rPr>
                <w:color w:val="auto"/>
                <w:sz w:val="21"/>
                <w:szCs w:val="21"/>
                <w:highlight w:val="none"/>
              </w:rPr>
            </w:pPr>
            <w:r>
              <w:rPr>
                <w:color w:val="auto"/>
                <w:kern w:val="0"/>
                <w:sz w:val="21"/>
                <w:szCs w:val="21"/>
                <w:highlight w:val="none"/>
                <w:lang w:bidi="ar"/>
              </w:rPr>
              <w:t>10</w:t>
            </w:r>
          </w:p>
        </w:tc>
        <w:tc>
          <w:tcPr>
            <w:tcW w:w="3816" w:type="dxa"/>
            <w:tcBorders>
              <w:top w:val="nil"/>
              <w:left w:val="nil"/>
              <w:bottom w:val="single" w:color="auto" w:sz="8" w:space="0"/>
              <w:right w:val="single" w:color="auto" w:sz="8" w:space="0"/>
            </w:tcBorders>
            <w:shd w:val="clear" w:color="000000" w:fill="FFFFFF"/>
            <w:vAlign w:val="center"/>
          </w:tcPr>
          <w:p w14:paraId="0D8919C0">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车辆基地</w:t>
            </w:r>
          </w:p>
        </w:tc>
        <w:tc>
          <w:tcPr>
            <w:tcW w:w="1677" w:type="dxa"/>
            <w:tcBorders>
              <w:top w:val="nil"/>
              <w:left w:val="nil"/>
              <w:bottom w:val="single" w:color="auto" w:sz="8" w:space="0"/>
              <w:right w:val="single" w:color="auto" w:sz="8" w:space="0"/>
            </w:tcBorders>
            <w:shd w:val="clear" w:color="000000" w:fill="FFFFFF"/>
            <w:vAlign w:val="center"/>
          </w:tcPr>
          <w:p w14:paraId="58FD9EAE">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3A6387CE">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包括库内线、库外线与出入线，车辆段与停车场分列。</w:t>
            </w:r>
          </w:p>
        </w:tc>
      </w:tr>
      <w:tr w14:paraId="2D92636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F19A1A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C78DC3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511D37E">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一、新建</w:t>
            </w:r>
          </w:p>
        </w:tc>
        <w:tc>
          <w:tcPr>
            <w:tcW w:w="1677" w:type="dxa"/>
            <w:tcBorders>
              <w:top w:val="nil"/>
              <w:left w:val="nil"/>
              <w:bottom w:val="single" w:color="auto" w:sz="8" w:space="0"/>
              <w:right w:val="single" w:color="auto" w:sz="8" w:space="0"/>
            </w:tcBorders>
            <w:shd w:val="clear" w:color="000000" w:fill="FFFFFF"/>
            <w:vAlign w:val="center"/>
          </w:tcPr>
          <w:p w14:paraId="6923E54F">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1F41A08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614398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578450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24D984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48A2FC7">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（一）铺轨（含道床）</w:t>
            </w:r>
          </w:p>
        </w:tc>
        <w:tc>
          <w:tcPr>
            <w:tcW w:w="1677" w:type="dxa"/>
            <w:tcBorders>
              <w:top w:val="nil"/>
              <w:left w:val="nil"/>
              <w:bottom w:val="single" w:color="auto" w:sz="8" w:space="0"/>
              <w:right w:val="single" w:color="auto" w:sz="8" w:space="0"/>
            </w:tcBorders>
            <w:shd w:val="clear" w:color="000000" w:fill="FFFFFF"/>
            <w:vAlign w:val="center"/>
          </w:tcPr>
          <w:p w14:paraId="4B238555">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34637B53">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1D1B47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A4445D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BB7C28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2E5ADE2">
            <w:pPr>
              <w:widowControl/>
              <w:spacing w:line="440" w:lineRule="exact"/>
              <w:textAlignment w:val="center"/>
              <w:rPr>
                <w:color w:val="auto"/>
                <w:sz w:val="21"/>
                <w:szCs w:val="21"/>
                <w:highlight w:val="none"/>
              </w:rPr>
            </w:pPr>
            <w:r>
              <w:rPr>
                <w:color w:val="auto"/>
                <w:kern w:val="0"/>
                <w:sz w:val="21"/>
                <w:szCs w:val="21"/>
                <w:highlight w:val="none"/>
                <w:lang w:bidi="ar"/>
              </w:rPr>
              <w:t>1.</w:t>
            </w:r>
            <w:r>
              <w:rPr>
                <w:rFonts w:hint="eastAsia" w:ascii="宋体" w:hAnsi="宋体" w:cs="宋体"/>
                <w:color w:val="auto"/>
                <w:kern w:val="0"/>
                <w:sz w:val="21"/>
                <w:szCs w:val="21"/>
                <w:highlight w:val="none"/>
                <w:lang w:bidi="ar"/>
              </w:rPr>
              <w:t>碎石道床</w:t>
            </w:r>
          </w:p>
        </w:tc>
        <w:tc>
          <w:tcPr>
            <w:tcW w:w="1677" w:type="dxa"/>
            <w:tcBorders>
              <w:top w:val="nil"/>
              <w:left w:val="nil"/>
              <w:bottom w:val="single" w:color="auto" w:sz="8" w:space="0"/>
              <w:right w:val="single" w:color="auto" w:sz="8" w:space="0"/>
            </w:tcBorders>
            <w:shd w:val="clear" w:color="000000" w:fill="FFFFFF"/>
            <w:vAlign w:val="center"/>
          </w:tcPr>
          <w:p w14:paraId="3BEF4F28">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1CEAC8F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7715D0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56A539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1852C3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61EA914">
            <w:pPr>
              <w:widowControl/>
              <w:spacing w:line="440" w:lineRule="exact"/>
              <w:textAlignment w:val="center"/>
              <w:rPr>
                <w:color w:val="auto"/>
                <w:sz w:val="21"/>
                <w:szCs w:val="21"/>
                <w:highlight w:val="none"/>
              </w:rPr>
            </w:pPr>
            <w:r>
              <w:rPr>
                <w:color w:val="auto"/>
                <w:kern w:val="0"/>
                <w:sz w:val="21"/>
                <w:szCs w:val="21"/>
                <w:highlight w:val="none"/>
                <w:lang w:bidi="ar"/>
              </w:rPr>
              <w:t>2.</w:t>
            </w:r>
            <w:r>
              <w:rPr>
                <w:rFonts w:hint="eastAsia" w:ascii="宋体" w:hAnsi="宋体" w:cs="宋体"/>
                <w:color w:val="auto"/>
                <w:kern w:val="0"/>
                <w:sz w:val="21"/>
                <w:szCs w:val="21"/>
                <w:highlight w:val="none"/>
                <w:lang w:bidi="ar"/>
              </w:rPr>
              <w:t>整体道床</w:t>
            </w:r>
          </w:p>
        </w:tc>
        <w:tc>
          <w:tcPr>
            <w:tcW w:w="1677" w:type="dxa"/>
            <w:tcBorders>
              <w:top w:val="nil"/>
              <w:left w:val="nil"/>
              <w:bottom w:val="single" w:color="auto" w:sz="8" w:space="0"/>
              <w:right w:val="single" w:color="auto" w:sz="8" w:space="0"/>
            </w:tcBorders>
            <w:shd w:val="clear" w:color="000000" w:fill="FFFFFF"/>
            <w:vAlign w:val="center"/>
          </w:tcPr>
          <w:p w14:paraId="07288ED3">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0707CD2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2155C1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0840E9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71F38C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FDE69A0">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（二）铺道岔</w:t>
            </w:r>
          </w:p>
        </w:tc>
        <w:tc>
          <w:tcPr>
            <w:tcW w:w="1677" w:type="dxa"/>
            <w:tcBorders>
              <w:top w:val="nil"/>
              <w:left w:val="nil"/>
              <w:bottom w:val="single" w:color="auto" w:sz="8" w:space="0"/>
              <w:right w:val="single" w:color="auto" w:sz="8" w:space="0"/>
            </w:tcBorders>
            <w:shd w:val="clear" w:color="000000" w:fill="FFFFFF"/>
            <w:vAlign w:val="center"/>
          </w:tcPr>
          <w:p w14:paraId="212B4AE7">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6259588E">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按不同型号分列。</w:t>
            </w:r>
          </w:p>
        </w:tc>
      </w:tr>
      <w:tr w14:paraId="2B642E1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2AD211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6C67BF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4C8F306">
            <w:pPr>
              <w:widowControl/>
              <w:spacing w:line="440" w:lineRule="exact"/>
              <w:textAlignment w:val="center"/>
              <w:rPr>
                <w:color w:val="auto"/>
                <w:sz w:val="21"/>
                <w:szCs w:val="21"/>
                <w:highlight w:val="none"/>
              </w:rPr>
            </w:pPr>
            <w:r>
              <w:rPr>
                <w:color w:val="auto"/>
                <w:kern w:val="0"/>
                <w:sz w:val="21"/>
                <w:szCs w:val="21"/>
                <w:highlight w:val="none"/>
                <w:lang w:bidi="ar"/>
              </w:rPr>
              <w:t>1.</w:t>
            </w:r>
            <w:r>
              <w:rPr>
                <w:rFonts w:hint="eastAsia" w:ascii="宋体" w:hAnsi="宋体" w:cs="宋体"/>
                <w:color w:val="auto"/>
                <w:kern w:val="0"/>
                <w:sz w:val="21"/>
                <w:szCs w:val="21"/>
                <w:highlight w:val="none"/>
                <w:lang w:bidi="ar"/>
              </w:rPr>
              <w:t>单开道岔</w:t>
            </w:r>
          </w:p>
        </w:tc>
        <w:tc>
          <w:tcPr>
            <w:tcW w:w="1677" w:type="dxa"/>
            <w:tcBorders>
              <w:top w:val="nil"/>
              <w:left w:val="nil"/>
              <w:bottom w:val="single" w:color="auto" w:sz="8" w:space="0"/>
              <w:right w:val="single" w:color="auto" w:sz="8" w:space="0"/>
            </w:tcBorders>
            <w:shd w:val="clear" w:color="000000" w:fill="FFFFFF"/>
            <w:vAlign w:val="center"/>
          </w:tcPr>
          <w:p w14:paraId="066CAF9C">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39E3F62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DB7045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B461FC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885482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717DD3E">
            <w:pPr>
              <w:widowControl/>
              <w:spacing w:line="440" w:lineRule="exact"/>
              <w:textAlignment w:val="center"/>
              <w:rPr>
                <w:color w:val="auto"/>
                <w:sz w:val="21"/>
                <w:szCs w:val="21"/>
                <w:highlight w:val="none"/>
              </w:rPr>
            </w:pPr>
            <w:r>
              <w:rPr>
                <w:color w:val="auto"/>
                <w:kern w:val="0"/>
                <w:sz w:val="21"/>
                <w:szCs w:val="21"/>
                <w:highlight w:val="none"/>
                <w:lang w:bidi="ar"/>
              </w:rPr>
              <w:t>2.</w:t>
            </w:r>
            <w:r>
              <w:rPr>
                <w:rFonts w:hint="eastAsia" w:ascii="宋体" w:hAnsi="宋体" w:cs="宋体"/>
                <w:color w:val="auto"/>
                <w:kern w:val="0"/>
                <w:sz w:val="21"/>
                <w:szCs w:val="21"/>
                <w:highlight w:val="none"/>
                <w:lang w:bidi="ar"/>
              </w:rPr>
              <w:t>特种道岔</w:t>
            </w:r>
          </w:p>
        </w:tc>
        <w:tc>
          <w:tcPr>
            <w:tcW w:w="1677" w:type="dxa"/>
            <w:tcBorders>
              <w:top w:val="nil"/>
              <w:left w:val="nil"/>
              <w:bottom w:val="single" w:color="auto" w:sz="8" w:space="0"/>
              <w:right w:val="single" w:color="auto" w:sz="8" w:space="0"/>
            </w:tcBorders>
            <w:shd w:val="clear" w:color="000000" w:fill="FFFFFF"/>
            <w:vAlign w:val="center"/>
          </w:tcPr>
          <w:p w14:paraId="29DC8436">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6A29E9D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4342E1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D84AA1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B50A9A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0EB880A">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二、改建</w:t>
            </w:r>
          </w:p>
        </w:tc>
        <w:tc>
          <w:tcPr>
            <w:tcW w:w="1677" w:type="dxa"/>
            <w:tcBorders>
              <w:top w:val="nil"/>
              <w:left w:val="nil"/>
              <w:bottom w:val="single" w:color="auto" w:sz="8" w:space="0"/>
              <w:right w:val="single" w:color="auto" w:sz="8" w:space="0"/>
            </w:tcBorders>
            <w:shd w:val="clear" w:color="000000" w:fill="FFFFFF"/>
            <w:vAlign w:val="center"/>
          </w:tcPr>
          <w:p w14:paraId="43549A71">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516053E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130A81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23FBCE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A05CB4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4F33EFD">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（一）线路（含道床）</w:t>
            </w:r>
          </w:p>
        </w:tc>
        <w:tc>
          <w:tcPr>
            <w:tcW w:w="1677" w:type="dxa"/>
            <w:tcBorders>
              <w:top w:val="nil"/>
              <w:left w:val="nil"/>
              <w:bottom w:val="single" w:color="auto" w:sz="8" w:space="0"/>
              <w:right w:val="single" w:color="auto" w:sz="8" w:space="0"/>
            </w:tcBorders>
            <w:shd w:val="clear" w:color="000000" w:fill="FFFFFF"/>
            <w:vAlign w:val="center"/>
          </w:tcPr>
          <w:p w14:paraId="4EA3EAF1">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47F351A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E70FDC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5264F9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1388F5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560BC5F">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（二）道岔</w:t>
            </w:r>
          </w:p>
        </w:tc>
        <w:tc>
          <w:tcPr>
            <w:tcW w:w="1677" w:type="dxa"/>
            <w:tcBorders>
              <w:top w:val="nil"/>
              <w:left w:val="nil"/>
              <w:bottom w:val="single" w:color="auto" w:sz="8" w:space="0"/>
              <w:right w:val="single" w:color="auto" w:sz="8" w:space="0"/>
            </w:tcBorders>
            <w:shd w:val="clear" w:color="000000" w:fill="FFFFFF"/>
            <w:vAlign w:val="center"/>
          </w:tcPr>
          <w:p w14:paraId="0B2BBEE3">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组</w:t>
            </w:r>
          </w:p>
        </w:tc>
        <w:tc>
          <w:tcPr>
            <w:tcW w:w="6704" w:type="dxa"/>
            <w:tcBorders>
              <w:top w:val="nil"/>
              <w:left w:val="nil"/>
              <w:bottom w:val="single" w:color="auto" w:sz="8" w:space="0"/>
              <w:right w:val="single" w:color="auto" w:sz="8" w:space="0"/>
            </w:tcBorders>
            <w:shd w:val="clear" w:color="000000" w:fill="FFFFFF"/>
            <w:vAlign w:val="center"/>
          </w:tcPr>
          <w:p w14:paraId="3BF614E3">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66E099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905931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DEC8948">
            <w:pPr>
              <w:widowControl/>
              <w:spacing w:line="440" w:lineRule="exact"/>
              <w:jc w:val="center"/>
              <w:textAlignment w:val="center"/>
              <w:rPr>
                <w:color w:val="auto"/>
                <w:sz w:val="21"/>
                <w:szCs w:val="21"/>
                <w:highlight w:val="none"/>
              </w:rPr>
            </w:pPr>
            <w:r>
              <w:rPr>
                <w:color w:val="auto"/>
                <w:kern w:val="0"/>
                <w:sz w:val="21"/>
                <w:szCs w:val="21"/>
                <w:highlight w:val="none"/>
                <w:lang w:bidi="ar"/>
              </w:rPr>
              <w:t>11</w:t>
            </w:r>
          </w:p>
        </w:tc>
        <w:tc>
          <w:tcPr>
            <w:tcW w:w="3816" w:type="dxa"/>
            <w:tcBorders>
              <w:top w:val="nil"/>
              <w:left w:val="nil"/>
              <w:bottom w:val="single" w:color="auto" w:sz="8" w:space="0"/>
              <w:right w:val="single" w:color="auto" w:sz="8" w:space="0"/>
            </w:tcBorders>
            <w:shd w:val="clear" w:color="000000" w:fill="FFFFFF"/>
            <w:vAlign w:val="center"/>
          </w:tcPr>
          <w:p w14:paraId="47B32DED">
            <w:pPr>
              <w:widowControl/>
              <w:spacing w:line="440" w:lineRule="exact"/>
              <w:textAlignment w:val="center"/>
              <w:rPr>
                <w:color w:val="auto"/>
                <w:sz w:val="21"/>
                <w:szCs w:val="21"/>
                <w:highlight w:val="none"/>
              </w:rPr>
            </w:pPr>
            <w:r>
              <w:rPr>
                <w:color w:val="auto"/>
                <w:kern w:val="0"/>
                <w:sz w:val="21"/>
                <w:szCs w:val="21"/>
                <w:highlight w:val="none"/>
                <w:lang w:bidi="ar"/>
              </w:rPr>
              <w:t>线路有关工程</w:t>
            </w:r>
          </w:p>
        </w:tc>
        <w:tc>
          <w:tcPr>
            <w:tcW w:w="1677" w:type="dxa"/>
            <w:tcBorders>
              <w:top w:val="nil"/>
              <w:left w:val="nil"/>
              <w:bottom w:val="single" w:color="auto" w:sz="8" w:space="0"/>
              <w:right w:val="single" w:color="auto" w:sz="8" w:space="0"/>
            </w:tcBorders>
            <w:shd w:val="clear" w:color="000000" w:fill="FFFFFF"/>
            <w:vAlign w:val="center"/>
          </w:tcPr>
          <w:p w14:paraId="72708342">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0D60CBC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0C127D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B37712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03D6B1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E39CC41">
            <w:pPr>
              <w:widowControl/>
              <w:spacing w:line="440" w:lineRule="exact"/>
              <w:textAlignment w:val="center"/>
              <w:rPr>
                <w:color w:val="auto"/>
                <w:sz w:val="21"/>
                <w:szCs w:val="21"/>
                <w:highlight w:val="none"/>
              </w:rPr>
            </w:pPr>
            <w:r>
              <w:rPr>
                <w:color w:val="auto"/>
                <w:kern w:val="0"/>
                <w:sz w:val="21"/>
                <w:szCs w:val="21"/>
                <w:highlight w:val="none"/>
                <w:lang w:bidi="ar"/>
              </w:rPr>
              <w:t>一、有关工程</w:t>
            </w:r>
          </w:p>
        </w:tc>
        <w:tc>
          <w:tcPr>
            <w:tcW w:w="1677" w:type="dxa"/>
            <w:tcBorders>
              <w:top w:val="nil"/>
              <w:left w:val="nil"/>
              <w:bottom w:val="single" w:color="auto" w:sz="8" w:space="0"/>
              <w:right w:val="single" w:color="auto" w:sz="8" w:space="0"/>
            </w:tcBorders>
            <w:shd w:val="clear" w:color="000000" w:fill="FFFFFF"/>
            <w:vAlign w:val="center"/>
          </w:tcPr>
          <w:p w14:paraId="50C0E7A1">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51D49BBA">
            <w:pPr>
              <w:widowControl/>
              <w:spacing w:line="440" w:lineRule="exact"/>
              <w:textAlignment w:val="center"/>
              <w:rPr>
                <w:color w:val="auto"/>
                <w:sz w:val="21"/>
                <w:szCs w:val="21"/>
                <w:highlight w:val="none"/>
              </w:rPr>
            </w:pPr>
            <w:r>
              <w:rPr>
                <w:color w:val="auto"/>
                <w:kern w:val="0"/>
                <w:sz w:val="21"/>
                <w:szCs w:val="21"/>
                <w:highlight w:val="none"/>
                <w:lang w:bidi="ar"/>
              </w:rPr>
              <w:t>包括车挡、线路标志及有关信号标志、CPⅢ布网、平交道、线路沉落整修等。</w:t>
            </w:r>
          </w:p>
        </w:tc>
      </w:tr>
      <w:tr w14:paraId="2647C79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9CEBE1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AF893F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859E0D3">
            <w:pPr>
              <w:widowControl/>
              <w:spacing w:line="440" w:lineRule="exact"/>
              <w:textAlignment w:val="center"/>
              <w:rPr>
                <w:color w:val="auto"/>
                <w:sz w:val="21"/>
                <w:szCs w:val="21"/>
                <w:highlight w:val="none"/>
              </w:rPr>
            </w:pPr>
            <w:r>
              <w:rPr>
                <w:color w:val="auto"/>
                <w:kern w:val="0"/>
                <w:sz w:val="21"/>
                <w:szCs w:val="21"/>
                <w:highlight w:val="none"/>
                <w:lang w:bidi="ar"/>
              </w:rPr>
              <w:t>二、线路备料</w:t>
            </w:r>
          </w:p>
        </w:tc>
        <w:tc>
          <w:tcPr>
            <w:tcW w:w="1677" w:type="dxa"/>
            <w:tcBorders>
              <w:top w:val="nil"/>
              <w:left w:val="nil"/>
              <w:bottom w:val="single" w:color="auto" w:sz="8" w:space="0"/>
              <w:right w:val="single" w:color="auto" w:sz="8" w:space="0"/>
            </w:tcBorders>
            <w:shd w:val="clear" w:color="000000" w:fill="FFFFFF"/>
            <w:vAlign w:val="center"/>
          </w:tcPr>
          <w:p w14:paraId="06D94E1E">
            <w:pPr>
              <w:widowControl/>
              <w:spacing w:line="440" w:lineRule="exact"/>
              <w:jc w:val="center"/>
              <w:textAlignment w:val="center"/>
              <w:rPr>
                <w:color w:val="auto"/>
                <w:sz w:val="21"/>
                <w:szCs w:val="21"/>
                <w:highlight w:val="none"/>
              </w:rPr>
            </w:pPr>
            <w:r>
              <w:rPr>
                <w:color w:val="auto"/>
                <w:kern w:val="0"/>
                <w:sz w:val="21"/>
                <w:szCs w:val="21"/>
                <w:highlight w:val="none"/>
                <w:lang w:bidi="ar"/>
              </w:rPr>
              <w:t>铺轨公里</w:t>
            </w:r>
          </w:p>
        </w:tc>
        <w:tc>
          <w:tcPr>
            <w:tcW w:w="6704" w:type="dxa"/>
            <w:tcBorders>
              <w:top w:val="nil"/>
              <w:left w:val="nil"/>
              <w:bottom w:val="single" w:color="auto" w:sz="8" w:space="0"/>
              <w:right w:val="single" w:color="auto" w:sz="8" w:space="0"/>
            </w:tcBorders>
            <w:shd w:val="clear" w:color="000000" w:fill="FFFFFF"/>
            <w:vAlign w:val="center"/>
          </w:tcPr>
          <w:p w14:paraId="7F38E19F">
            <w:pPr>
              <w:widowControl/>
              <w:spacing w:line="440" w:lineRule="exact"/>
              <w:textAlignment w:val="center"/>
              <w:rPr>
                <w:color w:val="auto"/>
                <w:sz w:val="21"/>
                <w:szCs w:val="21"/>
                <w:highlight w:val="none"/>
              </w:rPr>
            </w:pPr>
            <w:r>
              <w:rPr>
                <w:color w:val="auto"/>
                <w:kern w:val="0"/>
                <w:sz w:val="21"/>
                <w:szCs w:val="21"/>
                <w:highlight w:val="none"/>
                <w:lang w:bidi="ar"/>
              </w:rPr>
              <w:t>包括备料、钢轨架等。</w:t>
            </w:r>
          </w:p>
        </w:tc>
      </w:tr>
      <w:tr w14:paraId="3145BCF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F20B08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864F64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21FA3AC">
            <w:pPr>
              <w:widowControl/>
              <w:spacing w:line="440" w:lineRule="exact"/>
              <w:textAlignment w:val="center"/>
              <w:rPr>
                <w:color w:val="auto"/>
                <w:sz w:val="21"/>
                <w:szCs w:val="21"/>
                <w:highlight w:val="none"/>
              </w:rPr>
            </w:pPr>
            <w:r>
              <w:rPr>
                <w:color w:val="auto"/>
                <w:kern w:val="0"/>
                <w:sz w:val="21"/>
                <w:szCs w:val="21"/>
                <w:highlight w:val="none"/>
                <w:lang w:bidi="ar"/>
              </w:rPr>
              <w:t>三、铺轨基地</w:t>
            </w:r>
          </w:p>
        </w:tc>
        <w:tc>
          <w:tcPr>
            <w:tcW w:w="1677" w:type="dxa"/>
            <w:tcBorders>
              <w:top w:val="nil"/>
              <w:left w:val="nil"/>
              <w:bottom w:val="single" w:color="auto" w:sz="8" w:space="0"/>
              <w:right w:val="single" w:color="auto" w:sz="8" w:space="0"/>
            </w:tcBorders>
            <w:shd w:val="clear" w:color="000000" w:fill="FFFFFF"/>
            <w:vAlign w:val="center"/>
          </w:tcPr>
          <w:p w14:paraId="13B82A4B">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47CAD44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24A11A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2B002A4">
            <w:pPr>
              <w:widowControl/>
              <w:spacing w:line="440" w:lineRule="exact"/>
              <w:jc w:val="center"/>
              <w:textAlignment w:val="center"/>
              <w:rPr>
                <w:color w:val="auto"/>
                <w:sz w:val="21"/>
                <w:szCs w:val="21"/>
                <w:highlight w:val="none"/>
              </w:rPr>
            </w:pPr>
            <w:r>
              <w:rPr>
                <w:color w:val="auto"/>
                <w:kern w:val="0"/>
                <w:sz w:val="21"/>
                <w:szCs w:val="21"/>
                <w:highlight w:val="none"/>
                <w:lang w:bidi="ar"/>
              </w:rPr>
              <w:t>四</w:t>
            </w:r>
          </w:p>
        </w:tc>
        <w:tc>
          <w:tcPr>
            <w:tcW w:w="704" w:type="dxa"/>
            <w:tcBorders>
              <w:top w:val="nil"/>
              <w:left w:val="nil"/>
              <w:bottom w:val="single" w:color="auto" w:sz="8" w:space="0"/>
              <w:right w:val="single" w:color="auto" w:sz="8" w:space="0"/>
            </w:tcBorders>
            <w:shd w:val="clear" w:color="000000" w:fill="FFFFFF"/>
            <w:vAlign w:val="center"/>
          </w:tcPr>
          <w:p w14:paraId="139E52C9">
            <w:pPr>
              <w:widowControl/>
              <w:spacing w:line="440" w:lineRule="exact"/>
              <w:jc w:val="center"/>
              <w:textAlignment w:val="center"/>
              <w:rPr>
                <w:color w:val="auto"/>
                <w:sz w:val="21"/>
                <w:szCs w:val="21"/>
                <w:highlight w:val="none"/>
              </w:rPr>
            </w:pPr>
            <w:r>
              <w:rPr>
                <w:color w:val="auto"/>
                <w:kern w:val="0"/>
                <w:sz w:val="21"/>
                <w:szCs w:val="21"/>
                <w:highlight w:val="none"/>
                <w:lang w:bidi="ar"/>
              </w:rPr>
              <w:t>12</w:t>
            </w:r>
          </w:p>
        </w:tc>
        <w:tc>
          <w:tcPr>
            <w:tcW w:w="3816" w:type="dxa"/>
            <w:tcBorders>
              <w:top w:val="nil"/>
              <w:left w:val="nil"/>
              <w:bottom w:val="single" w:color="auto" w:sz="8" w:space="0"/>
              <w:right w:val="single" w:color="auto" w:sz="8" w:space="0"/>
            </w:tcBorders>
            <w:shd w:val="clear" w:color="000000" w:fill="FFFFFF"/>
            <w:vAlign w:val="center"/>
          </w:tcPr>
          <w:p w14:paraId="5023113D">
            <w:pPr>
              <w:widowControl/>
              <w:spacing w:line="440" w:lineRule="exact"/>
              <w:textAlignment w:val="center"/>
              <w:rPr>
                <w:color w:val="auto"/>
                <w:sz w:val="21"/>
                <w:szCs w:val="21"/>
                <w:highlight w:val="none"/>
              </w:rPr>
            </w:pPr>
            <w:r>
              <w:rPr>
                <w:color w:val="auto"/>
                <w:kern w:val="0"/>
                <w:sz w:val="21"/>
                <w:szCs w:val="21"/>
                <w:highlight w:val="none"/>
                <w:lang w:bidi="ar"/>
              </w:rPr>
              <w:t>通信</w:t>
            </w:r>
          </w:p>
        </w:tc>
        <w:tc>
          <w:tcPr>
            <w:tcW w:w="1677" w:type="dxa"/>
            <w:tcBorders>
              <w:top w:val="nil"/>
              <w:left w:val="nil"/>
              <w:bottom w:val="single" w:color="auto" w:sz="8" w:space="0"/>
              <w:right w:val="single" w:color="auto" w:sz="8" w:space="0"/>
            </w:tcBorders>
            <w:shd w:val="clear" w:color="000000" w:fill="FFFFFF"/>
            <w:vAlign w:val="center"/>
          </w:tcPr>
          <w:p w14:paraId="3B9BE4C3">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30812A3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D0EAF8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B0ADA7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4CA28B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DF566FA">
            <w:pPr>
              <w:widowControl/>
              <w:spacing w:line="440" w:lineRule="exact"/>
              <w:textAlignment w:val="center"/>
              <w:rPr>
                <w:color w:val="auto"/>
                <w:sz w:val="21"/>
                <w:szCs w:val="21"/>
                <w:highlight w:val="none"/>
              </w:rPr>
            </w:pPr>
            <w:r>
              <w:rPr>
                <w:color w:val="auto"/>
                <w:kern w:val="0"/>
                <w:sz w:val="21"/>
                <w:szCs w:val="21"/>
                <w:highlight w:val="none"/>
                <w:lang w:bidi="ar"/>
              </w:rPr>
              <w:t>一、专用通信系统</w:t>
            </w:r>
          </w:p>
        </w:tc>
        <w:tc>
          <w:tcPr>
            <w:tcW w:w="1677" w:type="dxa"/>
            <w:tcBorders>
              <w:top w:val="nil"/>
              <w:left w:val="nil"/>
              <w:bottom w:val="single" w:color="auto" w:sz="8" w:space="0"/>
              <w:right w:val="single" w:color="auto" w:sz="8" w:space="0"/>
            </w:tcBorders>
            <w:shd w:val="clear" w:color="000000" w:fill="FFFFFF"/>
            <w:vAlign w:val="center"/>
          </w:tcPr>
          <w:p w14:paraId="1DE4BAE8">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3F79EDF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234671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FC8D03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22F597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4F4E3C8">
            <w:pPr>
              <w:widowControl/>
              <w:spacing w:line="440" w:lineRule="exact"/>
              <w:textAlignment w:val="center"/>
              <w:rPr>
                <w:color w:val="auto"/>
                <w:sz w:val="21"/>
                <w:szCs w:val="21"/>
                <w:highlight w:val="none"/>
              </w:rPr>
            </w:pPr>
            <w:r>
              <w:rPr>
                <w:color w:val="auto"/>
                <w:kern w:val="0"/>
                <w:sz w:val="21"/>
                <w:szCs w:val="21"/>
                <w:highlight w:val="none"/>
                <w:lang w:bidi="ar"/>
              </w:rPr>
              <w:t>二、乘客信息系统（PIS）</w:t>
            </w:r>
          </w:p>
        </w:tc>
        <w:tc>
          <w:tcPr>
            <w:tcW w:w="1677" w:type="dxa"/>
            <w:tcBorders>
              <w:top w:val="nil"/>
              <w:left w:val="nil"/>
              <w:bottom w:val="single" w:color="auto" w:sz="8" w:space="0"/>
              <w:right w:val="single" w:color="auto" w:sz="8" w:space="0"/>
            </w:tcBorders>
            <w:shd w:val="clear" w:color="000000" w:fill="FFFFFF"/>
            <w:vAlign w:val="center"/>
          </w:tcPr>
          <w:p w14:paraId="735C0597">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29A6649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8C0F4B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EB8DE3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1FC5DA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149DBDD">
            <w:pPr>
              <w:widowControl/>
              <w:spacing w:line="440" w:lineRule="exact"/>
              <w:textAlignment w:val="center"/>
              <w:rPr>
                <w:color w:val="auto"/>
                <w:sz w:val="21"/>
                <w:szCs w:val="21"/>
                <w:highlight w:val="none"/>
              </w:rPr>
            </w:pPr>
            <w:r>
              <w:rPr>
                <w:color w:val="auto"/>
                <w:kern w:val="0"/>
                <w:sz w:val="21"/>
                <w:szCs w:val="21"/>
                <w:highlight w:val="none"/>
                <w:lang w:bidi="ar"/>
              </w:rPr>
              <w:t>三、公安通信系统</w:t>
            </w:r>
          </w:p>
        </w:tc>
        <w:tc>
          <w:tcPr>
            <w:tcW w:w="1677" w:type="dxa"/>
            <w:tcBorders>
              <w:top w:val="nil"/>
              <w:left w:val="nil"/>
              <w:bottom w:val="single" w:color="auto" w:sz="8" w:space="0"/>
              <w:right w:val="single" w:color="auto" w:sz="8" w:space="0"/>
            </w:tcBorders>
            <w:shd w:val="clear" w:color="000000" w:fill="FFFFFF"/>
            <w:vAlign w:val="center"/>
          </w:tcPr>
          <w:p w14:paraId="6D5C573F">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555CAAA3">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6706BA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048C240">
            <w:pPr>
              <w:widowControl/>
              <w:spacing w:line="440" w:lineRule="exact"/>
              <w:jc w:val="center"/>
              <w:textAlignment w:val="center"/>
              <w:rPr>
                <w:color w:val="auto"/>
                <w:sz w:val="21"/>
                <w:szCs w:val="21"/>
                <w:highlight w:val="none"/>
              </w:rPr>
            </w:pPr>
            <w:r>
              <w:rPr>
                <w:color w:val="auto"/>
                <w:kern w:val="0"/>
                <w:sz w:val="21"/>
                <w:szCs w:val="21"/>
                <w:highlight w:val="none"/>
                <w:lang w:bidi="ar"/>
              </w:rPr>
              <w:t>五</w:t>
            </w:r>
          </w:p>
        </w:tc>
        <w:tc>
          <w:tcPr>
            <w:tcW w:w="704" w:type="dxa"/>
            <w:tcBorders>
              <w:top w:val="nil"/>
              <w:left w:val="nil"/>
              <w:bottom w:val="single" w:color="auto" w:sz="8" w:space="0"/>
              <w:right w:val="single" w:color="auto" w:sz="8" w:space="0"/>
            </w:tcBorders>
            <w:shd w:val="clear" w:color="000000" w:fill="FFFFFF"/>
            <w:vAlign w:val="center"/>
          </w:tcPr>
          <w:p w14:paraId="5130CB59">
            <w:pPr>
              <w:widowControl/>
              <w:spacing w:line="440" w:lineRule="exact"/>
              <w:jc w:val="center"/>
              <w:textAlignment w:val="center"/>
              <w:rPr>
                <w:color w:val="auto"/>
                <w:sz w:val="21"/>
                <w:szCs w:val="21"/>
                <w:highlight w:val="none"/>
              </w:rPr>
            </w:pPr>
            <w:r>
              <w:rPr>
                <w:color w:val="auto"/>
                <w:kern w:val="0"/>
                <w:sz w:val="21"/>
                <w:szCs w:val="21"/>
                <w:highlight w:val="none"/>
                <w:lang w:bidi="ar"/>
              </w:rPr>
              <w:t>13</w:t>
            </w:r>
          </w:p>
        </w:tc>
        <w:tc>
          <w:tcPr>
            <w:tcW w:w="3816" w:type="dxa"/>
            <w:tcBorders>
              <w:top w:val="nil"/>
              <w:left w:val="nil"/>
              <w:bottom w:val="single" w:color="auto" w:sz="8" w:space="0"/>
              <w:right w:val="single" w:color="auto" w:sz="8" w:space="0"/>
            </w:tcBorders>
            <w:shd w:val="clear" w:color="000000" w:fill="FFFFFF"/>
            <w:vAlign w:val="center"/>
          </w:tcPr>
          <w:p w14:paraId="5665A6FC">
            <w:pPr>
              <w:widowControl/>
              <w:spacing w:line="440" w:lineRule="exact"/>
              <w:textAlignment w:val="center"/>
              <w:rPr>
                <w:color w:val="auto"/>
                <w:sz w:val="21"/>
                <w:szCs w:val="21"/>
                <w:highlight w:val="none"/>
              </w:rPr>
            </w:pPr>
            <w:r>
              <w:rPr>
                <w:color w:val="auto"/>
                <w:kern w:val="0"/>
                <w:sz w:val="21"/>
                <w:szCs w:val="21"/>
                <w:highlight w:val="none"/>
                <w:lang w:bidi="ar"/>
              </w:rPr>
              <w:t>信号</w:t>
            </w:r>
          </w:p>
        </w:tc>
        <w:tc>
          <w:tcPr>
            <w:tcW w:w="1677" w:type="dxa"/>
            <w:tcBorders>
              <w:top w:val="nil"/>
              <w:left w:val="nil"/>
              <w:bottom w:val="single" w:color="auto" w:sz="8" w:space="0"/>
              <w:right w:val="single" w:color="auto" w:sz="8" w:space="0"/>
            </w:tcBorders>
            <w:shd w:val="clear" w:color="000000" w:fill="FFFFFF"/>
            <w:vAlign w:val="center"/>
          </w:tcPr>
          <w:p w14:paraId="18903F1E">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1656D7C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193938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0B8894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6869BD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185C3AE">
            <w:pPr>
              <w:widowControl/>
              <w:spacing w:line="440" w:lineRule="exact"/>
              <w:textAlignment w:val="center"/>
              <w:rPr>
                <w:color w:val="auto"/>
                <w:sz w:val="21"/>
                <w:szCs w:val="21"/>
                <w:highlight w:val="none"/>
              </w:rPr>
            </w:pPr>
            <w:r>
              <w:rPr>
                <w:color w:val="auto"/>
                <w:kern w:val="0"/>
                <w:sz w:val="21"/>
                <w:szCs w:val="21"/>
                <w:highlight w:val="none"/>
                <w:lang w:bidi="ar"/>
              </w:rPr>
              <w:t>一、正线</w:t>
            </w:r>
          </w:p>
        </w:tc>
        <w:tc>
          <w:tcPr>
            <w:tcW w:w="1677" w:type="dxa"/>
            <w:tcBorders>
              <w:top w:val="nil"/>
              <w:left w:val="nil"/>
              <w:bottom w:val="single" w:color="auto" w:sz="8" w:space="0"/>
              <w:right w:val="single" w:color="auto" w:sz="8" w:space="0"/>
            </w:tcBorders>
            <w:shd w:val="clear" w:color="000000" w:fill="FFFFFF"/>
            <w:vAlign w:val="center"/>
          </w:tcPr>
          <w:p w14:paraId="0D2D5187">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6E6BE4C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F25EE5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7AECE2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816454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349E466">
            <w:pPr>
              <w:widowControl/>
              <w:spacing w:line="440" w:lineRule="exact"/>
              <w:textAlignment w:val="center"/>
              <w:rPr>
                <w:color w:val="auto"/>
                <w:sz w:val="21"/>
                <w:szCs w:val="21"/>
                <w:highlight w:val="none"/>
              </w:rPr>
            </w:pPr>
            <w:r>
              <w:rPr>
                <w:color w:val="auto"/>
                <w:kern w:val="0"/>
                <w:sz w:val="21"/>
                <w:szCs w:val="21"/>
                <w:highlight w:val="none"/>
                <w:lang w:bidi="ar"/>
              </w:rPr>
              <w:t>二、运营控制中心</w:t>
            </w:r>
          </w:p>
        </w:tc>
        <w:tc>
          <w:tcPr>
            <w:tcW w:w="1677" w:type="dxa"/>
            <w:tcBorders>
              <w:top w:val="nil"/>
              <w:left w:val="nil"/>
              <w:bottom w:val="single" w:color="auto" w:sz="8" w:space="0"/>
              <w:right w:val="single" w:color="auto" w:sz="8" w:space="0"/>
            </w:tcBorders>
            <w:shd w:val="clear" w:color="000000" w:fill="FFFFFF"/>
            <w:vAlign w:val="center"/>
          </w:tcPr>
          <w:p w14:paraId="478B1551">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2C7033A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5C7CFA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357A09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8AF1DF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57D3998">
            <w:pPr>
              <w:widowControl/>
              <w:spacing w:line="440" w:lineRule="exact"/>
              <w:textAlignment w:val="center"/>
              <w:rPr>
                <w:color w:val="auto"/>
                <w:sz w:val="21"/>
                <w:szCs w:val="21"/>
                <w:highlight w:val="none"/>
              </w:rPr>
            </w:pPr>
            <w:r>
              <w:rPr>
                <w:color w:val="auto"/>
                <w:kern w:val="0"/>
                <w:sz w:val="21"/>
                <w:szCs w:val="21"/>
                <w:highlight w:val="none"/>
                <w:lang w:bidi="ar"/>
              </w:rPr>
              <w:t>三、车辆段</w:t>
            </w:r>
          </w:p>
        </w:tc>
        <w:tc>
          <w:tcPr>
            <w:tcW w:w="1677" w:type="dxa"/>
            <w:tcBorders>
              <w:top w:val="nil"/>
              <w:left w:val="nil"/>
              <w:bottom w:val="single" w:color="auto" w:sz="8" w:space="0"/>
              <w:right w:val="single" w:color="auto" w:sz="8" w:space="0"/>
            </w:tcBorders>
            <w:shd w:val="clear" w:color="000000" w:fill="FFFFFF"/>
            <w:vAlign w:val="center"/>
          </w:tcPr>
          <w:p w14:paraId="084EC1F1">
            <w:pPr>
              <w:widowControl/>
              <w:spacing w:line="440" w:lineRule="exact"/>
              <w:jc w:val="center"/>
              <w:textAlignment w:val="center"/>
              <w:rPr>
                <w:color w:val="auto"/>
                <w:sz w:val="21"/>
                <w:szCs w:val="21"/>
                <w:highlight w:val="none"/>
              </w:rPr>
            </w:pPr>
            <w:r>
              <w:rPr>
                <w:color w:val="auto"/>
                <w:kern w:val="0"/>
                <w:sz w:val="21"/>
                <w:szCs w:val="21"/>
                <w:highlight w:val="none"/>
                <w:lang w:bidi="ar"/>
              </w:rPr>
              <w:t>联锁道岔</w:t>
            </w:r>
          </w:p>
        </w:tc>
        <w:tc>
          <w:tcPr>
            <w:tcW w:w="6704" w:type="dxa"/>
            <w:tcBorders>
              <w:top w:val="nil"/>
              <w:left w:val="nil"/>
              <w:bottom w:val="single" w:color="auto" w:sz="8" w:space="0"/>
              <w:right w:val="single" w:color="auto" w:sz="8" w:space="0"/>
            </w:tcBorders>
            <w:shd w:val="clear" w:color="000000" w:fill="FFFFFF"/>
            <w:vAlign w:val="center"/>
          </w:tcPr>
          <w:p w14:paraId="537AF77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D0BD00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5C1EEB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FECAB7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0652BE6">
            <w:pPr>
              <w:widowControl/>
              <w:spacing w:line="440" w:lineRule="exact"/>
              <w:textAlignment w:val="center"/>
              <w:rPr>
                <w:color w:val="auto"/>
                <w:sz w:val="21"/>
                <w:szCs w:val="21"/>
                <w:highlight w:val="none"/>
              </w:rPr>
            </w:pPr>
            <w:r>
              <w:rPr>
                <w:color w:val="auto"/>
                <w:kern w:val="0"/>
                <w:sz w:val="21"/>
                <w:szCs w:val="21"/>
                <w:highlight w:val="none"/>
                <w:lang w:bidi="ar"/>
              </w:rPr>
              <w:t>四、停车场</w:t>
            </w:r>
          </w:p>
        </w:tc>
        <w:tc>
          <w:tcPr>
            <w:tcW w:w="1677" w:type="dxa"/>
            <w:tcBorders>
              <w:top w:val="nil"/>
              <w:left w:val="nil"/>
              <w:bottom w:val="single" w:color="auto" w:sz="8" w:space="0"/>
              <w:right w:val="single" w:color="auto" w:sz="8" w:space="0"/>
            </w:tcBorders>
            <w:shd w:val="clear" w:color="000000" w:fill="FFFFFF"/>
            <w:vAlign w:val="center"/>
          </w:tcPr>
          <w:p w14:paraId="103E914E">
            <w:pPr>
              <w:widowControl/>
              <w:spacing w:line="440" w:lineRule="exact"/>
              <w:jc w:val="center"/>
              <w:textAlignment w:val="center"/>
              <w:rPr>
                <w:color w:val="auto"/>
                <w:sz w:val="21"/>
                <w:szCs w:val="21"/>
                <w:highlight w:val="none"/>
              </w:rPr>
            </w:pPr>
            <w:r>
              <w:rPr>
                <w:color w:val="auto"/>
                <w:kern w:val="0"/>
                <w:sz w:val="21"/>
                <w:szCs w:val="21"/>
                <w:highlight w:val="none"/>
                <w:lang w:bidi="ar"/>
              </w:rPr>
              <w:t>联锁道岔</w:t>
            </w:r>
          </w:p>
        </w:tc>
        <w:tc>
          <w:tcPr>
            <w:tcW w:w="6704" w:type="dxa"/>
            <w:tcBorders>
              <w:top w:val="nil"/>
              <w:left w:val="nil"/>
              <w:bottom w:val="single" w:color="auto" w:sz="8" w:space="0"/>
              <w:right w:val="single" w:color="auto" w:sz="8" w:space="0"/>
            </w:tcBorders>
            <w:shd w:val="clear" w:color="000000" w:fill="FFFFFF"/>
            <w:vAlign w:val="center"/>
          </w:tcPr>
          <w:p w14:paraId="03D0822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89C394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6F4A17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4BD97D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8AE1C49">
            <w:pPr>
              <w:widowControl/>
              <w:spacing w:line="440" w:lineRule="exact"/>
              <w:textAlignment w:val="center"/>
              <w:rPr>
                <w:color w:val="auto"/>
                <w:sz w:val="21"/>
                <w:szCs w:val="21"/>
                <w:highlight w:val="none"/>
              </w:rPr>
            </w:pPr>
            <w:r>
              <w:rPr>
                <w:color w:val="auto"/>
                <w:kern w:val="0"/>
                <w:sz w:val="21"/>
                <w:szCs w:val="21"/>
                <w:highlight w:val="none"/>
                <w:lang w:bidi="ar"/>
              </w:rPr>
              <w:t>五、试车线</w:t>
            </w:r>
          </w:p>
        </w:tc>
        <w:tc>
          <w:tcPr>
            <w:tcW w:w="1677" w:type="dxa"/>
            <w:tcBorders>
              <w:top w:val="nil"/>
              <w:left w:val="nil"/>
              <w:bottom w:val="single" w:color="auto" w:sz="8" w:space="0"/>
              <w:right w:val="single" w:color="auto" w:sz="8" w:space="0"/>
            </w:tcBorders>
            <w:shd w:val="clear" w:color="000000" w:fill="FFFFFF"/>
            <w:vAlign w:val="center"/>
          </w:tcPr>
          <w:p w14:paraId="1E797DA3">
            <w:pPr>
              <w:widowControl/>
              <w:spacing w:line="440" w:lineRule="exact"/>
              <w:jc w:val="center"/>
              <w:textAlignment w:val="center"/>
              <w:rPr>
                <w:color w:val="auto"/>
                <w:sz w:val="21"/>
                <w:szCs w:val="21"/>
                <w:highlight w:val="none"/>
              </w:rPr>
            </w:pPr>
            <w:r>
              <w:rPr>
                <w:color w:val="auto"/>
                <w:kern w:val="0"/>
                <w:sz w:val="21"/>
                <w:szCs w:val="21"/>
                <w:highlight w:val="none"/>
                <w:lang w:bidi="ar"/>
              </w:rPr>
              <w:t>条</w:t>
            </w:r>
          </w:p>
        </w:tc>
        <w:tc>
          <w:tcPr>
            <w:tcW w:w="6704" w:type="dxa"/>
            <w:tcBorders>
              <w:top w:val="nil"/>
              <w:left w:val="nil"/>
              <w:bottom w:val="single" w:color="auto" w:sz="8" w:space="0"/>
              <w:right w:val="single" w:color="auto" w:sz="8" w:space="0"/>
            </w:tcBorders>
            <w:shd w:val="clear" w:color="000000" w:fill="FFFFFF"/>
            <w:vAlign w:val="center"/>
          </w:tcPr>
          <w:p w14:paraId="3B28E8C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096F7F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11A46B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E1A523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F933E4E">
            <w:pPr>
              <w:widowControl/>
              <w:spacing w:line="440" w:lineRule="exact"/>
              <w:textAlignment w:val="center"/>
              <w:rPr>
                <w:color w:val="auto"/>
                <w:sz w:val="21"/>
                <w:szCs w:val="21"/>
                <w:highlight w:val="none"/>
              </w:rPr>
            </w:pPr>
            <w:r>
              <w:rPr>
                <w:color w:val="auto"/>
                <w:kern w:val="0"/>
                <w:sz w:val="21"/>
                <w:szCs w:val="21"/>
                <w:highlight w:val="none"/>
                <w:lang w:bidi="ar"/>
              </w:rPr>
              <w:t>六、车载设备</w:t>
            </w:r>
          </w:p>
        </w:tc>
        <w:tc>
          <w:tcPr>
            <w:tcW w:w="1677" w:type="dxa"/>
            <w:tcBorders>
              <w:top w:val="nil"/>
              <w:left w:val="nil"/>
              <w:bottom w:val="single" w:color="auto" w:sz="8" w:space="0"/>
              <w:right w:val="single" w:color="auto" w:sz="8" w:space="0"/>
            </w:tcBorders>
            <w:shd w:val="clear" w:color="000000" w:fill="FFFFFF"/>
            <w:vAlign w:val="center"/>
          </w:tcPr>
          <w:p w14:paraId="6FA6D0CA">
            <w:pPr>
              <w:widowControl/>
              <w:spacing w:line="440" w:lineRule="exact"/>
              <w:jc w:val="center"/>
              <w:textAlignment w:val="center"/>
              <w:rPr>
                <w:color w:val="auto"/>
                <w:sz w:val="21"/>
                <w:szCs w:val="21"/>
                <w:highlight w:val="none"/>
              </w:rPr>
            </w:pPr>
            <w:r>
              <w:rPr>
                <w:color w:val="auto"/>
                <w:kern w:val="0"/>
                <w:sz w:val="21"/>
                <w:szCs w:val="21"/>
                <w:highlight w:val="none"/>
                <w:lang w:bidi="ar"/>
              </w:rPr>
              <w:t>列</w:t>
            </w:r>
          </w:p>
        </w:tc>
        <w:tc>
          <w:tcPr>
            <w:tcW w:w="6704" w:type="dxa"/>
            <w:tcBorders>
              <w:top w:val="nil"/>
              <w:left w:val="nil"/>
              <w:bottom w:val="single" w:color="auto" w:sz="8" w:space="0"/>
              <w:right w:val="single" w:color="auto" w:sz="8" w:space="0"/>
            </w:tcBorders>
            <w:shd w:val="clear" w:color="000000" w:fill="FFFFFF"/>
            <w:vAlign w:val="center"/>
          </w:tcPr>
          <w:p w14:paraId="0265C65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EF8FF1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D7E88C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E4C4A3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73F021D">
            <w:pPr>
              <w:widowControl/>
              <w:spacing w:line="440" w:lineRule="exact"/>
              <w:textAlignment w:val="center"/>
              <w:rPr>
                <w:color w:val="auto"/>
                <w:sz w:val="21"/>
                <w:szCs w:val="21"/>
                <w:highlight w:val="none"/>
              </w:rPr>
            </w:pPr>
            <w:r>
              <w:rPr>
                <w:color w:val="auto"/>
                <w:kern w:val="0"/>
                <w:sz w:val="21"/>
                <w:szCs w:val="21"/>
                <w:highlight w:val="none"/>
                <w:lang w:bidi="ar"/>
              </w:rPr>
              <w:t>七、维修与培训中心</w:t>
            </w:r>
          </w:p>
        </w:tc>
        <w:tc>
          <w:tcPr>
            <w:tcW w:w="1677" w:type="dxa"/>
            <w:tcBorders>
              <w:top w:val="nil"/>
              <w:left w:val="nil"/>
              <w:bottom w:val="single" w:color="auto" w:sz="8" w:space="0"/>
              <w:right w:val="single" w:color="auto" w:sz="8" w:space="0"/>
            </w:tcBorders>
            <w:shd w:val="clear" w:color="000000" w:fill="FFFFFF"/>
            <w:vAlign w:val="center"/>
          </w:tcPr>
          <w:p w14:paraId="73B1F788">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5530F79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5DB9D0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333C2B3">
            <w:pPr>
              <w:widowControl/>
              <w:spacing w:line="440" w:lineRule="exact"/>
              <w:jc w:val="center"/>
              <w:textAlignment w:val="center"/>
              <w:rPr>
                <w:color w:val="auto"/>
                <w:sz w:val="21"/>
                <w:szCs w:val="21"/>
                <w:highlight w:val="none"/>
              </w:rPr>
            </w:pPr>
            <w:r>
              <w:rPr>
                <w:color w:val="auto"/>
                <w:kern w:val="0"/>
                <w:sz w:val="21"/>
                <w:szCs w:val="21"/>
                <w:highlight w:val="none"/>
                <w:lang w:bidi="ar"/>
              </w:rPr>
              <w:t>六</w:t>
            </w:r>
          </w:p>
        </w:tc>
        <w:tc>
          <w:tcPr>
            <w:tcW w:w="704" w:type="dxa"/>
            <w:tcBorders>
              <w:top w:val="nil"/>
              <w:left w:val="nil"/>
              <w:bottom w:val="single" w:color="auto" w:sz="8" w:space="0"/>
              <w:right w:val="single" w:color="auto" w:sz="8" w:space="0"/>
            </w:tcBorders>
            <w:shd w:val="clear" w:color="000000" w:fill="FFFFFF"/>
            <w:vAlign w:val="center"/>
          </w:tcPr>
          <w:p w14:paraId="28C769D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7C0BA05">
            <w:pPr>
              <w:widowControl/>
              <w:spacing w:line="440" w:lineRule="exact"/>
              <w:textAlignment w:val="center"/>
              <w:rPr>
                <w:color w:val="auto"/>
                <w:sz w:val="21"/>
                <w:szCs w:val="21"/>
                <w:highlight w:val="none"/>
              </w:rPr>
            </w:pPr>
            <w:r>
              <w:rPr>
                <w:color w:val="auto"/>
                <w:kern w:val="0"/>
                <w:sz w:val="21"/>
                <w:szCs w:val="21"/>
                <w:highlight w:val="none"/>
                <w:lang w:bidi="ar"/>
              </w:rPr>
              <w:t>供电</w:t>
            </w:r>
          </w:p>
        </w:tc>
        <w:tc>
          <w:tcPr>
            <w:tcW w:w="1677" w:type="dxa"/>
            <w:tcBorders>
              <w:top w:val="nil"/>
              <w:left w:val="nil"/>
              <w:bottom w:val="single" w:color="auto" w:sz="8" w:space="0"/>
              <w:right w:val="single" w:color="auto" w:sz="8" w:space="0"/>
            </w:tcBorders>
            <w:shd w:val="clear" w:color="000000" w:fill="FFFFFF"/>
            <w:vAlign w:val="center"/>
          </w:tcPr>
          <w:p w14:paraId="3A3CDE4F">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1D203444">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B6E39F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F6371D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070A317">
            <w:pPr>
              <w:widowControl/>
              <w:spacing w:line="440" w:lineRule="exact"/>
              <w:jc w:val="center"/>
              <w:textAlignment w:val="center"/>
              <w:rPr>
                <w:color w:val="auto"/>
                <w:sz w:val="21"/>
                <w:szCs w:val="21"/>
                <w:highlight w:val="none"/>
              </w:rPr>
            </w:pPr>
            <w:r>
              <w:rPr>
                <w:color w:val="auto"/>
                <w:kern w:val="0"/>
                <w:sz w:val="21"/>
                <w:szCs w:val="21"/>
                <w:highlight w:val="none"/>
                <w:lang w:bidi="ar"/>
              </w:rPr>
              <w:t>14</w:t>
            </w:r>
          </w:p>
        </w:tc>
        <w:tc>
          <w:tcPr>
            <w:tcW w:w="3816" w:type="dxa"/>
            <w:tcBorders>
              <w:top w:val="nil"/>
              <w:left w:val="nil"/>
              <w:bottom w:val="single" w:color="auto" w:sz="8" w:space="0"/>
              <w:right w:val="single" w:color="auto" w:sz="8" w:space="0"/>
            </w:tcBorders>
            <w:shd w:val="clear" w:color="000000" w:fill="FFFFFF"/>
            <w:vAlign w:val="center"/>
          </w:tcPr>
          <w:p w14:paraId="7E3F46BB">
            <w:pPr>
              <w:widowControl/>
              <w:spacing w:line="440" w:lineRule="exact"/>
              <w:textAlignment w:val="center"/>
              <w:rPr>
                <w:color w:val="auto"/>
                <w:sz w:val="21"/>
                <w:szCs w:val="21"/>
                <w:highlight w:val="none"/>
              </w:rPr>
            </w:pPr>
            <w:r>
              <w:rPr>
                <w:color w:val="auto"/>
                <w:kern w:val="0"/>
                <w:sz w:val="21"/>
                <w:szCs w:val="21"/>
                <w:highlight w:val="none"/>
                <w:lang w:bidi="ar"/>
              </w:rPr>
              <w:t>主变电站</w:t>
            </w:r>
          </w:p>
        </w:tc>
        <w:tc>
          <w:tcPr>
            <w:tcW w:w="1677" w:type="dxa"/>
            <w:tcBorders>
              <w:top w:val="nil"/>
              <w:left w:val="nil"/>
              <w:bottom w:val="single" w:color="auto" w:sz="8" w:space="0"/>
              <w:right w:val="single" w:color="auto" w:sz="8" w:space="0"/>
            </w:tcBorders>
            <w:shd w:val="clear" w:color="000000" w:fill="FFFFFF"/>
            <w:vAlign w:val="center"/>
          </w:tcPr>
          <w:p w14:paraId="2944EB2B">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653B3BF2">
            <w:pPr>
              <w:widowControl/>
              <w:spacing w:line="440" w:lineRule="exact"/>
              <w:textAlignment w:val="center"/>
              <w:rPr>
                <w:color w:val="auto"/>
                <w:sz w:val="21"/>
                <w:szCs w:val="21"/>
                <w:highlight w:val="none"/>
              </w:rPr>
            </w:pPr>
            <w:r>
              <w:rPr>
                <w:color w:val="auto"/>
                <w:kern w:val="0"/>
                <w:sz w:val="21"/>
                <w:szCs w:val="21"/>
                <w:highlight w:val="none"/>
                <w:lang w:bidi="ar"/>
              </w:rPr>
              <w:t>包括主变电站的房屋建筑与装饰、电力进线、主变电站出线电缆通道、变电设备及安装等工程。</w:t>
            </w:r>
          </w:p>
        </w:tc>
      </w:tr>
      <w:tr w14:paraId="2A16A29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6CB9E7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D231FB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E3BC74D">
            <w:pPr>
              <w:widowControl/>
              <w:spacing w:line="440" w:lineRule="exact"/>
              <w:textAlignment w:val="center"/>
              <w:rPr>
                <w:color w:val="auto"/>
                <w:sz w:val="21"/>
                <w:szCs w:val="21"/>
                <w:highlight w:val="none"/>
              </w:rPr>
            </w:pPr>
            <w:r>
              <w:rPr>
                <w:color w:val="auto"/>
                <w:kern w:val="0"/>
                <w:sz w:val="21"/>
                <w:szCs w:val="21"/>
                <w:highlight w:val="none"/>
                <w:lang w:bidi="ar"/>
              </w:rPr>
              <w:t>一、主变电站</w:t>
            </w:r>
          </w:p>
        </w:tc>
        <w:tc>
          <w:tcPr>
            <w:tcW w:w="1677" w:type="dxa"/>
            <w:tcBorders>
              <w:top w:val="nil"/>
              <w:left w:val="nil"/>
              <w:bottom w:val="single" w:color="auto" w:sz="8" w:space="0"/>
              <w:right w:val="single" w:color="auto" w:sz="8" w:space="0"/>
            </w:tcBorders>
            <w:shd w:val="clear" w:color="000000" w:fill="FFFFFF"/>
            <w:vAlign w:val="center"/>
          </w:tcPr>
          <w:p w14:paraId="10340899">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77B07099">
            <w:pPr>
              <w:widowControl/>
              <w:spacing w:line="440" w:lineRule="exact"/>
              <w:textAlignment w:val="center"/>
              <w:rPr>
                <w:color w:val="auto"/>
                <w:sz w:val="21"/>
                <w:szCs w:val="21"/>
                <w:highlight w:val="none"/>
              </w:rPr>
            </w:pPr>
            <w:r>
              <w:rPr>
                <w:color w:val="auto"/>
                <w:kern w:val="0"/>
                <w:sz w:val="21"/>
                <w:szCs w:val="21"/>
                <w:highlight w:val="none"/>
                <w:lang w:bidi="ar"/>
              </w:rPr>
              <w:t>按不同主变电站分列。</w:t>
            </w:r>
          </w:p>
        </w:tc>
      </w:tr>
      <w:tr w14:paraId="582BCD1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FEFCBE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5B1C38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12E3427">
            <w:pPr>
              <w:widowControl/>
              <w:spacing w:line="440" w:lineRule="exact"/>
              <w:textAlignment w:val="center"/>
              <w:rPr>
                <w:color w:val="auto"/>
                <w:sz w:val="21"/>
                <w:szCs w:val="21"/>
                <w:highlight w:val="none"/>
              </w:rPr>
            </w:pPr>
            <w:r>
              <w:rPr>
                <w:color w:val="auto"/>
                <w:kern w:val="0"/>
                <w:sz w:val="21"/>
                <w:szCs w:val="21"/>
                <w:highlight w:val="none"/>
                <w:lang w:bidi="ar"/>
              </w:rPr>
              <w:t>（一）主变电站房屋</w:t>
            </w:r>
          </w:p>
        </w:tc>
        <w:tc>
          <w:tcPr>
            <w:tcW w:w="1677" w:type="dxa"/>
            <w:tcBorders>
              <w:top w:val="nil"/>
              <w:left w:val="nil"/>
              <w:bottom w:val="single" w:color="auto" w:sz="8" w:space="0"/>
              <w:right w:val="single" w:color="auto" w:sz="8" w:space="0"/>
            </w:tcBorders>
            <w:shd w:val="clear" w:color="000000" w:fill="FFFFFF"/>
            <w:vAlign w:val="center"/>
          </w:tcPr>
          <w:p w14:paraId="47823730">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66BCCFBC">
            <w:pPr>
              <w:widowControl/>
              <w:spacing w:line="440" w:lineRule="exact"/>
              <w:textAlignment w:val="center"/>
              <w:rPr>
                <w:color w:val="auto"/>
                <w:sz w:val="21"/>
                <w:szCs w:val="21"/>
                <w:highlight w:val="none"/>
              </w:rPr>
            </w:pPr>
            <w:r>
              <w:rPr>
                <w:color w:val="auto"/>
                <w:kern w:val="0"/>
                <w:sz w:val="21"/>
                <w:szCs w:val="21"/>
                <w:highlight w:val="none"/>
                <w:lang w:bidi="ar"/>
              </w:rPr>
              <w:t>包括主变电站房屋建筑与装饰，动力与照明，通风、空调与供暖，给水与排水、消防，道路，围墙，室外广场，绿化等。</w:t>
            </w:r>
          </w:p>
        </w:tc>
      </w:tr>
      <w:tr w14:paraId="26CAE9B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C890F1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0F99E1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E6AE7D8">
            <w:pPr>
              <w:widowControl/>
              <w:spacing w:line="440" w:lineRule="exact"/>
              <w:textAlignment w:val="center"/>
              <w:rPr>
                <w:color w:val="auto"/>
                <w:sz w:val="21"/>
                <w:szCs w:val="21"/>
                <w:highlight w:val="none"/>
              </w:rPr>
            </w:pPr>
            <w:r>
              <w:rPr>
                <w:color w:val="auto"/>
                <w:kern w:val="0"/>
                <w:sz w:val="21"/>
                <w:szCs w:val="21"/>
                <w:highlight w:val="none"/>
                <w:lang w:bidi="ar"/>
              </w:rPr>
              <w:t>（二）变电工程</w:t>
            </w:r>
          </w:p>
        </w:tc>
        <w:tc>
          <w:tcPr>
            <w:tcW w:w="1677" w:type="dxa"/>
            <w:tcBorders>
              <w:top w:val="nil"/>
              <w:left w:val="nil"/>
              <w:bottom w:val="single" w:color="auto" w:sz="8" w:space="0"/>
              <w:right w:val="single" w:color="auto" w:sz="8" w:space="0"/>
            </w:tcBorders>
            <w:shd w:val="clear" w:color="000000" w:fill="FFFFFF"/>
            <w:vAlign w:val="center"/>
          </w:tcPr>
          <w:p w14:paraId="21DED259">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ADFDE2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750B95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3FC42F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6ABAD1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0F38EAF">
            <w:pPr>
              <w:widowControl/>
              <w:spacing w:line="440" w:lineRule="exact"/>
              <w:textAlignment w:val="center"/>
              <w:rPr>
                <w:color w:val="auto"/>
                <w:sz w:val="21"/>
                <w:szCs w:val="21"/>
                <w:highlight w:val="none"/>
              </w:rPr>
            </w:pPr>
            <w:r>
              <w:rPr>
                <w:color w:val="auto"/>
                <w:kern w:val="0"/>
                <w:sz w:val="21"/>
                <w:szCs w:val="21"/>
                <w:highlight w:val="none"/>
                <w:lang w:bidi="ar"/>
              </w:rPr>
              <w:t>二、电力进线</w:t>
            </w:r>
          </w:p>
        </w:tc>
        <w:tc>
          <w:tcPr>
            <w:tcW w:w="1677" w:type="dxa"/>
            <w:tcBorders>
              <w:top w:val="nil"/>
              <w:left w:val="nil"/>
              <w:bottom w:val="single" w:color="auto" w:sz="8" w:space="0"/>
              <w:right w:val="single" w:color="auto" w:sz="8" w:space="0"/>
            </w:tcBorders>
            <w:shd w:val="clear" w:color="000000" w:fill="FFFFFF"/>
            <w:vAlign w:val="center"/>
          </w:tcPr>
          <w:p w14:paraId="2180A728">
            <w:pPr>
              <w:widowControl/>
              <w:spacing w:line="440" w:lineRule="exact"/>
              <w:jc w:val="center"/>
              <w:textAlignment w:val="center"/>
              <w:rPr>
                <w:color w:val="auto"/>
                <w:sz w:val="21"/>
                <w:szCs w:val="21"/>
                <w:highlight w:val="none"/>
              </w:rPr>
            </w:pPr>
            <w:r>
              <w:rPr>
                <w:color w:val="auto"/>
                <w:kern w:val="0"/>
                <w:sz w:val="21"/>
                <w:szCs w:val="21"/>
                <w:highlight w:val="none"/>
                <w:lang w:bidi="ar"/>
              </w:rPr>
              <w:t>km</w:t>
            </w:r>
          </w:p>
        </w:tc>
        <w:tc>
          <w:tcPr>
            <w:tcW w:w="6704" w:type="dxa"/>
            <w:tcBorders>
              <w:top w:val="nil"/>
              <w:left w:val="nil"/>
              <w:bottom w:val="single" w:color="auto" w:sz="8" w:space="0"/>
              <w:right w:val="single" w:color="auto" w:sz="8" w:space="0"/>
            </w:tcBorders>
            <w:shd w:val="clear" w:color="000000" w:fill="FFFFFF"/>
            <w:vAlign w:val="center"/>
          </w:tcPr>
          <w:p w14:paraId="4F93859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E13291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80EA91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A19BE5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AF84611">
            <w:pPr>
              <w:widowControl/>
              <w:spacing w:line="440" w:lineRule="exact"/>
              <w:textAlignment w:val="center"/>
              <w:rPr>
                <w:color w:val="auto"/>
                <w:sz w:val="21"/>
                <w:szCs w:val="21"/>
                <w:highlight w:val="none"/>
              </w:rPr>
            </w:pPr>
            <w:r>
              <w:rPr>
                <w:color w:val="auto"/>
                <w:kern w:val="0"/>
                <w:sz w:val="21"/>
                <w:szCs w:val="21"/>
                <w:highlight w:val="none"/>
                <w:lang w:bidi="ar"/>
              </w:rPr>
              <w:t>（一）220kv输电线路</w:t>
            </w:r>
          </w:p>
        </w:tc>
        <w:tc>
          <w:tcPr>
            <w:tcW w:w="1677" w:type="dxa"/>
            <w:tcBorders>
              <w:top w:val="nil"/>
              <w:left w:val="nil"/>
              <w:bottom w:val="single" w:color="auto" w:sz="8" w:space="0"/>
              <w:right w:val="single" w:color="auto" w:sz="8" w:space="0"/>
            </w:tcBorders>
            <w:shd w:val="clear" w:color="000000" w:fill="FFFFFF"/>
            <w:vAlign w:val="center"/>
          </w:tcPr>
          <w:p w14:paraId="7DA6B6CD">
            <w:pPr>
              <w:widowControl/>
              <w:spacing w:line="440" w:lineRule="exact"/>
              <w:jc w:val="center"/>
              <w:textAlignment w:val="center"/>
              <w:rPr>
                <w:color w:val="auto"/>
                <w:sz w:val="21"/>
                <w:szCs w:val="21"/>
                <w:highlight w:val="none"/>
              </w:rPr>
            </w:pPr>
            <w:r>
              <w:rPr>
                <w:color w:val="auto"/>
                <w:kern w:val="0"/>
                <w:sz w:val="21"/>
                <w:szCs w:val="21"/>
                <w:highlight w:val="none"/>
                <w:lang w:bidi="ar"/>
              </w:rPr>
              <w:t>km</w:t>
            </w:r>
          </w:p>
        </w:tc>
        <w:tc>
          <w:tcPr>
            <w:tcW w:w="6704" w:type="dxa"/>
            <w:tcBorders>
              <w:top w:val="nil"/>
              <w:left w:val="nil"/>
              <w:bottom w:val="single" w:color="auto" w:sz="8" w:space="0"/>
              <w:right w:val="single" w:color="auto" w:sz="8" w:space="0"/>
            </w:tcBorders>
            <w:shd w:val="clear" w:color="000000" w:fill="FFFFFF"/>
            <w:vAlign w:val="center"/>
          </w:tcPr>
          <w:p w14:paraId="12AB36A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7C00BB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5CE2D4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D15FFB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DD3A060">
            <w:pPr>
              <w:widowControl/>
              <w:spacing w:line="440" w:lineRule="exact"/>
              <w:textAlignment w:val="center"/>
              <w:rPr>
                <w:color w:val="auto"/>
                <w:sz w:val="21"/>
                <w:szCs w:val="21"/>
                <w:highlight w:val="none"/>
              </w:rPr>
            </w:pPr>
            <w:r>
              <w:rPr>
                <w:color w:val="auto"/>
                <w:kern w:val="0"/>
                <w:sz w:val="21"/>
                <w:szCs w:val="21"/>
                <w:highlight w:val="none"/>
                <w:lang w:bidi="ar"/>
              </w:rPr>
              <w:t>（二）110kv输电线路</w:t>
            </w:r>
          </w:p>
        </w:tc>
        <w:tc>
          <w:tcPr>
            <w:tcW w:w="1677" w:type="dxa"/>
            <w:tcBorders>
              <w:top w:val="nil"/>
              <w:left w:val="nil"/>
              <w:bottom w:val="single" w:color="auto" w:sz="8" w:space="0"/>
              <w:right w:val="single" w:color="auto" w:sz="8" w:space="0"/>
            </w:tcBorders>
            <w:shd w:val="clear" w:color="000000" w:fill="FFFFFF"/>
            <w:vAlign w:val="center"/>
          </w:tcPr>
          <w:p w14:paraId="04F65839">
            <w:pPr>
              <w:widowControl/>
              <w:spacing w:line="440" w:lineRule="exact"/>
              <w:jc w:val="center"/>
              <w:textAlignment w:val="center"/>
              <w:rPr>
                <w:color w:val="auto"/>
                <w:sz w:val="21"/>
                <w:szCs w:val="21"/>
                <w:highlight w:val="none"/>
              </w:rPr>
            </w:pPr>
            <w:r>
              <w:rPr>
                <w:color w:val="auto"/>
                <w:kern w:val="0"/>
                <w:sz w:val="21"/>
                <w:szCs w:val="21"/>
                <w:highlight w:val="none"/>
                <w:lang w:bidi="ar"/>
              </w:rPr>
              <w:t>km</w:t>
            </w:r>
          </w:p>
        </w:tc>
        <w:tc>
          <w:tcPr>
            <w:tcW w:w="6704" w:type="dxa"/>
            <w:tcBorders>
              <w:top w:val="nil"/>
              <w:left w:val="nil"/>
              <w:bottom w:val="single" w:color="auto" w:sz="8" w:space="0"/>
              <w:right w:val="single" w:color="auto" w:sz="8" w:space="0"/>
            </w:tcBorders>
            <w:shd w:val="clear" w:color="000000" w:fill="FFFFFF"/>
            <w:vAlign w:val="center"/>
          </w:tcPr>
          <w:p w14:paraId="2844EFD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D64A65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0497AD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46BBC3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4AC33C5">
            <w:pPr>
              <w:widowControl/>
              <w:spacing w:line="440" w:lineRule="exact"/>
              <w:textAlignment w:val="center"/>
              <w:rPr>
                <w:color w:val="auto"/>
                <w:sz w:val="21"/>
                <w:szCs w:val="21"/>
                <w:highlight w:val="none"/>
              </w:rPr>
            </w:pPr>
            <w:r>
              <w:rPr>
                <w:color w:val="auto"/>
                <w:kern w:val="0"/>
                <w:sz w:val="21"/>
                <w:szCs w:val="21"/>
                <w:highlight w:val="none"/>
                <w:lang w:bidi="ar"/>
              </w:rPr>
              <w:t>（三）35kv输电线路</w:t>
            </w:r>
          </w:p>
        </w:tc>
        <w:tc>
          <w:tcPr>
            <w:tcW w:w="1677" w:type="dxa"/>
            <w:tcBorders>
              <w:top w:val="nil"/>
              <w:left w:val="nil"/>
              <w:bottom w:val="single" w:color="auto" w:sz="8" w:space="0"/>
              <w:right w:val="single" w:color="auto" w:sz="8" w:space="0"/>
            </w:tcBorders>
            <w:shd w:val="clear" w:color="000000" w:fill="FFFFFF"/>
            <w:vAlign w:val="center"/>
          </w:tcPr>
          <w:p w14:paraId="2634063C">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6397508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B49E33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4843CF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8BD8AC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E3F3DBE">
            <w:pPr>
              <w:widowControl/>
              <w:spacing w:line="440" w:lineRule="exact"/>
              <w:textAlignment w:val="center"/>
              <w:rPr>
                <w:color w:val="auto"/>
                <w:sz w:val="21"/>
                <w:szCs w:val="21"/>
                <w:highlight w:val="none"/>
              </w:rPr>
            </w:pPr>
            <w:r>
              <w:rPr>
                <w:color w:val="auto"/>
                <w:kern w:val="0"/>
                <w:sz w:val="21"/>
                <w:szCs w:val="21"/>
                <w:highlight w:val="none"/>
                <w:lang w:bidi="ar"/>
              </w:rPr>
              <w:t>（四）其他</w:t>
            </w:r>
          </w:p>
        </w:tc>
        <w:tc>
          <w:tcPr>
            <w:tcW w:w="1677" w:type="dxa"/>
            <w:tcBorders>
              <w:top w:val="nil"/>
              <w:left w:val="nil"/>
              <w:bottom w:val="single" w:color="auto" w:sz="8" w:space="0"/>
              <w:right w:val="single" w:color="auto" w:sz="8" w:space="0"/>
            </w:tcBorders>
            <w:shd w:val="clear" w:color="000000" w:fill="FFFFFF"/>
            <w:vAlign w:val="center"/>
          </w:tcPr>
          <w:p w14:paraId="68577F7E">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F9DE119">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23CE10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982A8A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D92480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CE529B6">
            <w:pPr>
              <w:widowControl/>
              <w:spacing w:line="440" w:lineRule="exact"/>
              <w:textAlignment w:val="center"/>
              <w:rPr>
                <w:color w:val="auto"/>
                <w:sz w:val="21"/>
                <w:szCs w:val="21"/>
                <w:highlight w:val="none"/>
              </w:rPr>
            </w:pPr>
            <w:r>
              <w:rPr>
                <w:color w:val="auto"/>
                <w:kern w:val="0"/>
                <w:sz w:val="21"/>
                <w:szCs w:val="21"/>
                <w:highlight w:val="none"/>
                <w:lang w:bidi="ar"/>
              </w:rPr>
              <w:t>三、主变电站出线电缆通道</w:t>
            </w:r>
          </w:p>
        </w:tc>
        <w:tc>
          <w:tcPr>
            <w:tcW w:w="1677" w:type="dxa"/>
            <w:tcBorders>
              <w:top w:val="nil"/>
              <w:left w:val="nil"/>
              <w:bottom w:val="single" w:color="auto" w:sz="8" w:space="0"/>
              <w:right w:val="single" w:color="auto" w:sz="8" w:space="0"/>
            </w:tcBorders>
            <w:shd w:val="clear" w:color="000000" w:fill="FFFFFF"/>
            <w:vAlign w:val="center"/>
          </w:tcPr>
          <w:p w14:paraId="3A887959">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18E74A5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AF6338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5622A6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63511E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2A07A4E">
            <w:pPr>
              <w:widowControl/>
              <w:spacing w:line="440" w:lineRule="exact"/>
              <w:textAlignment w:val="center"/>
              <w:rPr>
                <w:color w:val="auto"/>
                <w:sz w:val="21"/>
                <w:szCs w:val="21"/>
                <w:highlight w:val="none"/>
              </w:rPr>
            </w:pPr>
            <w:r>
              <w:rPr>
                <w:color w:val="auto"/>
                <w:kern w:val="0"/>
                <w:sz w:val="21"/>
                <w:szCs w:val="21"/>
                <w:highlight w:val="none"/>
                <w:lang w:bidi="ar"/>
              </w:rPr>
              <w:t>四、其他</w:t>
            </w:r>
          </w:p>
        </w:tc>
        <w:tc>
          <w:tcPr>
            <w:tcW w:w="1677" w:type="dxa"/>
            <w:tcBorders>
              <w:top w:val="nil"/>
              <w:left w:val="nil"/>
              <w:bottom w:val="single" w:color="auto" w:sz="8" w:space="0"/>
              <w:right w:val="single" w:color="auto" w:sz="8" w:space="0"/>
            </w:tcBorders>
            <w:shd w:val="clear" w:color="000000" w:fill="FFFFFF"/>
            <w:vAlign w:val="center"/>
          </w:tcPr>
          <w:p w14:paraId="00E2E335">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42DA82E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69171E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06EA08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26C6478">
            <w:pPr>
              <w:widowControl/>
              <w:spacing w:line="440" w:lineRule="exact"/>
              <w:jc w:val="center"/>
              <w:textAlignment w:val="center"/>
              <w:rPr>
                <w:color w:val="auto"/>
                <w:sz w:val="21"/>
                <w:szCs w:val="21"/>
                <w:highlight w:val="none"/>
              </w:rPr>
            </w:pPr>
            <w:r>
              <w:rPr>
                <w:color w:val="auto"/>
                <w:kern w:val="0"/>
                <w:sz w:val="21"/>
                <w:szCs w:val="21"/>
                <w:highlight w:val="none"/>
                <w:lang w:bidi="ar"/>
              </w:rPr>
              <w:t>15</w:t>
            </w:r>
          </w:p>
        </w:tc>
        <w:tc>
          <w:tcPr>
            <w:tcW w:w="3816" w:type="dxa"/>
            <w:tcBorders>
              <w:top w:val="nil"/>
              <w:left w:val="nil"/>
              <w:bottom w:val="single" w:color="auto" w:sz="8" w:space="0"/>
              <w:right w:val="single" w:color="auto" w:sz="8" w:space="0"/>
            </w:tcBorders>
            <w:shd w:val="clear" w:color="000000" w:fill="FFFFFF"/>
            <w:vAlign w:val="center"/>
          </w:tcPr>
          <w:p w14:paraId="50697986">
            <w:pPr>
              <w:widowControl/>
              <w:spacing w:line="440" w:lineRule="exact"/>
              <w:textAlignment w:val="center"/>
              <w:rPr>
                <w:color w:val="auto"/>
                <w:sz w:val="21"/>
                <w:szCs w:val="21"/>
                <w:highlight w:val="none"/>
              </w:rPr>
            </w:pPr>
            <w:r>
              <w:rPr>
                <w:color w:val="auto"/>
                <w:kern w:val="0"/>
                <w:sz w:val="21"/>
                <w:szCs w:val="21"/>
                <w:highlight w:val="none"/>
                <w:lang w:bidi="ar"/>
              </w:rPr>
              <w:t>变电所</w:t>
            </w:r>
          </w:p>
        </w:tc>
        <w:tc>
          <w:tcPr>
            <w:tcW w:w="1677" w:type="dxa"/>
            <w:tcBorders>
              <w:top w:val="nil"/>
              <w:left w:val="nil"/>
              <w:bottom w:val="single" w:color="auto" w:sz="8" w:space="0"/>
              <w:right w:val="single" w:color="auto" w:sz="8" w:space="0"/>
            </w:tcBorders>
            <w:shd w:val="clear" w:color="000000" w:fill="FFFFFF"/>
            <w:vAlign w:val="center"/>
          </w:tcPr>
          <w:p w14:paraId="6DAD9908">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550BB300">
            <w:pPr>
              <w:widowControl/>
              <w:spacing w:line="440" w:lineRule="exact"/>
              <w:textAlignment w:val="center"/>
              <w:rPr>
                <w:color w:val="auto"/>
                <w:sz w:val="21"/>
                <w:szCs w:val="21"/>
                <w:highlight w:val="none"/>
              </w:rPr>
            </w:pPr>
            <w:r>
              <w:rPr>
                <w:color w:val="auto"/>
                <w:kern w:val="0"/>
                <w:sz w:val="21"/>
                <w:szCs w:val="21"/>
                <w:highlight w:val="none"/>
                <w:lang w:bidi="ar"/>
              </w:rPr>
              <w:t>按牵引所、降压所、混合所、跟随所等不同类型的变电所分列。</w:t>
            </w:r>
          </w:p>
        </w:tc>
      </w:tr>
      <w:tr w14:paraId="1FE8679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0CE974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3E49CE3">
            <w:pPr>
              <w:widowControl/>
              <w:spacing w:line="440" w:lineRule="exact"/>
              <w:jc w:val="center"/>
              <w:textAlignment w:val="center"/>
              <w:rPr>
                <w:color w:val="auto"/>
                <w:sz w:val="21"/>
                <w:szCs w:val="21"/>
                <w:highlight w:val="none"/>
              </w:rPr>
            </w:pPr>
            <w:r>
              <w:rPr>
                <w:color w:val="auto"/>
                <w:kern w:val="0"/>
                <w:sz w:val="21"/>
                <w:szCs w:val="21"/>
                <w:highlight w:val="none"/>
                <w:lang w:bidi="ar"/>
              </w:rPr>
              <w:t>16</w:t>
            </w:r>
          </w:p>
        </w:tc>
        <w:tc>
          <w:tcPr>
            <w:tcW w:w="3816" w:type="dxa"/>
            <w:tcBorders>
              <w:top w:val="nil"/>
              <w:left w:val="nil"/>
              <w:bottom w:val="single" w:color="auto" w:sz="8" w:space="0"/>
              <w:right w:val="single" w:color="auto" w:sz="8" w:space="0"/>
            </w:tcBorders>
            <w:shd w:val="clear" w:color="000000" w:fill="FFFFFF"/>
            <w:vAlign w:val="center"/>
          </w:tcPr>
          <w:p w14:paraId="6D4B3E67">
            <w:pPr>
              <w:widowControl/>
              <w:spacing w:line="440" w:lineRule="exact"/>
              <w:textAlignment w:val="center"/>
              <w:rPr>
                <w:color w:val="auto"/>
                <w:sz w:val="21"/>
                <w:szCs w:val="21"/>
                <w:highlight w:val="none"/>
              </w:rPr>
            </w:pPr>
            <w:r>
              <w:rPr>
                <w:color w:val="auto"/>
                <w:kern w:val="0"/>
                <w:sz w:val="21"/>
                <w:szCs w:val="21"/>
                <w:highlight w:val="none"/>
                <w:lang w:bidi="ar"/>
              </w:rPr>
              <w:t>环网电缆</w:t>
            </w:r>
          </w:p>
        </w:tc>
        <w:tc>
          <w:tcPr>
            <w:tcW w:w="1677" w:type="dxa"/>
            <w:tcBorders>
              <w:top w:val="nil"/>
              <w:left w:val="nil"/>
              <w:bottom w:val="single" w:color="auto" w:sz="8" w:space="0"/>
              <w:right w:val="single" w:color="auto" w:sz="8" w:space="0"/>
            </w:tcBorders>
            <w:shd w:val="clear" w:color="000000" w:fill="FFFFFF"/>
            <w:vAlign w:val="center"/>
          </w:tcPr>
          <w:p w14:paraId="434435A4">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191E6B64">
            <w:pPr>
              <w:widowControl/>
              <w:spacing w:line="440" w:lineRule="exact"/>
              <w:textAlignment w:val="center"/>
              <w:rPr>
                <w:color w:val="auto"/>
                <w:sz w:val="21"/>
                <w:szCs w:val="21"/>
                <w:highlight w:val="none"/>
              </w:rPr>
            </w:pPr>
            <w:r>
              <w:rPr>
                <w:color w:val="auto"/>
                <w:kern w:val="0"/>
                <w:sz w:val="21"/>
                <w:szCs w:val="21"/>
                <w:highlight w:val="none"/>
                <w:lang w:bidi="ar"/>
              </w:rPr>
              <w:t>按正线、车辆段、停车场分列。</w:t>
            </w:r>
          </w:p>
        </w:tc>
      </w:tr>
      <w:tr w14:paraId="79B1F15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8DC2EE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F0236D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00939DE">
            <w:pPr>
              <w:widowControl/>
              <w:spacing w:line="440" w:lineRule="exact"/>
              <w:textAlignment w:val="center"/>
              <w:rPr>
                <w:color w:val="auto"/>
                <w:sz w:val="21"/>
                <w:szCs w:val="21"/>
                <w:highlight w:val="none"/>
              </w:rPr>
            </w:pPr>
            <w:r>
              <w:rPr>
                <w:color w:val="auto"/>
                <w:kern w:val="0"/>
                <w:sz w:val="21"/>
                <w:szCs w:val="21"/>
                <w:highlight w:val="none"/>
                <w:lang w:bidi="ar"/>
              </w:rPr>
              <w:t>（一）正线</w:t>
            </w:r>
          </w:p>
        </w:tc>
        <w:tc>
          <w:tcPr>
            <w:tcW w:w="1677" w:type="dxa"/>
            <w:tcBorders>
              <w:top w:val="nil"/>
              <w:left w:val="nil"/>
              <w:bottom w:val="single" w:color="auto" w:sz="8" w:space="0"/>
              <w:right w:val="single" w:color="auto" w:sz="8" w:space="0"/>
            </w:tcBorders>
            <w:shd w:val="clear" w:color="000000" w:fill="FFFFFF"/>
            <w:vAlign w:val="center"/>
          </w:tcPr>
          <w:p w14:paraId="20413686">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72CDEE9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1D55D2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D784F7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0F7154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3018C33">
            <w:pPr>
              <w:widowControl/>
              <w:spacing w:line="440" w:lineRule="exact"/>
              <w:textAlignment w:val="center"/>
              <w:rPr>
                <w:color w:val="auto"/>
                <w:sz w:val="21"/>
                <w:szCs w:val="21"/>
                <w:highlight w:val="none"/>
              </w:rPr>
            </w:pPr>
            <w:r>
              <w:rPr>
                <w:color w:val="auto"/>
                <w:kern w:val="0"/>
                <w:sz w:val="21"/>
                <w:szCs w:val="21"/>
                <w:highlight w:val="none"/>
                <w:lang w:bidi="ar"/>
              </w:rPr>
              <w:t>（二）车辆段</w:t>
            </w:r>
          </w:p>
        </w:tc>
        <w:tc>
          <w:tcPr>
            <w:tcW w:w="1677" w:type="dxa"/>
            <w:tcBorders>
              <w:top w:val="nil"/>
              <w:left w:val="nil"/>
              <w:bottom w:val="single" w:color="auto" w:sz="8" w:space="0"/>
              <w:right w:val="single" w:color="auto" w:sz="8" w:space="0"/>
            </w:tcBorders>
            <w:shd w:val="clear" w:color="000000" w:fill="FFFFFF"/>
            <w:vAlign w:val="center"/>
          </w:tcPr>
          <w:p w14:paraId="44E1CCA4">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488FB169">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06671C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2B5CC1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7B441C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19338C9">
            <w:pPr>
              <w:widowControl/>
              <w:spacing w:line="440" w:lineRule="exact"/>
              <w:textAlignment w:val="center"/>
              <w:rPr>
                <w:color w:val="auto"/>
                <w:sz w:val="21"/>
                <w:szCs w:val="21"/>
                <w:highlight w:val="none"/>
              </w:rPr>
            </w:pPr>
            <w:r>
              <w:rPr>
                <w:color w:val="auto"/>
                <w:kern w:val="0"/>
                <w:sz w:val="21"/>
                <w:szCs w:val="21"/>
                <w:highlight w:val="none"/>
                <w:lang w:bidi="ar"/>
              </w:rPr>
              <w:t>（三）停车场</w:t>
            </w:r>
          </w:p>
        </w:tc>
        <w:tc>
          <w:tcPr>
            <w:tcW w:w="1677" w:type="dxa"/>
            <w:tcBorders>
              <w:top w:val="nil"/>
              <w:left w:val="nil"/>
              <w:bottom w:val="single" w:color="auto" w:sz="8" w:space="0"/>
              <w:right w:val="single" w:color="auto" w:sz="8" w:space="0"/>
            </w:tcBorders>
            <w:shd w:val="clear" w:color="000000" w:fill="FFFFFF"/>
            <w:vAlign w:val="center"/>
          </w:tcPr>
          <w:p w14:paraId="0F46188E">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08C3D17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92CAC1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E0AA99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FA878C9">
            <w:pPr>
              <w:widowControl/>
              <w:spacing w:line="440" w:lineRule="exact"/>
              <w:jc w:val="center"/>
              <w:textAlignment w:val="center"/>
              <w:rPr>
                <w:color w:val="auto"/>
                <w:sz w:val="21"/>
                <w:szCs w:val="21"/>
                <w:highlight w:val="none"/>
              </w:rPr>
            </w:pPr>
            <w:r>
              <w:rPr>
                <w:color w:val="auto"/>
                <w:kern w:val="0"/>
                <w:sz w:val="21"/>
                <w:szCs w:val="21"/>
                <w:highlight w:val="none"/>
                <w:lang w:bidi="ar"/>
              </w:rPr>
              <w:t>17</w:t>
            </w:r>
          </w:p>
        </w:tc>
        <w:tc>
          <w:tcPr>
            <w:tcW w:w="3816" w:type="dxa"/>
            <w:tcBorders>
              <w:top w:val="nil"/>
              <w:left w:val="nil"/>
              <w:bottom w:val="single" w:color="auto" w:sz="8" w:space="0"/>
              <w:right w:val="single" w:color="auto" w:sz="8" w:space="0"/>
            </w:tcBorders>
            <w:shd w:val="clear" w:color="000000" w:fill="FFFFFF"/>
            <w:vAlign w:val="center"/>
          </w:tcPr>
          <w:p w14:paraId="1D928B95">
            <w:pPr>
              <w:widowControl/>
              <w:spacing w:line="440" w:lineRule="exact"/>
              <w:textAlignment w:val="center"/>
              <w:rPr>
                <w:color w:val="auto"/>
                <w:sz w:val="21"/>
                <w:szCs w:val="21"/>
                <w:highlight w:val="none"/>
              </w:rPr>
            </w:pPr>
            <w:r>
              <w:rPr>
                <w:color w:val="auto"/>
                <w:kern w:val="0"/>
                <w:sz w:val="21"/>
                <w:szCs w:val="21"/>
                <w:highlight w:val="none"/>
                <w:lang w:bidi="ar"/>
              </w:rPr>
              <w:t>接触网（轨）</w:t>
            </w:r>
          </w:p>
        </w:tc>
        <w:tc>
          <w:tcPr>
            <w:tcW w:w="1677" w:type="dxa"/>
            <w:tcBorders>
              <w:top w:val="nil"/>
              <w:left w:val="nil"/>
              <w:bottom w:val="single" w:color="auto" w:sz="8" w:space="0"/>
              <w:right w:val="single" w:color="auto" w:sz="8" w:space="0"/>
            </w:tcBorders>
            <w:shd w:val="clear" w:color="000000" w:fill="FFFFFF"/>
            <w:vAlign w:val="center"/>
          </w:tcPr>
          <w:p w14:paraId="37D85AC6">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08AFDED7">
            <w:pPr>
              <w:widowControl/>
              <w:spacing w:line="440" w:lineRule="exact"/>
              <w:textAlignment w:val="center"/>
              <w:rPr>
                <w:color w:val="auto"/>
                <w:sz w:val="21"/>
                <w:szCs w:val="21"/>
                <w:highlight w:val="none"/>
              </w:rPr>
            </w:pPr>
            <w:r>
              <w:rPr>
                <w:color w:val="auto"/>
                <w:kern w:val="0"/>
                <w:sz w:val="21"/>
                <w:szCs w:val="21"/>
                <w:highlight w:val="none"/>
                <w:lang w:bidi="ar"/>
              </w:rPr>
              <w:t>按正线、车辆段、停车场分列。</w:t>
            </w:r>
          </w:p>
        </w:tc>
      </w:tr>
      <w:tr w14:paraId="32D45CD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AF346E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8C2D14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EA7CAF3">
            <w:pPr>
              <w:widowControl/>
              <w:spacing w:line="440" w:lineRule="exact"/>
              <w:textAlignment w:val="center"/>
              <w:rPr>
                <w:color w:val="auto"/>
                <w:sz w:val="21"/>
                <w:szCs w:val="21"/>
                <w:highlight w:val="none"/>
              </w:rPr>
            </w:pPr>
            <w:r>
              <w:rPr>
                <w:color w:val="auto"/>
                <w:kern w:val="0"/>
                <w:sz w:val="21"/>
                <w:szCs w:val="21"/>
                <w:highlight w:val="none"/>
                <w:lang w:bidi="ar"/>
              </w:rPr>
              <w:t>一、接触网</w:t>
            </w:r>
          </w:p>
        </w:tc>
        <w:tc>
          <w:tcPr>
            <w:tcW w:w="1677" w:type="dxa"/>
            <w:tcBorders>
              <w:top w:val="nil"/>
              <w:left w:val="nil"/>
              <w:bottom w:val="single" w:color="auto" w:sz="8" w:space="0"/>
              <w:right w:val="single" w:color="auto" w:sz="8" w:space="0"/>
            </w:tcBorders>
            <w:shd w:val="clear" w:color="000000" w:fill="FFFFFF"/>
            <w:vAlign w:val="center"/>
          </w:tcPr>
          <w:p w14:paraId="6A282DAD">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6D6E71CC">
            <w:pPr>
              <w:widowControl/>
              <w:spacing w:line="440" w:lineRule="exact"/>
              <w:textAlignment w:val="center"/>
              <w:rPr>
                <w:color w:val="auto"/>
                <w:sz w:val="21"/>
                <w:szCs w:val="21"/>
                <w:highlight w:val="none"/>
              </w:rPr>
            </w:pPr>
            <w:r>
              <w:rPr>
                <w:color w:val="auto"/>
                <w:kern w:val="0"/>
                <w:sz w:val="21"/>
                <w:szCs w:val="21"/>
                <w:highlight w:val="none"/>
                <w:lang w:bidi="ar"/>
              </w:rPr>
              <w:t>包括刚性架空接触网和柔性架空接触网。</w:t>
            </w:r>
          </w:p>
        </w:tc>
      </w:tr>
      <w:tr w14:paraId="59D4C69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81C3A3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1AA115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1D98582">
            <w:pPr>
              <w:widowControl/>
              <w:spacing w:line="440" w:lineRule="exact"/>
              <w:textAlignment w:val="center"/>
              <w:rPr>
                <w:color w:val="auto"/>
                <w:sz w:val="21"/>
                <w:szCs w:val="21"/>
                <w:highlight w:val="none"/>
              </w:rPr>
            </w:pPr>
            <w:r>
              <w:rPr>
                <w:color w:val="auto"/>
                <w:kern w:val="0"/>
                <w:sz w:val="21"/>
                <w:szCs w:val="21"/>
                <w:highlight w:val="none"/>
                <w:lang w:bidi="ar"/>
              </w:rPr>
              <w:t>（一）正线</w:t>
            </w:r>
          </w:p>
        </w:tc>
        <w:tc>
          <w:tcPr>
            <w:tcW w:w="1677" w:type="dxa"/>
            <w:tcBorders>
              <w:top w:val="nil"/>
              <w:left w:val="nil"/>
              <w:bottom w:val="single" w:color="auto" w:sz="8" w:space="0"/>
              <w:right w:val="single" w:color="auto" w:sz="8" w:space="0"/>
            </w:tcBorders>
            <w:shd w:val="clear" w:color="000000" w:fill="FFFFFF"/>
            <w:vAlign w:val="center"/>
          </w:tcPr>
          <w:p w14:paraId="0EE6FDAE">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2097E79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774B55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0E7D70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D594A5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D9116EA">
            <w:pPr>
              <w:widowControl/>
              <w:spacing w:line="440" w:lineRule="exact"/>
              <w:textAlignment w:val="center"/>
              <w:rPr>
                <w:color w:val="auto"/>
                <w:sz w:val="21"/>
                <w:szCs w:val="21"/>
                <w:highlight w:val="none"/>
              </w:rPr>
            </w:pPr>
            <w:r>
              <w:rPr>
                <w:color w:val="auto"/>
                <w:kern w:val="0"/>
                <w:sz w:val="21"/>
                <w:szCs w:val="21"/>
                <w:highlight w:val="none"/>
                <w:lang w:bidi="ar"/>
              </w:rPr>
              <w:t>（二）车辆段</w:t>
            </w:r>
          </w:p>
        </w:tc>
        <w:tc>
          <w:tcPr>
            <w:tcW w:w="1677" w:type="dxa"/>
            <w:tcBorders>
              <w:top w:val="nil"/>
              <w:left w:val="nil"/>
              <w:bottom w:val="single" w:color="auto" w:sz="8" w:space="0"/>
              <w:right w:val="single" w:color="auto" w:sz="8" w:space="0"/>
            </w:tcBorders>
            <w:shd w:val="clear" w:color="000000" w:fill="FFFFFF"/>
            <w:vAlign w:val="center"/>
          </w:tcPr>
          <w:p w14:paraId="0B688287">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26A395A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DDFA2B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DC8114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A17435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1EDAE0A">
            <w:pPr>
              <w:widowControl/>
              <w:spacing w:line="440" w:lineRule="exact"/>
              <w:textAlignment w:val="center"/>
              <w:rPr>
                <w:color w:val="auto"/>
                <w:sz w:val="21"/>
                <w:szCs w:val="21"/>
                <w:highlight w:val="none"/>
              </w:rPr>
            </w:pPr>
            <w:r>
              <w:rPr>
                <w:color w:val="auto"/>
                <w:kern w:val="0"/>
                <w:sz w:val="21"/>
                <w:szCs w:val="21"/>
                <w:highlight w:val="none"/>
                <w:lang w:bidi="ar"/>
              </w:rPr>
              <w:t>（三）停车场</w:t>
            </w:r>
          </w:p>
        </w:tc>
        <w:tc>
          <w:tcPr>
            <w:tcW w:w="1677" w:type="dxa"/>
            <w:tcBorders>
              <w:top w:val="nil"/>
              <w:left w:val="nil"/>
              <w:bottom w:val="single" w:color="auto" w:sz="8" w:space="0"/>
              <w:right w:val="single" w:color="auto" w:sz="8" w:space="0"/>
            </w:tcBorders>
            <w:shd w:val="clear" w:color="000000" w:fill="FFFFFF"/>
            <w:vAlign w:val="center"/>
          </w:tcPr>
          <w:p w14:paraId="008F9FA3">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0D25790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736151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87E367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81ED2D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4D1FBA4">
            <w:pPr>
              <w:widowControl/>
              <w:spacing w:line="440" w:lineRule="exact"/>
              <w:textAlignment w:val="center"/>
              <w:rPr>
                <w:color w:val="auto"/>
                <w:sz w:val="21"/>
                <w:szCs w:val="21"/>
                <w:highlight w:val="none"/>
              </w:rPr>
            </w:pPr>
            <w:r>
              <w:rPr>
                <w:color w:val="auto"/>
                <w:kern w:val="0"/>
                <w:sz w:val="21"/>
                <w:szCs w:val="21"/>
                <w:highlight w:val="none"/>
                <w:lang w:bidi="ar"/>
              </w:rPr>
              <w:t>二、接触轨</w:t>
            </w:r>
          </w:p>
        </w:tc>
        <w:tc>
          <w:tcPr>
            <w:tcW w:w="1677" w:type="dxa"/>
            <w:tcBorders>
              <w:top w:val="nil"/>
              <w:left w:val="nil"/>
              <w:bottom w:val="single" w:color="auto" w:sz="8" w:space="0"/>
              <w:right w:val="single" w:color="auto" w:sz="8" w:space="0"/>
            </w:tcBorders>
            <w:shd w:val="clear" w:color="000000" w:fill="FFFFFF"/>
            <w:vAlign w:val="center"/>
          </w:tcPr>
          <w:p w14:paraId="63A545A4">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7A277C4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592ACF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AE0AB8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DD9C1D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43AACFF">
            <w:pPr>
              <w:widowControl/>
              <w:spacing w:line="440" w:lineRule="exact"/>
              <w:textAlignment w:val="center"/>
              <w:rPr>
                <w:color w:val="auto"/>
                <w:sz w:val="21"/>
                <w:szCs w:val="21"/>
                <w:highlight w:val="none"/>
              </w:rPr>
            </w:pPr>
            <w:r>
              <w:rPr>
                <w:color w:val="auto"/>
                <w:kern w:val="0"/>
                <w:sz w:val="21"/>
                <w:szCs w:val="21"/>
                <w:highlight w:val="none"/>
                <w:lang w:bidi="ar"/>
              </w:rPr>
              <w:t>（一）正线</w:t>
            </w:r>
          </w:p>
        </w:tc>
        <w:tc>
          <w:tcPr>
            <w:tcW w:w="1677" w:type="dxa"/>
            <w:tcBorders>
              <w:top w:val="nil"/>
              <w:left w:val="nil"/>
              <w:bottom w:val="single" w:color="auto" w:sz="8" w:space="0"/>
              <w:right w:val="single" w:color="auto" w:sz="8" w:space="0"/>
            </w:tcBorders>
            <w:shd w:val="clear" w:color="000000" w:fill="FFFFFF"/>
            <w:vAlign w:val="center"/>
          </w:tcPr>
          <w:p w14:paraId="66531EA5">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5F70FDF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45E4FD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E7408D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70E24E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51201B0">
            <w:pPr>
              <w:widowControl/>
              <w:spacing w:line="440" w:lineRule="exact"/>
              <w:textAlignment w:val="center"/>
              <w:rPr>
                <w:color w:val="auto"/>
                <w:sz w:val="21"/>
                <w:szCs w:val="21"/>
                <w:highlight w:val="none"/>
              </w:rPr>
            </w:pPr>
            <w:r>
              <w:rPr>
                <w:color w:val="auto"/>
                <w:kern w:val="0"/>
                <w:sz w:val="21"/>
                <w:szCs w:val="21"/>
                <w:highlight w:val="none"/>
                <w:lang w:bidi="ar"/>
              </w:rPr>
              <w:t>（二）车辆段</w:t>
            </w:r>
          </w:p>
        </w:tc>
        <w:tc>
          <w:tcPr>
            <w:tcW w:w="1677" w:type="dxa"/>
            <w:tcBorders>
              <w:top w:val="nil"/>
              <w:left w:val="nil"/>
              <w:bottom w:val="single" w:color="auto" w:sz="8" w:space="0"/>
              <w:right w:val="single" w:color="auto" w:sz="8" w:space="0"/>
            </w:tcBorders>
            <w:shd w:val="clear" w:color="000000" w:fill="FFFFFF"/>
            <w:vAlign w:val="center"/>
          </w:tcPr>
          <w:p w14:paraId="5452A15B">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1A06665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80145A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5DEB2E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3F4EF6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DF5B166">
            <w:pPr>
              <w:widowControl/>
              <w:spacing w:line="440" w:lineRule="exact"/>
              <w:textAlignment w:val="center"/>
              <w:rPr>
                <w:color w:val="auto"/>
                <w:sz w:val="21"/>
                <w:szCs w:val="21"/>
                <w:highlight w:val="none"/>
              </w:rPr>
            </w:pPr>
            <w:r>
              <w:rPr>
                <w:color w:val="auto"/>
                <w:kern w:val="0"/>
                <w:sz w:val="21"/>
                <w:szCs w:val="21"/>
                <w:highlight w:val="none"/>
                <w:lang w:bidi="ar"/>
              </w:rPr>
              <w:t>（三）停车场</w:t>
            </w:r>
          </w:p>
        </w:tc>
        <w:tc>
          <w:tcPr>
            <w:tcW w:w="1677" w:type="dxa"/>
            <w:tcBorders>
              <w:top w:val="nil"/>
              <w:left w:val="nil"/>
              <w:bottom w:val="single" w:color="auto" w:sz="8" w:space="0"/>
              <w:right w:val="single" w:color="auto" w:sz="8" w:space="0"/>
            </w:tcBorders>
            <w:shd w:val="clear" w:color="000000" w:fill="FFFFFF"/>
            <w:vAlign w:val="center"/>
          </w:tcPr>
          <w:p w14:paraId="7288496B">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6C76DE2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A72E24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9EA157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36004D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43C6EE5">
            <w:pPr>
              <w:widowControl/>
              <w:spacing w:line="440" w:lineRule="exact"/>
              <w:textAlignment w:val="center"/>
              <w:rPr>
                <w:color w:val="auto"/>
                <w:sz w:val="21"/>
                <w:szCs w:val="21"/>
                <w:highlight w:val="none"/>
              </w:rPr>
            </w:pPr>
            <w:r>
              <w:rPr>
                <w:color w:val="auto"/>
                <w:kern w:val="0"/>
                <w:sz w:val="21"/>
                <w:szCs w:val="21"/>
                <w:highlight w:val="none"/>
                <w:lang w:bidi="ar"/>
              </w:rPr>
              <w:t>三、回流轨</w:t>
            </w:r>
          </w:p>
        </w:tc>
        <w:tc>
          <w:tcPr>
            <w:tcW w:w="1677" w:type="dxa"/>
            <w:tcBorders>
              <w:top w:val="nil"/>
              <w:left w:val="nil"/>
              <w:bottom w:val="single" w:color="auto" w:sz="8" w:space="0"/>
              <w:right w:val="single" w:color="auto" w:sz="8" w:space="0"/>
            </w:tcBorders>
            <w:shd w:val="clear" w:color="000000" w:fill="FFFFFF"/>
            <w:vAlign w:val="center"/>
          </w:tcPr>
          <w:p w14:paraId="3E831FBD">
            <w:pPr>
              <w:widowControl/>
              <w:spacing w:line="440" w:lineRule="exact"/>
              <w:jc w:val="center"/>
              <w:textAlignment w:val="center"/>
              <w:rPr>
                <w:color w:val="auto"/>
                <w:sz w:val="21"/>
                <w:szCs w:val="21"/>
                <w:highlight w:val="none"/>
              </w:rPr>
            </w:pPr>
            <w:r>
              <w:rPr>
                <w:color w:val="auto"/>
                <w:kern w:val="0"/>
                <w:sz w:val="21"/>
                <w:szCs w:val="21"/>
                <w:highlight w:val="none"/>
                <w:lang w:bidi="ar"/>
              </w:rPr>
              <w:t>条公里</w:t>
            </w:r>
          </w:p>
        </w:tc>
        <w:tc>
          <w:tcPr>
            <w:tcW w:w="6704" w:type="dxa"/>
            <w:tcBorders>
              <w:top w:val="nil"/>
              <w:left w:val="nil"/>
              <w:bottom w:val="single" w:color="auto" w:sz="8" w:space="0"/>
              <w:right w:val="single" w:color="auto" w:sz="8" w:space="0"/>
            </w:tcBorders>
            <w:shd w:val="clear" w:color="000000" w:fill="FFFFFF"/>
            <w:vAlign w:val="center"/>
          </w:tcPr>
          <w:p w14:paraId="36B9EDF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7EA863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A20EAA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C06DE0C">
            <w:pPr>
              <w:widowControl/>
              <w:spacing w:line="440" w:lineRule="exact"/>
              <w:jc w:val="center"/>
              <w:textAlignment w:val="center"/>
              <w:rPr>
                <w:color w:val="auto"/>
                <w:sz w:val="21"/>
                <w:szCs w:val="21"/>
                <w:highlight w:val="none"/>
              </w:rPr>
            </w:pPr>
            <w:r>
              <w:rPr>
                <w:color w:val="auto"/>
                <w:kern w:val="0"/>
                <w:sz w:val="21"/>
                <w:szCs w:val="21"/>
                <w:highlight w:val="none"/>
                <w:lang w:bidi="ar"/>
              </w:rPr>
              <w:t>18</w:t>
            </w:r>
          </w:p>
        </w:tc>
        <w:tc>
          <w:tcPr>
            <w:tcW w:w="3816" w:type="dxa"/>
            <w:tcBorders>
              <w:top w:val="nil"/>
              <w:left w:val="nil"/>
              <w:bottom w:val="single" w:color="auto" w:sz="8" w:space="0"/>
              <w:right w:val="single" w:color="auto" w:sz="8" w:space="0"/>
            </w:tcBorders>
            <w:shd w:val="clear" w:color="000000" w:fill="FFFFFF"/>
            <w:vAlign w:val="center"/>
          </w:tcPr>
          <w:p w14:paraId="4E19692F">
            <w:pPr>
              <w:widowControl/>
              <w:spacing w:line="440" w:lineRule="exact"/>
              <w:textAlignment w:val="center"/>
              <w:rPr>
                <w:color w:val="auto"/>
                <w:sz w:val="21"/>
                <w:szCs w:val="21"/>
                <w:highlight w:val="none"/>
              </w:rPr>
            </w:pPr>
            <w:r>
              <w:rPr>
                <w:color w:val="auto"/>
                <w:kern w:val="0"/>
                <w:sz w:val="21"/>
                <w:szCs w:val="21"/>
                <w:highlight w:val="none"/>
                <w:lang w:bidi="ar"/>
              </w:rPr>
              <w:t>电力监控（SCADA）</w:t>
            </w:r>
          </w:p>
        </w:tc>
        <w:tc>
          <w:tcPr>
            <w:tcW w:w="1677" w:type="dxa"/>
            <w:tcBorders>
              <w:top w:val="nil"/>
              <w:left w:val="nil"/>
              <w:bottom w:val="single" w:color="auto" w:sz="8" w:space="0"/>
              <w:right w:val="single" w:color="auto" w:sz="8" w:space="0"/>
            </w:tcBorders>
            <w:shd w:val="clear" w:color="000000" w:fill="FFFFFF"/>
            <w:vAlign w:val="center"/>
          </w:tcPr>
          <w:p w14:paraId="219C5443">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4F51A263">
            <w:pPr>
              <w:widowControl/>
              <w:spacing w:line="440" w:lineRule="exact"/>
              <w:textAlignment w:val="center"/>
              <w:rPr>
                <w:color w:val="auto"/>
                <w:sz w:val="21"/>
                <w:szCs w:val="21"/>
                <w:highlight w:val="none"/>
              </w:rPr>
            </w:pPr>
            <w:r>
              <w:rPr>
                <w:color w:val="auto"/>
                <w:kern w:val="0"/>
                <w:sz w:val="21"/>
                <w:szCs w:val="21"/>
                <w:highlight w:val="none"/>
                <w:lang w:bidi="ar"/>
              </w:rPr>
              <w:t>包括车站、运营控制中心、车辆基地电力监控系统（SCADA）。</w:t>
            </w:r>
          </w:p>
        </w:tc>
      </w:tr>
      <w:tr w14:paraId="3D50DF5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08ACC8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0232EB6">
            <w:pPr>
              <w:widowControl/>
              <w:spacing w:line="440" w:lineRule="exact"/>
              <w:jc w:val="center"/>
              <w:textAlignment w:val="center"/>
              <w:rPr>
                <w:color w:val="auto"/>
                <w:sz w:val="21"/>
                <w:szCs w:val="21"/>
                <w:highlight w:val="none"/>
              </w:rPr>
            </w:pPr>
            <w:r>
              <w:rPr>
                <w:color w:val="auto"/>
                <w:kern w:val="0"/>
                <w:sz w:val="21"/>
                <w:szCs w:val="21"/>
                <w:highlight w:val="none"/>
                <w:lang w:bidi="ar"/>
              </w:rPr>
              <w:t>19</w:t>
            </w:r>
          </w:p>
        </w:tc>
        <w:tc>
          <w:tcPr>
            <w:tcW w:w="3816" w:type="dxa"/>
            <w:tcBorders>
              <w:top w:val="nil"/>
              <w:left w:val="nil"/>
              <w:bottom w:val="single" w:color="auto" w:sz="8" w:space="0"/>
              <w:right w:val="single" w:color="auto" w:sz="8" w:space="0"/>
            </w:tcBorders>
            <w:shd w:val="clear" w:color="000000" w:fill="FFFFFF"/>
            <w:vAlign w:val="center"/>
          </w:tcPr>
          <w:p w14:paraId="28A22DCA">
            <w:pPr>
              <w:widowControl/>
              <w:spacing w:line="440" w:lineRule="exact"/>
              <w:textAlignment w:val="center"/>
              <w:rPr>
                <w:color w:val="auto"/>
                <w:sz w:val="21"/>
                <w:szCs w:val="21"/>
                <w:highlight w:val="none"/>
              </w:rPr>
            </w:pPr>
            <w:r>
              <w:rPr>
                <w:color w:val="auto"/>
                <w:kern w:val="0"/>
                <w:sz w:val="21"/>
                <w:szCs w:val="21"/>
                <w:highlight w:val="none"/>
                <w:lang w:bidi="ar"/>
              </w:rPr>
              <w:t>杂散电流防护与接地系统</w:t>
            </w:r>
          </w:p>
        </w:tc>
        <w:tc>
          <w:tcPr>
            <w:tcW w:w="1677" w:type="dxa"/>
            <w:tcBorders>
              <w:top w:val="nil"/>
              <w:left w:val="nil"/>
              <w:bottom w:val="single" w:color="auto" w:sz="8" w:space="0"/>
              <w:right w:val="single" w:color="auto" w:sz="8" w:space="0"/>
            </w:tcBorders>
            <w:shd w:val="clear" w:color="000000" w:fill="FFFFFF"/>
            <w:vAlign w:val="center"/>
          </w:tcPr>
          <w:p w14:paraId="62B1828D">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076C519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770F6A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2A382F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DBCB28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1B3E958">
            <w:pPr>
              <w:widowControl/>
              <w:spacing w:line="440" w:lineRule="exact"/>
              <w:textAlignment w:val="center"/>
              <w:rPr>
                <w:color w:val="auto"/>
                <w:sz w:val="21"/>
                <w:szCs w:val="21"/>
                <w:highlight w:val="none"/>
              </w:rPr>
            </w:pPr>
            <w:r>
              <w:rPr>
                <w:color w:val="auto"/>
                <w:kern w:val="0"/>
                <w:sz w:val="21"/>
                <w:szCs w:val="21"/>
                <w:highlight w:val="none"/>
                <w:lang w:bidi="ar"/>
              </w:rPr>
              <w:t>一、杂散电流防护</w:t>
            </w:r>
          </w:p>
        </w:tc>
        <w:tc>
          <w:tcPr>
            <w:tcW w:w="1677" w:type="dxa"/>
            <w:tcBorders>
              <w:top w:val="nil"/>
              <w:left w:val="nil"/>
              <w:bottom w:val="single" w:color="auto" w:sz="8" w:space="0"/>
              <w:right w:val="single" w:color="auto" w:sz="8" w:space="0"/>
            </w:tcBorders>
            <w:shd w:val="clear" w:color="000000" w:fill="FFFFFF"/>
            <w:vAlign w:val="center"/>
          </w:tcPr>
          <w:p w14:paraId="06E6AE1E">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27031A86">
            <w:pPr>
              <w:widowControl/>
              <w:spacing w:line="440" w:lineRule="exact"/>
              <w:textAlignment w:val="center"/>
              <w:rPr>
                <w:color w:val="auto"/>
                <w:sz w:val="21"/>
                <w:szCs w:val="21"/>
                <w:highlight w:val="none"/>
              </w:rPr>
            </w:pPr>
            <w:r>
              <w:rPr>
                <w:color w:val="auto"/>
                <w:kern w:val="0"/>
                <w:sz w:val="21"/>
                <w:szCs w:val="21"/>
                <w:highlight w:val="none"/>
                <w:lang w:bidi="ar"/>
              </w:rPr>
              <w:t>包括正线、车辆基地。</w:t>
            </w:r>
          </w:p>
        </w:tc>
      </w:tr>
      <w:tr w14:paraId="5FB6536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741CE3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BBF586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BDCDF7C">
            <w:pPr>
              <w:widowControl/>
              <w:spacing w:line="440" w:lineRule="exact"/>
              <w:textAlignment w:val="center"/>
              <w:rPr>
                <w:color w:val="auto"/>
                <w:sz w:val="21"/>
                <w:szCs w:val="21"/>
                <w:highlight w:val="none"/>
              </w:rPr>
            </w:pPr>
            <w:r>
              <w:rPr>
                <w:color w:val="auto"/>
                <w:kern w:val="0"/>
                <w:sz w:val="21"/>
                <w:szCs w:val="21"/>
                <w:highlight w:val="none"/>
                <w:lang w:bidi="ar"/>
              </w:rPr>
              <w:t>（一）正线</w:t>
            </w:r>
          </w:p>
        </w:tc>
        <w:tc>
          <w:tcPr>
            <w:tcW w:w="1677" w:type="dxa"/>
            <w:tcBorders>
              <w:top w:val="nil"/>
              <w:left w:val="nil"/>
              <w:bottom w:val="single" w:color="auto" w:sz="8" w:space="0"/>
              <w:right w:val="single" w:color="auto" w:sz="8" w:space="0"/>
            </w:tcBorders>
            <w:shd w:val="clear" w:color="000000" w:fill="FFFFFF"/>
            <w:vAlign w:val="center"/>
          </w:tcPr>
          <w:p w14:paraId="27650A8F">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2761B9B4">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3453E5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E938F2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A0BA8B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A1A9EA8">
            <w:pPr>
              <w:widowControl/>
              <w:spacing w:line="440" w:lineRule="exact"/>
              <w:textAlignment w:val="center"/>
              <w:rPr>
                <w:color w:val="auto"/>
                <w:sz w:val="21"/>
                <w:szCs w:val="21"/>
                <w:highlight w:val="none"/>
              </w:rPr>
            </w:pPr>
            <w:r>
              <w:rPr>
                <w:color w:val="auto"/>
                <w:kern w:val="0"/>
                <w:sz w:val="21"/>
                <w:szCs w:val="21"/>
                <w:highlight w:val="none"/>
                <w:lang w:bidi="ar"/>
              </w:rPr>
              <w:t>（二）车辆段</w:t>
            </w:r>
          </w:p>
        </w:tc>
        <w:tc>
          <w:tcPr>
            <w:tcW w:w="1677" w:type="dxa"/>
            <w:tcBorders>
              <w:top w:val="nil"/>
              <w:left w:val="nil"/>
              <w:bottom w:val="single" w:color="auto" w:sz="8" w:space="0"/>
              <w:right w:val="single" w:color="auto" w:sz="8" w:space="0"/>
            </w:tcBorders>
            <w:shd w:val="clear" w:color="000000" w:fill="FFFFFF"/>
            <w:vAlign w:val="center"/>
          </w:tcPr>
          <w:p w14:paraId="5BD4F104">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67A14A0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DDA30C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17EAF1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30D1DF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15C36A0">
            <w:pPr>
              <w:widowControl/>
              <w:spacing w:line="440" w:lineRule="exact"/>
              <w:textAlignment w:val="center"/>
              <w:rPr>
                <w:color w:val="auto"/>
                <w:sz w:val="21"/>
                <w:szCs w:val="21"/>
                <w:highlight w:val="none"/>
              </w:rPr>
            </w:pPr>
            <w:r>
              <w:rPr>
                <w:color w:val="auto"/>
                <w:kern w:val="0"/>
                <w:sz w:val="21"/>
                <w:szCs w:val="21"/>
                <w:highlight w:val="none"/>
                <w:lang w:bidi="ar"/>
              </w:rPr>
              <w:t>（三）停车场</w:t>
            </w:r>
          </w:p>
        </w:tc>
        <w:tc>
          <w:tcPr>
            <w:tcW w:w="1677" w:type="dxa"/>
            <w:tcBorders>
              <w:top w:val="nil"/>
              <w:left w:val="nil"/>
              <w:bottom w:val="single" w:color="auto" w:sz="8" w:space="0"/>
              <w:right w:val="single" w:color="auto" w:sz="8" w:space="0"/>
            </w:tcBorders>
            <w:shd w:val="clear" w:color="000000" w:fill="FFFFFF"/>
            <w:vAlign w:val="center"/>
          </w:tcPr>
          <w:p w14:paraId="1E3F0008">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34ED8D6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D0FECF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2D690E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EB407D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BCB596B">
            <w:pPr>
              <w:widowControl/>
              <w:spacing w:line="440" w:lineRule="exact"/>
              <w:textAlignment w:val="center"/>
              <w:rPr>
                <w:color w:val="auto"/>
                <w:sz w:val="21"/>
                <w:szCs w:val="21"/>
                <w:highlight w:val="none"/>
              </w:rPr>
            </w:pPr>
            <w:r>
              <w:rPr>
                <w:color w:val="auto"/>
                <w:kern w:val="0"/>
                <w:sz w:val="21"/>
                <w:szCs w:val="21"/>
                <w:highlight w:val="none"/>
                <w:lang w:bidi="ar"/>
              </w:rPr>
              <w:t>二、接地系统</w:t>
            </w:r>
          </w:p>
        </w:tc>
        <w:tc>
          <w:tcPr>
            <w:tcW w:w="1677" w:type="dxa"/>
            <w:tcBorders>
              <w:top w:val="nil"/>
              <w:left w:val="nil"/>
              <w:bottom w:val="single" w:color="auto" w:sz="8" w:space="0"/>
              <w:right w:val="single" w:color="auto" w:sz="8" w:space="0"/>
            </w:tcBorders>
            <w:shd w:val="clear" w:color="000000" w:fill="FFFFFF"/>
            <w:vAlign w:val="center"/>
          </w:tcPr>
          <w:p w14:paraId="49619140">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4917E81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EF2C49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348A47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4888D3B">
            <w:pPr>
              <w:widowControl/>
              <w:spacing w:line="440" w:lineRule="exact"/>
              <w:jc w:val="center"/>
              <w:textAlignment w:val="center"/>
              <w:rPr>
                <w:color w:val="auto"/>
                <w:sz w:val="21"/>
                <w:szCs w:val="21"/>
                <w:highlight w:val="none"/>
              </w:rPr>
            </w:pPr>
            <w:r>
              <w:rPr>
                <w:color w:val="auto"/>
                <w:kern w:val="0"/>
                <w:sz w:val="21"/>
                <w:szCs w:val="21"/>
                <w:highlight w:val="none"/>
                <w:lang w:bidi="ar"/>
              </w:rPr>
              <w:t>20</w:t>
            </w:r>
          </w:p>
        </w:tc>
        <w:tc>
          <w:tcPr>
            <w:tcW w:w="3816" w:type="dxa"/>
            <w:tcBorders>
              <w:top w:val="nil"/>
              <w:left w:val="nil"/>
              <w:bottom w:val="single" w:color="auto" w:sz="8" w:space="0"/>
              <w:right w:val="single" w:color="auto" w:sz="8" w:space="0"/>
            </w:tcBorders>
            <w:shd w:val="clear" w:color="000000" w:fill="FFFFFF"/>
            <w:vAlign w:val="center"/>
          </w:tcPr>
          <w:p w14:paraId="0112C0F9">
            <w:pPr>
              <w:widowControl/>
              <w:spacing w:line="440" w:lineRule="exact"/>
              <w:textAlignment w:val="center"/>
              <w:rPr>
                <w:color w:val="auto"/>
                <w:sz w:val="21"/>
                <w:szCs w:val="21"/>
                <w:highlight w:val="none"/>
              </w:rPr>
            </w:pPr>
            <w:r>
              <w:rPr>
                <w:color w:val="auto"/>
                <w:kern w:val="0"/>
                <w:sz w:val="21"/>
                <w:szCs w:val="21"/>
                <w:highlight w:val="none"/>
                <w:lang w:bidi="ar"/>
              </w:rPr>
              <w:t>供电车间及其他系统</w:t>
            </w:r>
          </w:p>
        </w:tc>
        <w:tc>
          <w:tcPr>
            <w:tcW w:w="1677" w:type="dxa"/>
            <w:tcBorders>
              <w:top w:val="nil"/>
              <w:left w:val="nil"/>
              <w:bottom w:val="single" w:color="auto" w:sz="8" w:space="0"/>
              <w:right w:val="single" w:color="auto" w:sz="8" w:space="0"/>
            </w:tcBorders>
            <w:shd w:val="clear" w:color="000000" w:fill="FFFFFF"/>
            <w:vAlign w:val="center"/>
          </w:tcPr>
          <w:p w14:paraId="4AE8E1B2">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089095DF">
            <w:pPr>
              <w:widowControl/>
              <w:spacing w:line="440" w:lineRule="exact"/>
              <w:textAlignment w:val="center"/>
              <w:rPr>
                <w:color w:val="auto"/>
                <w:sz w:val="21"/>
                <w:szCs w:val="21"/>
                <w:highlight w:val="none"/>
              </w:rPr>
            </w:pPr>
            <w:r>
              <w:rPr>
                <w:color w:val="auto"/>
                <w:kern w:val="0"/>
                <w:sz w:val="21"/>
                <w:szCs w:val="21"/>
                <w:highlight w:val="none"/>
                <w:lang w:bidi="ar"/>
              </w:rPr>
              <w:t>其他系统包括车站不间断电源（UPS）系统整合、再生制动能量利用系统、电能质量管理系统、光伏发电系统、供电生产管理系统等。</w:t>
            </w:r>
          </w:p>
        </w:tc>
      </w:tr>
      <w:tr w14:paraId="50CEADA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5063D0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110A63E">
            <w:pPr>
              <w:widowControl/>
              <w:spacing w:line="440" w:lineRule="exact"/>
              <w:jc w:val="center"/>
              <w:textAlignment w:val="center"/>
              <w:rPr>
                <w:color w:val="auto"/>
                <w:sz w:val="21"/>
                <w:szCs w:val="21"/>
                <w:highlight w:val="none"/>
              </w:rPr>
            </w:pPr>
            <w:r>
              <w:rPr>
                <w:color w:val="auto"/>
                <w:kern w:val="0"/>
                <w:sz w:val="21"/>
                <w:szCs w:val="21"/>
                <w:highlight w:val="none"/>
                <w:lang w:bidi="ar"/>
              </w:rPr>
              <w:t>21</w:t>
            </w:r>
          </w:p>
        </w:tc>
        <w:tc>
          <w:tcPr>
            <w:tcW w:w="3816" w:type="dxa"/>
            <w:tcBorders>
              <w:top w:val="nil"/>
              <w:left w:val="nil"/>
              <w:bottom w:val="single" w:color="auto" w:sz="8" w:space="0"/>
              <w:right w:val="single" w:color="auto" w:sz="8" w:space="0"/>
            </w:tcBorders>
            <w:shd w:val="clear" w:color="000000" w:fill="FFFFFF"/>
            <w:vAlign w:val="center"/>
          </w:tcPr>
          <w:p w14:paraId="22460E06">
            <w:pPr>
              <w:widowControl/>
              <w:spacing w:line="440" w:lineRule="exact"/>
              <w:textAlignment w:val="center"/>
              <w:rPr>
                <w:color w:val="auto"/>
                <w:sz w:val="21"/>
                <w:szCs w:val="21"/>
                <w:highlight w:val="none"/>
              </w:rPr>
            </w:pPr>
            <w:r>
              <w:rPr>
                <w:color w:val="auto"/>
                <w:kern w:val="0"/>
                <w:sz w:val="21"/>
                <w:szCs w:val="21"/>
                <w:highlight w:val="none"/>
                <w:lang w:bidi="ar"/>
              </w:rPr>
              <w:t>动力与照明</w:t>
            </w:r>
          </w:p>
        </w:tc>
        <w:tc>
          <w:tcPr>
            <w:tcW w:w="1677" w:type="dxa"/>
            <w:tcBorders>
              <w:top w:val="nil"/>
              <w:left w:val="nil"/>
              <w:bottom w:val="single" w:color="auto" w:sz="8" w:space="0"/>
              <w:right w:val="single" w:color="auto" w:sz="8" w:space="0"/>
            </w:tcBorders>
            <w:shd w:val="clear" w:color="000000" w:fill="FFFFFF"/>
            <w:vAlign w:val="center"/>
          </w:tcPr>
          <w:p w14:paraId="277D38FA">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12E6E1E9">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3C56F6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219E70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87DA3A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8F77E92">
            <w:pPr>
              <w:widowControl/>
              <w:spacing w:line="440" w:lineRule="exact"/>
              <w:textAlignment w:val="center"/>
              <w:rPr>
                <w:color w:val="auto"/>
                <w:sz w:val="21"/>
                <w:szCs w:val="21"/>
                <w:highlight w:val="none"/>
              </w:rPr>
            </w:pPr>
            <w:r>
              <w:rPr>
                <w:color w:val="auto"/>
                <w:kern w:val="0"/>
                <w:sz w:val="21"/>
                <w:szCs w:val="21"/>
                <w:highlight w:val="none"/>
                <w:lang w:bidi="ar"/>
              </w:rPr>
              <w:t>一、车站</w:t>
            </w:r>
          </w:p>
        </w:tc>
        <w:tc>
          <w:tcPr>
            <w:tcW w:w="1677" w:type="dxa"/>
            <w:tcBorders>
              <w:top w:val="nil"/>
              <w:left w:val="nil"/>
              <w:bottom w:val="single" w:color="auto" w:sz="8" w:space="0"/>
              <w:right w:val="single" w:color="auto" w:sz="8" w:space="0"/>
            </w:tcBorders>
            <w:shd w:val="clear" w:color="000000" w:fill="FFFFFF"/>
            <w:vAlign w:val="center"/>
          </w:tcPr>
          <w:p w14:paraId="7E7A4D77">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11AFBC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2AD011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E64268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A7DC3A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D6CFAE0">
            <w:pPr>
              <w:widowControl/>
              <w:spacing w:line="440" w:lineRule="exact"/>
              <w:textAlignment w:val="center"/>
              <w:rPr>
                <w:color w:val="auto"/>
                <w:sz w:val="21"/>
                <w:szCs w:val="21"/>
                <w:highlight w:val="none"/>
              </w:rPr>
            </w:pPr>
            <w:r>
              <w:rPr>
                <w:color w:val="auto"/>
                <w:kern w:val="0"/>
                <w:sz w:val="21"/>
                <w:szCs w:val="21"/>
                <w:highlight w:val="none"/>
                <w:lang w:bidi="ar"/>
              </w:rPr>
              <w:t>（一）地下车站</w:t>
            </w:r>
          </w:p>
        </w:tc>
        <w:tc>
          <w:tcPr>
            <w:tcW w:w="1677" w:type="dxa"/>
            <w:tcBorders>
              <w:top w:val="nil"/>
              <w:left w:val="nil"/>
              <w:bottom w:val="single" w:color="auto" w:sz="8" w:space="0"/>
              <w:right w:val="single" w:color="auto" w:sz="8" w:space="0"/>
            </w:tcBorders>
            <w:shd w:val="clear" w:color="000000" w:fill="FFFFFF"/>
            <w:vAlign w:val="center"/>
          </w:tcPr>
          <w:p w14:paraId="1272126A">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D298CF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360683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B55155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6E5B08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620E405">
            <w:pPr>
              <w:widowControl/>
              <w:spacing w:line="440" w:lineRule="exact"/>
              <w:textAlignment w:val="center"/>
              <w:rPr>
                <w:color w:val="auto"/>
                <w:sz w:val="21"/>
                <w:szCs w:val="21"/>
                <w:highlight w:val="none"/>
              </w:rPr>
            </w:pPr>
            <w:r>
              <w:rPr>
                <w:color w:val="auto"/>
                <w:kern w:val="0"/>
                <w:sz w:val="21"/>
                <w:szCs w:val="21"/>
                <w:highlight w:val="none"/>
                <w:lang w:bidi="ar"/>
              </w:rPr>
              <w:t>（二）高架车站</w:t>
            </w:r>
          </w:p>
        </w:tc>
        <w:tc>
          <w:tcPr>
            <w:tcW w:w="1677" w:type="dxa"/>
            <w:tcBorders>
              <w:top w:val="nil"/>
              <w:left w:val="nil"/>
              <w:bottom w:val="single" w:color="auto" w:sz="8" w:space="0"/>
              <w:right w:val="single" w:color="auto" w:sz="8" w:space="0"/>
            </w:tcBorders>
            <w:shd w:val="clear" w:color="000000" w:fill="FFFFFF"/>
            <w:vAlign w:val="center"/>
          </w:tcPr>
          <w:p w14:paraId="02456342">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28206C1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1EAB1D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C718FD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F59867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B58D7E3">
            <w:pPr>
              <w:widowControl/>
              <w:spacing w:line="440" w:lineRule="exact"/>
              <w:textAlignment w:val="center"/>
              <w:rPr>
                <w:color w:val="auto"/>
                <w:sz w:val="21"/>
                <w:szCs w:val="21"/>
                <w:highlight w:val="none"/>
              </w:rPr>
            </w:pPr>
            <w:r>
              <w:rPr>
                <w:color w:val="auto"/>
                <w:kern w:val="0"/>
                <w:sz w:val="21"/>
                <w:szCs w:val="21"/>
                <w:highlight w:val="none"/>
                <w:lang w:bidi="ar"/>
              </w:rPr>
              <w:t>（三）地面车站</w:t>
            </w:r>
          </w:p>
        </w:tc>
        <w:tc>
          <w:tcPr>
            <w:tcW w:w="1677" w:type="dxa"/>
            <w:tcBorders>
              <w:top w:val="nil"/>
              <w:left w:val="nil"/>
              <w:bottom w:val="single" w:color="auto" w:sz="8" w:space="0"/>
              <w:right w:val="single" w:color="auto" w:sz="8" w:space="0"/>
            </w:tcBorders>
            <w:shd w:val="clear" w:color="000000" w:fill="FFFFFF"/>
            <w:vAlign w:val="center"/>
          </w:tcPr>
          <w:p w14:paraId="691A74F1">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22E02F8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4BA4E5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6D268B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E64664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E40A765">
            <w:pPr>
              <w:widowControl/>
              <w:spacing w:line="440" w:lineRule="exact"/>
              <w:textAlignment w:val="center"/>
              <w:rPr>
                <w:color w:val="auto"/>
                <w:sz w:val="21"/>
                <w:szCs w:val="21"/>
                <w:highlight w:val="none"/>
              </w:rPr>
            </w:pPr>
            <w:r>
              <w:rPr>
                <w:color w:val="auto"/>
                <w:kern w:val="0"/>
                <w:sz w:val="21"/>
                <w:szCs w:val="21"/>
                <w:highlight w:val="none"/>
                <w:lang w:bidi="ar"/>
              </w:rPr>
              <w:t>二、区间</w:t>
            </w:r>
          </w:p>
        </w:tc>
        <w:tc>
          <w:tcPr>
            <w:tcW w:w="1677" w:type="dxa"/>
            <w:tcBorders>
              <w:top w:val="nil"/>
              <w:left w:val="nil"/>
              <w:bottom w:val="single" w:color="auto" w:sz="8" w:space="0"/>
              <w:right w:val="single" w:color="auto" w:sz="8" w:space="0"/>
            </w:tcBorders>
            <w:shd w:val="clear" w:color="000000" w:fill="FFFFFF"/>
            <w:vAlign w:val="center"/>
          </w:tcPr>
          <w:p w14:paraId="07304ADC">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46FEC9C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B01509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A54FF3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4C1BFB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C5B596A">
            <w:pPr>
              <w:widowControl/>
              <w:spacing w:line="440" w:lineRule="exact"/>
              <w:textAlignment w:val="center"/>
              <w:rPr>
                <w:color w:val="auto"/>
                <w:sz w:val="21"/>
                <w:szCs w:val="21"/>
                <w:highlight w:val="none"/>
              </w:rPr>
            </w:pPr>
            <w:r>
              <w:rPr>
                <w:color w:val="auto"/>
                <w:kern w:val="0"/>
                <w:sz w:val="21"/>
                <w:szCs w:val="21"/>
                <w:highlight w:val="none"/>
                <w:lang w:bidi="ar"/>
              </w:rPr>
              <w:t>（一）地下区间</w:t>
            </w:r>
          </w:p>
        </w:tc>
        <w:tc>
          <w:tcPr>
            <w:tcW w:w="1677" w:type="dxa"/>
            <w:tcBorders>
              <w:top w:val="nil"/>
              <w:left w:val="nil"/>
              <w:bottom w:val="single" w:color="auto" w:sz="8" w:space="0"/>
              <w:right w:val="single" w:color="auto" w:sz="8" w:space="0"/>
            </w:tcBorders>
            <w:shd w:val="clear" w:color="000000" w:fill="FFFFFF"/>
            <w:vAlign w:val="center"/>
          </w:tcPr>
          <w:p w14:paraId="78B6CDAC">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72EB6B77">
            <w:pPr>
              <w:widowControl/>
              <w:spacing w:line="440" w:lineRule="exact"/>
              <w:textAlignment w:val="center"/>
              <w:rPr>
                <w:color w:val="auto"/>
                <w:sz w:val="21"/>
                <w:szCs w:val="21"/>
                <w:highlight w:val="none"/>
              </w:rPr>
            </w:pPr>
            <w:r>
              <w:rPr>
                <w:color w:val="auto"/>
                <w:kern w:val="0"/>
                <w:sz w:val="21"/>
                <w:szCs w:val="21"/>
                <w:highlight w:val="none"/>
                <w:lang w:bidi="ar"/>
              </w:rPr>
              <w:t>包括区间风井等。</w:t>
            </w:r>
          </w:p>
        </w:tc>
      </w:tr>
      <w:tr w14:paraId="7D8B853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140F78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6A6AC8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7AE872C">
            <w:pPr>
              <w:widowControl/>
              <w:spacing w:line="440" w:lineRule="exact"/>
              <w:textAlignment w:val="center"/>
              <w:rPr>
                <w:color w:val="auto"/>
                <w:sz w:val="21"/>
                <w:szCs w:val="21"/>
                <w:highlight w:val="none"/>
              </w:rPr>
            </w:pPr>
            <w:r>
              <w:rPr>
                <w:color w:val="auto"/>
                <w:kern w:val="0"/>
                <w:sz w:val="21"/>
                <w:szCs w:val="21"/>
                <w:highlight w:val="none"/>
                <w:lang w:bidi="ar"/>
              </w:rPr>
              <w:t>（二）地上区间</w:t>
            </w:r>
          </w:p>
        </w:tc>
        <w:tc>
          <w:tcPr>
            <w:tcW w:w="1677" w:type="dxa"/>
            <w:tcBorders>
              <w:top w:val="nil"/>
              <w:left w:val="nil"/>
              <w:bottom w:val="single" w:color="auto" w:sz="8" w:space="0"/>
              <w:right w:val="single" w:color="auto" w:sz="8" w:space="0"/>
            </w:tcBorders>
            <w:shd w:val="clear" w:color="000000" w:fill="FFFFFF"/>
            <w:vAlign w:val="center"/>
          </w:tcPr>
          <w:p w14:paraId="257F9F0C">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4283FCB3">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249E29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8FC9E4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AA8A5E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7018E5B">
            <w:pPr>
              <w:widowControl/>
              <w:spacing w:line="440" w:lineRule="exact"/>
              <w:textAlignment w:val="center"/>
              <w:rPr>
                <w:color w:val="auto"/>
                <w:sz w:val="21"/>
                <w:szCs w:val="21"/>
                <w:highlight w:val="none"/>
              </w:rPr>
            </w:pPr>
            <w:r>
              <w:rPr>
                <w:color w:val="auto"/>
                <w:kern w:val="0"/>
                <w:sz w:val="21"/>
                <w:szCs w:val="21"/>
                <w:highlight w:val="none"/>
                <w:lang w:bidi="ar"/>
              </w:rPr>
              <w:t>三、区间变电所</w:t>
            </w:r>
          </w:p>
        </w:tc>
        <w:tc>
          <w:tcPr>
            <w:tcW w:w="1677" w:type="dxa"/>
            <w:tcBorders>
              <w:top w:val="nil"/>
              <w:left w:val="nil"/>
              <w:bottom w:val="single" w:color="auto" w:sz="8" w:space="0"/>
              <w:right w:val="single" w:color="auto" w:sz="8" w:space="0"/>
            </w:tcBorders>
            <w:shd w:val="clear" w:color="000000" w:fill="FFFFFF"/>
            <w:vAlign w:val="center"/>
          </w:tcPr>
          <w:p w14:paraId="261A4992">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6C6CD3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8EAE76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E6FCC46">
            <w:pPr>
              <w:widowControl/>
              <w:spacing w:line="440" w:lineRule="exact"/>
              <w:jc w:val="center"/>
              <w:textAlignment w:val="center"/>
              <w:rPr>
                <w:color w:val="auto"/>
                <w:sz w:val="21"/>
                <w:szCs w:val="21"/>
                <w:highlight w:val="none"/>
              </w:rPr>
            </w:pPr>
            <w:r>
              <w:rPr>
                <w:color w:val="auto"/>
                <w:kern w:val="0"/>
                <w:sz w:val="21"/>
                <w:szCs w:val="21"/>
                <w:highlight w:val="none"/>
                <w:lang w:bidi="ar"/>
              </w:rPr>
              <w:t>七</w:t>
            </w:r>
          </w:p>
        </w:tc>
        <w:tc>
          <w:tcPr>
            <w:tcW w:w="704" w:type="dxa"/>
            <w:tcBorders>
              <w:top w:val="nil"/>
              <w:left w:val="nil"/>
              <w:bottom w:val="single" w:color="auto" w:sz="8" w:space="0"/>
              <w:right w:val="single" w:color="auto" w:sz="8" w:space="0"/>
            </w:tcBorders>
            <w:shd w:val="clear" w:color="000000" w:fill="FFFFFF"/>
            <w:vAlign w:val="center"/>
          </w:tcPr>
          <w:p w14:paraId="03AC8C53">
            <w:pPr>
              <w:widowControl/>
              <w:spacing w:line="440" w:lineRule="exact"/>
              <w:jc w:val="center"/>
              <w:textAlignment w:val="center"/>
              <w:rPr>
                <w:color w:val="auto"/>
                <w:sz w:val="21"/>
                <w:szCs w:val="21"/>
                <w:highlight w:val="none"/>
              </w:rPr>
            </w:pPr>
            <w:r>
              <w:rPr>
                <w:color w:val="auto"/>
                <w:kern w:val="0"/>
                <w:sz w:val="21"/>
                <w:szCs w:val="21"/>
                <w:highlight w:val="none"/>
                <w:lang w:bidi="ar"/>
              </w:rPr>
              <w:t>22</w:t>
            </w:r>
          </w:p>
        </w:tc>
        <w:tc>
          <w:tcPr>
            <w:tcW w:w="3816" w:type="dxa"/>
            <w:tcBorders>
              <w:top w:val="nil"/>
              <w:left w:val="nil"/>
              <w:bottom w:val="single" w:color="auto" w:sz="8" w:space="0"/>
              <w:right w:val="single" w:color="auto" w:sz="8" w:space="0"/>
            </w:tcBorders>
            <w:shd w:val="clear" w:color="000000" w:fill="FFFFFF"/>
            <w:vAlign w:val="center"/>
          </w:tcPr>
          <w:p w14:paraId="5E6455FD">
            <w:pPr>
              <w:widowControl/>
              <w:spacing w:line="440" w:lineRule="exact"/>
              <w:textAlignment w:val="center"/>
              <w:rPr>
                <w:color w:val="auto"/>
                <w:sz w:val="21"/>
                <w:szCs w:val="21"/>
                <w:highlight w:val="none"/>
              </w:rPr>
            </w:pPr>
            <w:r>
              <w:rPr>
                <w:color w:val="auto"/>
                <w:kern w:val="0"/>
                <w:sz w:val="21"/>
                <w:szCs w:val="21"/>
                <w:highlight w:val="none"/>
                <w:lang w:bidi="ar"/>
              </w:rPr>
              <w:t>综合监控（ISCS）</w:t>
            </w:r>
          </w:p>
        </w:tc>
        <w:tc>
          <w:tcPr>
            <w:tcW w:w="1677" w:type="dxa"/>
            <w:tcBorders>
              <w:top w:val="nil"/>
              <w:left w:val="nil"/>
              <w:bottom w:val="single" w:color="auto" w:sz="8" w:space="0"/>
              <w:right w:val="single" w:color="auto" w:sz="8" w:space="0"/>
            </w:tcBorders>
            <w:shd w:val="clear" w:color="000000" w:fill="FFFFFF"/>
            <w:vAlign w:val="center"/>
          </w:tcPr>
          <w:p w14:paraId="0AC4B887">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5F7EED6D">
            <w:pPr>
              <w:widowControl/>
              <w:spacing w:line="440" w:lineRule="exact"/>
              <w:textAlignment w:val="center"/>
              <w:rPr>
                <w:color w:val="auto"/>
                <w:sz w:val="21"/>
                <w:szCs w:val="21"/>
                <w:highlight w:val="none"/>
              </w:rPr>
            </w:pPr>
            <w:r>
              <w:rPr>
                <w:color w:val="auto"/>
                <w:kern w:val="0"/>
                <w:sz w:val="21"/>
                <w:szCs w:val="21"/>
                <w:highlight w:val="none"/>
                <w:lang w:bidi="ar"/>
              </w:rPr>
              <w:t>包括正线、运营控制中心、车辆基地。</w:t>
            </w:r>
          </w:p>
        </w:tc>
      </w:tr>
      <w:tr w14:paraId="5AC7608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B6CCFA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2150FE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7FF9BFC">
            <w:pPr>
              <w:widowControl/>
              <w:spacing w:line="440" w:lineRule="exact"/>
              <w:textAlignment w:val="center"/>
              <w:rPr>
                <w:color w:val="auto"/>
                <w:sz w:val="21"/>
                <w:szCs w:val="21"/>
                <w:highlight w:val="none"/>
              </w:rPr>
            </w:pPr>
            <w:r>
              <w:rPr>
                <w:color w:val="auto"/>
                <w:kern w:val="0"/>
                <w:sz w:val="21"/>
                <w:szCs w:val="21"/>
                <w:highlight w:val="none"/>
                <w:lang w:bidi="ar"/>
              </w:rPr>
              <w:t>一、车站</w:t>
            </w:r>
          </w:p>
        </w:tc>
        <w:tc>
          <w:tcPr>
            <w:tcW w:w="1677" w:type="dxa"/>
            <w:tcBorders>
              <w:top w:val="nil"/>
              <w:left w:val="nil"/>
              <w:bottom w:val="single" w:color="auto" w:sz="8" w:space="0"/>
              <w:right w:val="single" w:color="auto" w:sz="8" w:space="0"/>
            </w:tcBorders>
            <w:shd w:val="clear" w:color="000000" w:fill="FFFFFF"/>
            <w:vAlign w:val="center"/>
          </w:tcPr>
          <w:p w14:paraId="09E17538">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037600E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ACEBBE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A76D7E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BE60A6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7F5F455">
            <w:pPr>
              <w:widowControl/>
              <w:spacing w:line="440" w:lineRule="exact"/>
              <w:textAlignment w:val="center"/>
              <w:rPr>
                <w:color w:val="auto"/>
                <w:sz w:val="21"/>
                <w:szCs w:val="21"/>
                <w:highlight w:val="none"/>
              </w:rPr>
            </w:pPr>
            <w:r>
              <w:rPr>
                <w:color w:val="auto"/>
                <w:kern w:val="0"/>
                <w:sz w:val="21"/>
                <w:szCs w:val="21"/>
                <w:highlight w:val="none"/>
                <w:lang w:bidi="ar"/>
              </w:rPr>
              <w:t>二、运营控制中心</w:t>
            </w:r>
          </w:p>
        </w:tc>
        <w:tc>
          <w:tcPr>
            <w:tcW w:w="1677" w:type="dxa"/>
            <w:tcBorders>
              <w:top w:val="nil"/>
              <w:left w:val="nil"/>
              <w:bottom w:val="single" w:color="auto" w:sz="8" w:space="0"/>
              <w:right w:val="single" w:color="auto" w:sz="8" w:space="0"/>
            </w:tcBorders>
            <w:shd w:val="clear" w:color="000000" w:fill="FFFFFF"/>
            <w:vAlign w:val="center"/>
          </w:tcPr>
          <w:p w14:paraId="50713FAC">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0E635E4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44EA56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790E96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6B3CF2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300D8EA">
            <w:pPr>
              <w:widowControl/>
              <w:spacing w:line="440" w:lineRule="exact"/>
              <w:textAlignment w:val="center"/>
              <w:rPr>
                <w:color w:val="auto"/>
                <w:sz w:val="21"/>
                <w:szCs w:val="21"/>
                <w:highlight w:val="none"/>
              </w:rPr>
            </w:pPr>
            <w:r>
              <w:rPr>
                <w:color w:val="auto"/>
                <w:kern w:val="0"/>
                <w:sz w:val="21"/>
                <w:szCs w:val="21"/>
                <w:highlight w:val="none"/>
                <w:lang w:bidi="ar"/>
              </w:rPr>
              <w:t>三、车辆段</w:t>
            </w:r>
          </w:p>
        </w:tc>
        <w:tc>
          <w:tcPr>
            <w:tcW w:w="1677" w:type="dxa"/>
            <w:tcBorders>
              <w:top w:val="nil"/>
              <w:left w:val="nil"/>
              <w:bottom w:val="single" w:color="auto" w:sz="8" w:space="0"/>
              <w:right w:val="single" w:color="auto" w:sz="8" w:space="0"/>
            </w:tcBorders>
            <w:shd w:val="clear" w:color="000000" w:fill="FFFFFF"/>
            <w:vAlign w:val="center"/>
          </w:tcPr>
          <w:p w14:paraId="54F449D3">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48358EC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E87F5E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D54DCF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9C1FCC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A6612F2">
            <w:pPr>
              <w:widowControl/>
              <w:spacing w:line="440" w:lineRule="exact"/>
              <w:textAlignment w:val="center"/>
              <w:rPr>
                <w:color w:val="auto"/>
                <w:sz w:val="21"/>
                <w:szCs w:val="21"/>
                <w:highlight w:val="none"/>
              </w:rPr>
            </w:pPr>
            <w:r>
              <w:rPr>
                <w:color w:val="auto"/>
                <w:kern w:val="0"/>
                <w:sz w:val="21"/>
                <w:szCs w:val="21"/>
                <w:highlight w:val="none"/>
                <w:lang w:bidi="ar"/>
              </w:rPr>
              <w:t>四、停车场</w:t>
            </w:r>
          </w:p>
        </w:tc>
        <w:tc>
          <w:tcPr>
            <w:tcW w:w="1677" w:type="dxa"/>
            <w:tcBorders>
              <w:top w:val="nil"/>
              <w:left w:val="nil"/>
              <w:bottom w:val="single" w:color="auto" w:sz="8" w:space="0"/>
              <w:right w:val="single" w:color="auto" w:sz="8" w:space="0"/>
            </w:tcBorders>
            <w:shd w:val="clear" w:color="000000" w:fill="FFFFFF"/>
            <w:vAlign w:val="center"/>
          </w:tcPr>
          <w:p w14:paraId="611E3019">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1989093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3B2BD3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705A71B">
            <w:pPr>
              <w:widowControl/>
              <w:spacing w:line="440" w:lineRule="exact"/>
              <w:jc w:val="center"/>
              <w:textAlignment w:val="center"/>
              <w:rPr>
                <w:color w:val="auto"/>
                <w:sz w:val="21"/>
                <w:szCs w:val="21"/>
                <w:highlight w:val="none"/>
              </w:rPr>
            </w:pPr>
            <w:r>
              <w:rPr>
                <w:color w:val="auto"/>
                <w:kern w:val="0"/>
                <w:sz w:val="21"/>
                <w:szCs w:val="21"/>
                <w:highlight w:val="none"/>
                <w:lang w:bidi="ar"/>
              </w:rPr>
              <w:t>八</w:t>
            </w:r>
          </w:p>
        </w:tc>
        <w:tc>
          <w:tcPr>
            <w:tcW w:w="704" w:type="dxa"/>
            <w:tcBorders>
              <w:top w:val="nil"/>
              <w:left w:val="nil"/>
              <w:bottom w:val="single" w:color="auto" w:sz="8" w:space="0"/>
              <w:right w:val="single" w:color="auto" w:sz="8" w:space="0"/>
            </w:tcBorders>
            <w:shd w:val="clear" w:color="000000" w:fill="FFFFFF"/>
            <w:vAlign w:val="center"/>
          </w:tcPr>
          <w:p w14:paraId="15418BD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F7275FD">
            <w:pPr>
              <w:widowControl/>
              <w:spacing w:line="440" w:lineRule="exact"/>
              <w:textAlignment w:val="center"/>
              <w:rPr>
                <w:color w:val="auto"/>
                <w:sz w:val="21"/>
                <w:szCs w:val="21"/>
                <w:highlight w:val="none"/>
              </w:rPr>
            </w:pPr>
            <w:r>
              <w:rPr>
                <w:color w:val="auto"/>
                <w:kern w:val="0"/>
                <w:sz w:val="21"/>
                <w:szCs w:val="21"/>
                <w:highlight w:val="none"/>
                <w:lang w:bidi="ar"/>
              </w:rPr>
              <w:t>火灾自动报警、环境与设备监控</w:t>
            </w:r>
          </w:p>
        </w:tc>
        <w:tc>
          <w:tcPr>
            <w:tcW w:w="1677" w:type="dxa"/>
            <w:tcBorders>
              <w:top w:val="nil"/>
              <w:left w:val="nil"/>
              <w:bottom w:val="single" w:color="auto" w:sz="8" w:space="0"/>
              <w:right w:val="single" w:color="auto" w:sz="8" w:space="0"/>
            </w:tcBorders>
            <w:shd w:val="clear" w:color="000000" w:fill="FFFFFF"/>
            <w:vAlign w:val="center"/>
          </w:tcPr>
          <w:p w14:paraId="297D2CA9">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753E7D6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3DBE31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9B7E01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1AB8CE5">
            <w:pPr>
              <w:widowControl/>
              <w:spacing w:line="440" w:lineRule="exact"/>
              <w:jc w:val="center"/>
              <w:textAlignment w:val="center"/>
              <w:rPr>
                <w:color w:val="auto"/>
                <w:sz w:val="21"/>
                <w:szCs w:val="21"/>
                <w:highlight w:val="none"/>
              </w:rPr>
            </w:pPr>
            <w:r>
              <w:rPr>
                <w:color w:val="auto"/>
                <w:kern w:val="0"/>
                <w:sz w:val="21"/>
                <w:szCs w:val="21"/>
                <w:highlight w:val="none"/>
                <w:lang w:bidi="ar"/>
              </w:rPr>
              <w:t>23</w:t>
            </w:r>
          </w:p>
        </w:tc>
        <w:tc>
          <w:tcPr>
            <w:tcW w:w="3816" w:type="dxa"/>
            <w:tcBorders>
              <w:top w:val="nil"/>
              <w:left w:val="nil"/>
              <w:bottom w:val="single" w:color="auto" w:sz="8" w:space="0"/>
              <w:right w:val="single" w:color="auto" w:sz="8" w:space="0"/>
            </w:tcBorders>
            <w:shd w:val="clear" w:color="000000" w:fill="FFFFFF"/>
            <w:vAlign w:val="center"/>
          </w:tcPr>
          <w:p w14:paraId="476F7204">
            <w:pPr>
              <w:widowControl/>
              <w:spacing w:line="440" w:lineRule="exact"/>
              <w:textAlignment w:val="center"/>
              <w:rPr>
                <w:color w:val="auto"/>
                <w:sz w:val="21"/>
                <w:szCs w:val="21"/>
                <w:highlight w:val="none"/>
              </w:rPr>
            </w:pPr>
            <w:r>
              <w:rPr>
                <w:color w:val="auto"/>
                <w:kern w:val="0"/>
                <w:sz w:val="21"/>
                <w:szCs w:val="21"/>
                <w:highlight w:val="none"/>
                <w:lang w:bidi="ar"/>
              </w:rPr>
              <w:t>火灾自动报警（FAS）</w:t>
            </w:r>
          </w:p>
        </w:tc>
        <w:tc>
          <w:tcPr>
            <w:tcW w:w="1677" w:type="dxa"/>
            <w:tcBorders>
              <w:top w:val="nil"/>
              <w:left w:val="nil"/>
              <w:bottom w:val="single" w:color="auto" w:sz="8" w:space="0"/>
              <w:right w:val="single" w:color="auto" w:sz="8" w:space="0"/>
            </w:tcBorders>
            <w:shd w:val="clear" w:color="000000" w:fill="FFFFFF"/>
            <w:vAlign w:val="center"/>
          </w:tcPr>
          <w:p w14:paraId="315BF9B8">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223BC67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C15C8E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F0EB90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593F50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19D5828">
            <w:pPr>
              <w:widowControl/>
              <w:spacing w:line="440" w:lineRule="exact"/>
              <w:textAlignment w:val="center"/>
              <w:rPr>
                <w:color w:val="auto"/>
                <w:sz w:val="21"/>
                <w:szCs w:val="21"/>
                <w:highlight w:val="none"/>
              </w:rPr>
            </w:pPr>
            <w:r>
              <w:rPr>
                <w:color w:val="auto"/>
                <w:kern w:val="0"/>
                <w:sz w:val="21"/>
                <w:szCs w:val="21"/>
                <w:highlight w:val="none"/>
                <w:lang w:bidi="ar"/>
              </w:rPr>
              <w:t>一、车站</w:t>
            </w:r>
          </w:p>
        </w:tc>
        <w:tc>
          <w:tcPr>
            <w:tcW w:w="1677" w:type="dxa"/>
            <w:tcBorders>
              <w:top w:val="nil"/>
              <w:left w:val="nil"/>
              <w:bottom w:val="single" w:color="auto" w:sz="8" w:space="0"/>
              <w:right w:val="single" w:color="auto" w:sz="8" w:space="0"/>
            </w:tcBorders>
            <w:shd w:val="clear" w:color="000000" w:fill="FFFFFF"/>
            <w:vAlign w:val="center"/>
          </w:tcPr>
          <w:p w14:paraId="6A7828B5">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673C0CD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F7D911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0C5979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60CF97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542DF69">
            <w:pPr>
              <w:widowControl/>
              <w:spacing w:line="440" w:lineRule="exact"/>
              <w:textAlignment w:val="center"/>
              <w:rPr>
                <w:color w:val="auto"/>
                <w:sz w:val="21"/>
                <w:szCs w:val="21"/>
                <w:highlight w:val="none"/>
              </w:rPr>
            </w:pPr>
            <w:r>
              <w:rPr>
                <w:color w:val="auto"/>
                <w:kern w:val="0"/>
                <w:sz w:val="21"/>
                <w:szCs w:val="21"/>
                <w:highlight w:val="none"/>
                <w:lang w:bidi="ar"/>
              </w:rPr>
              <w:t>二、区间</w:t>
            </w:r>
          </w:p>
        </w:tc>
        <w:tc>
          <w:tcPr>
            <w:tcW w:w="1677" w:type="dxa"/>
            <w:tcBorders>
              <w:top w:val="nil"/>
              <w:left w:val="nil"/>
              <w:bottom w:val="single" w:color="auto" w:sz="8" w:space="0"/>
              <w:right w:val="single" w:color="auto" w:sz="8" w:space="0"/>
            </w:tcBorders>
            <w:shd w:val="clear" w:color="000000" w:fill="FFFFFF"/>
            <w:vAlign w:val="center"/>
          </w:tcPr>
          <w:p w14:paraId="39144BF8">
            <w:pPr>
              <w:widowControl/>
              <w:spacing w:line="440" w:lineRule="exact"/>
              <w:jc w:val="center"/>
              <w:textAlignment w:val="center"/>
              <w:rPr>
                <w:color w:val="auto"/>
                <w:sz w:val="21"/>
                <w:szCs w:val="21"/>
                <w:highlight w:val="none"/>
              </w:rPr>
            </w:pPr>
            <w:r>
              <w:rPr>
                <w:color w:val="auto"/>
                <w:kern w:val="0"/>
                <w:sz w:val="21"/>
                <w:szCs w:val="21"/>
                <w:highlight w:val="none"/>
                <w:lang w:bidi="ar"/>
              </w:rPr>
              <w:t>km</w:t>
            </w:r>
          </w:p>
        </w:tc>
        <w:tc>
          <w:tcPr>
            <w:tcW w:w="6704" w:type="dxa"/>
            <w:tcBorders>
              <w:top w:val="nil"/>
              <w:left w:val="nil"/>
              <w:bottom w:val="single" w:color="auto" w:sz="8" w:space="0"/>
              <w:right w:val="single" w:color="auto" w:sz="8" w:space="0"/>
            </w:tcBorders>
            <w:shd w:val="clear" w:color="000000" w:fill="FFFFFF"/>
            <w:vAlign w:val="center"/>
          </w:tcPr>
          <w:p w14:paraId="3784C9F1">
            <w:pPr>
              <w:widowControl/>
              <w:spacing w:line="440" w:lineRule="exact"/>
              <w:textAlignment w:val="center"/>
              <w:rPr>
                <w:color w:val="auto"/>
                <w:sz w:val="21"/>
                <w:szCs w:val="21"/>
                <w:highlight w:val="none"/>
              </w:rPr>
            </w:pPr>
            <w:r>
              <w:rPr>
                <w:color w:val="auto"/>
                <w:kern w:val="0"/>
                <w:sz w:val="21"/>
                <w:szCs w:val="21"/>
                <w:highlight w:val="none"/>
                <w:lang w:bidi="ar"/>
              </w:rPr>
              <w:t>包括区间风井等。</w:t>
            </w:r>
          </w:p>
        </w:tc>
      </w:tr>
      <w:tr w14:paraId="7B06AFD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2D0933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1F27A9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0262F69">
            <w:pPr>
              <w:widowControl/>
              <w:spacing w:line="440" w:lineRule="exact"/>
              <w:textAlignment w:val="center"/>
              <w:rPr>
                <w:color w:val="auto"/>
                <w:sz w:val="21"/>
                <w:szCs w:val="21"/>
                <w:highlight w:val="none"/>
              </w:rPr>
            </w:pPr>
            <w:r>
              <w:rPr>
                <w:color w:val="auto"/>
                <w:kern w:val="0"/>
                <w:sz w:val="21"/>
                <w:szCs w:val="21"/>
                <w:highlight w:val="none"/>
                <w:lang w:bidi="ar"/>
              </w:rPr>
              <w:t>三、运营控制中心</w:t>
            </w:r>
          </w:p>
        </w:tc>
        <w:tc>
          <w:tcPr>
            <w:tcW w:w="1677" w:type="dxa"/>
            <w:tcBorders>
              <w:top w:val="nil"/>
              <w:left w:val="nil"/>
              <w:bottom w:val="single" w:color="auto" w:sz="8" w:space="0"/>
              <w:right w:val="single" w:color="auto" w:sz="8" w:space="0"/>
            </w:tcBorders>
            <w:shd w:val="clear" w:color="000000" w:fill="FFFFFF"/>
            <w:vAlign w:val="center"/>
          </w:tcPr>
          <w:p w14:paraId="5D6F0F21">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1053455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FD2E6B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ABD81F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FB0386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6BADE21">
            <w:pPr>
              <w:widowControl/>
              <w:spacing w:line="440" w:lineRule="exact"/>
              <w:textAlignment w:val="center"/>
              <w:rPr>
                <w:color w:val="auto"/>
                <w:sz w:val="21"/>
                <w:szCs w:val="21"/>
                <w:highlight w:val="none"/>
              </w:rPr>
            </w:pPr>
            <w:r>
              <w:rPr>
                <w:color w:val="auto"/>
                <w:kern w:val="0"/>
                <w:sz w:val="21"/>
                <w:szCs w:val="21"/>
                <w:highlight w:val="none"/>
                <w:lang w:bidi="ar"/>
              </w:rPr>
              <w:t>四、车辆段</w:t>
            </w:r>
          </w:p>
        </w:tc>
        <w:tc>
          <w:tcPr>
            <w:tcW w:w="1677" w:type="dxa"/>
            <w:tcBorders>
              <w:top w:val="nil"/>
              <w:left w:val="nil"/>
              <w:bottom w:val="single" w:color="auto" w:sz="8" w:space="0"/>
              <w:right w:val="single" w:color="auto" w:sz="8" w:space="0"/>
            </w:tcBorders>
            <w:shd w:val="clear" w:color="000000" w:fill="FFFFFF"/>
            <w:vAlign w:val="center"/>
          </w:tcPr>
          <w:p w14:paraId="691DAA7F">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6C4539F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36ABD7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215BD1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431076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69D1F7E">
            <w:pPr>
              <w:widowControl/>
              <w:spacing w:line="440" w:lineRule="exact"/>
              <w:textAlignment w:val="center"/>
              <w:rPr>
                <w:color w:val="auto"/>
                <w:sz w:val="21"/>
                <w:szCs w:val="21"/>
                <w:highlight w:val="none"/>
              </w:rPr>
            </w:pPr>
            <w:r>
              <w:rPr>
                <w:color w:val="auto"/>
                <w:kern w:val="0"/>
                <w:sz w:val="21"/>
                <w:szCs w:val="21"/>
                <w:highlight w:val="none"/>
                <w:lang w:bidi="ar"/>
              </w:rPr>
              <w:t>五、停车场</w:t>
            </w:r>
          </w:p>
        </w:tc>
        <w:tc>
          <w:tcPr>
            <w:tcW w:w="1677" w:type="dxa"/>
            <w:tcBorders>
              <w:top w:val="nil"/>
              <w:left w:val="nil"/>
              <w:bottom w:val="single" w:color="auto" w:sz="8" w:space="0"/>
              <w:right w:val="single" w:color="auto" w:sz="8" w:space="0"/>
            </w:tcBorders>
            <w:shd w:val="clear" w:color="000000" w:fill="FFFFFF"/>
            <w:vAlign w:val="center"/>
          </w:tcPr>
          <w:p w14:paraId="2C384339">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675D072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2E884C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E283C5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741694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F5C6955">
            <w:pPr>
              <w:widowControl/>
              <w:spacing w:line="440" w:lineRule="exact"/>
              <w:textAlignment w:val="center"/>
              <w:rPr>
                <w:color w:val="auto"/>
                <w:sz w:val="21"/>
                <w:szCs w:val="21"/>
                <w:highlight w:val="none"/>
              </w:rPr>
            </w:pPr>
            <w:r>
              <w:rPr>
                <w:color w:val="auto"/>
                <w:kern w:val="0"/>
                <w:sz w:val="21"/>
                <w:szCs w:val="21"/>
                <w:highlight w:val="none"/>
                <w:lang w:bidi="ar"/>
              </w:rPr>
              <w:t>六、主变电站</w:t>
            </w:r>
          </w:p>
        </w:tc>
        <w:tc>
          <w:tcPr>
            <w:tcW w:w="1677" w:type="dxa"/>
            <w:tcBorders>
              <w:top w:val="nil"/>
              <w:left w:val="nil"/>
              <w:bottom w:val="single" w:color="auto" w:sz="8" w:space="0"/>
              <w:right w:val="single" w:color="auto" w:sz="8" w:space="0"/>
            </w:tcBorders>
            <w:shd w:val="clear" w:color="000000" w:fill="FFFFFF"/>
            <w:vAlign w:val="center"/>
          </w:tcPr>
          <w:p w14:paraId="299163F4">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5D7CFF1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99743B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50DD40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423F57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3B3C6FF">
            <w:pPr>
              <w:widowControl/>
              <w:spacing w:line="440" w:lineRule="exact"/>
              <w:textAlignment w:val="center"/>
              <w:rPr>
                <w:color w:val="auto"/>
                <w:sz w:val="21"/>
                <w:szCs w:val="21"/>
                <w:highlight w:val="none"/>
              </w:rPr>
            </w:pPr>
            <w:r>
              <w:rPr>
                <w:color w:val="auto"/>
                <w:kern w:val="0"/>
                <w:sz w:val="21"/>
                <w:szCs w:val="21"/>
                <w:highlight w:val="none"/>
                <w:lang w:bidi="ar"/>
              </w:rPr>
              <w:t>七、区间变电所</w:t>
            </w:r>
          </w:p>
        </w:tc>
        <w:tc>
          <w:tcPr>
            <w:tcW w:w="1677" w:type="dxa"/>
            <w:tcBorders>
              <w:top w:val="nil"/>
              <w:left w:val="nil"/>
              <w:bottom w:val="single" w:color="auto" w:sz="8" w:space="0"/>
              <w:right w:val="single" w:color="auto" w:sz="8" w:space="0"/>
            </w:tcBorders>
            <w:shd w:val="clear" w:color="000000" w:fill="FFFFFF"/>
            <w:vAlign w:val="center"/>
          </w:tcPr>
          <w:p w14:paraId="25A15AB0">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0A47C92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CE82C5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CEEF06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780DC3A">
            <w:pPr>
              <w:widowControl/>
              <w:spacing w:line="440" w:lineRule="exact"/>
              <w:jc w:val="center"/>
              <w:textAlignment w:val="center"/>
              <w:rPr>
                <w:color w:val="auto"/>
                <w:sz w:val="21"/>
                <w:szCs w:val="21"/>
                <w:highlight w:val="none"/>
              </w:rPr>
            </w:pPr>
            <w:r>
              <w:rPr>
                <w:color w:val="auto"/>
                <w:kern w:val="0"/>
                <w:sz w:val="21"/>
                <w:szCs w:val="21"/>
                <w:highlight w:val="none"/>
                <w:lang w:bidi="ar"/>
              </w:rPr>
              <w:t>24</w:t>
            </w:r>
          </w:p>
        </w:tc>
        <w:tc>
          <w:tcPr>
            <w:tcW w:w="3816" w:type="dxa"/>
            <w:tcBorders>
              <w:top w:val="nil"/>
              <w:left w:val="nil"/>
              <w:bottom w:val="single" w:color="auto" w:sz="8" w:space="0"/>
              <w:right w:val="single" w:color="auto" w:sz="8" w:space="0"/>
            </w:tcBorders>
            <w:shd w:val="clear" w:color="000000" w:fill="FFFFFF"/>
            <w:vAlign w:val="center"/>
          </w:tcPr>
          <w:p w14:paraId="583A244F">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环境与设备监控（</w:t>
            </w:r>
            <w:r>
              <w:rPr>
                <w:color w:val="auto"/>
                <w:kern w:val="0"/>
                <w:sz w:val="21"/>
                <w:szCs w:val="21"/>
                <w:highlight w:val="none"/>
                <w:lang w:bidi="ar"/>
              </w:rPr>
              <w:t>BAS</w:t>
            </w:r>
            <w:r>
              <w:rPr>
                <w:rFonts w:hint="eastAsia" w:ascii="宋体" w:hAnsi="宋体" w:cs="宋体"/>
                <w:color w:val="auto"/>
                <w:kern w:val="0"/>
                <w:sz w:val="21"/>
                <w:szCs w:val="21"/>
                <w:highlight w:val="none"/>
                <w:lang w:bidi="ar"/>
              </w:rPr>
              <w:t>）</w:t>
            </w:r>
          </w:p>
        </w:tc>
        <w:tc>
          <w:tcPr>
            <w:tcW w:w="1677" w:type="dxa"/>
            <w:tcBorders>
              <w:top w:val="nil"/>
              <w:left w:val="nil"/>
              <w:bottom w:val="single" w:color="auto" w:sz="8" w:space="0"/>
              <w:right w:val="single" w:color="auto" w:sz="8" w:space="0"/>
            </w:tcBorders>
            <w:shd w:val="clear" w:color="000000" w:fill="FFFFFF"/>
            <w:vAlign w:val="center"/>
          </w:tcPr>
          <w:p w14:paraId="2D212374">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48B5A70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75BC8D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C96AEE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D2963E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9E36A5D">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一、车站</w:t>
            </w:r>
          </w:p>
        </w:tc>
        <w:tc>
          <w:tcPr>
            <w:tcW w:w="1677" w:type="dxa"/>
            <w:tcBorders>
              <w:top w:val="nil"/>
              <w:left w:val="nil"/>
              <w:bottom w:val="single" w:color="auto" w:sz="8" w:space="0"/>
              <w:right w:val="single" w:color="auto" w:sz="8" w:space="0"/>
            </w:tcBorders>
            <w:shd w:val="clear" w:color="000000" w:fill="FFFFFF"/>
            <w:vAlign w:val="center"/>
          </w:tcPr>
          <w:p w14:paraId="550314CC">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19FFE8F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F870C9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F142D1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645A51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70478E1">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二、区间</w:t>
            </w:r>
          </w:p>
        </w:tc>
        <w:tc>
          <w:tcPr>
            <w:tcW w:w="1677" w:type="dxa"/>
            <w:tcBorders>
              <w:top w:val="nil"/>
              <w:left w:val="nil"/>
              <w:bottom w:val="single" w:color="auto" w:sz="8" w:space="0"/>
              <w:right w:val="single" w:color="auto" w:sz="8" w:space="0"/>
            </w:tcBorders>
            <w:shd w:val="clear" w:color="000000" w:fill="FFFFFF"/>
            <w:vAlign w:val="center"/>
          </w:tcPr>
          <w:p w14:paraId="731C034E">
            <w:pPr>
              <w:widowControl/>
              <w:spacing w:line="440" w:lineRule="exact"/>
              <w:jc w:val="center"/>
              <w:textAlignment w:val="center"/>
              <w:rPr>
                <w:color w:val="auto"/>
                <w:sz w:val="21"/>
                <w:szCs w:val="21"/>
                <w:highlight w:val="none"/>
              </w:rPr>
            </w:pPr>
            <w:r>
              <w:rPr>
                <w:color w:val="auto"/>
                <w:kern w:val="0"/>
                <w:sz w:val="21"/>
                <w:szCs w:val="21"/>
                <w:highlight w:val="none"/>
                <w:lang w:bidi="ar"/>
              </w:rPr>
              <w:t>km</w:t>
            </w:r>
          </w:p>
        </w:tc>
        <w:tc>
          <w:tcPr>
            <w:tcW w:w="6704" w:type="dxa"/>
            <w:tcBorders>
              <w:top w:val="nil"/>
              <w:left w:val="nil"/>
              <w:bottom w:val="single" w:color="auto" w:sz="8" w:space="0"/>
              <w:right w:val="single" w:color="auto" w:sz="8" w:space="0"/>
            </w:tcBorders>
            <w:shd w:val="clear" w:color="000000" w:fill="FFFFFF"/>
            <w:vAlign w:val="center"/>
          </w:tcPr>
          <w:p w14:paraId="32EAD415">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包括区间风井等。</w:t>
            </w:r>
          </w:p>
        </w:tc>
      </w:tr>
      <w:tr w14:paraId="0ADF4B9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0D1688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F42775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0565CCF">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三、运营控制中心</w:t>
            </w:r>
          </w:p>
        </w:tc>
        <w:tc>
          <w:tcPr>
            <w:tcW w:w="1677" w:type="dxa"/>
            <w:tcBorders>
              <w:top w:val="nil"/>
              <w:left w:val="nil"/>
              <w:bottom w:val="single" w:color="auto" w:sz="8" w:space="0"/>
              <w:right w:val="single" w:color="auto" w:sz="8" w:space="0"/>
            </w:tcBorders>
            <w:shd w:val="clear" w:color="000000" w:fill="FFFFFF"/>
            <w:vAlign w:val="center"/>
          </w:tcPr>
          <w:p w14:paraId="15313E56">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6505354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A8F46A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14480E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0AD481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C55800D">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四、车辆段</w:t>
            </w:r>
          </w:p>
        </w:tc>
        <w:tc>
          <w:tcPr>
            <w:tcW w:w="1677" w:type="dxa"/>
            <w:tcBorders>
              <w:top w:val="nil"/>
              <w:left w:val="nil"/>
              <w:bottom w:val="single" w:color="auto" w:sz="8" w:space="0"/>
              <w:right w:val="single" w:color="auto" w:sz="8" w:space="0"/>
            </w:tcBorders>
            <w:shd w:val="clear" w:color="000000" w:fill="FFFFFF"/>
            <w:vAlign w:val="center"/>
          </w:tcPr>
          <w:p w14:paraId="4CEB6AAF">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60CD97A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F74BB0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196E9E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6B9FB1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0E2FDA7">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五、停车场</w:t>
            </w:r>
          </w:p>
        </w:tc>
        <w:tc>
          <w:tcPr>
            <w:tcW w:w="1677" w:type="dxa"/>
            <w:tcBorders>
              <w:top w:val="nil"/>
              <w:left w:val="nil"/>
              <w:bottom w:val="single" w:color="auto" w:sz="8" w:space="0"/>
              <w:right w:val="single" w:color="auto" w:sz="8" w:space="0"/>
            </w:tcBorders>
            <w:shd w:val="clear" w:color="000000" w:fill="FFFFFF"/>
            <w:vAlign w:val="center"/>
          </w:tcPr>
          <w:p w14:paraId="744DC297">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253B187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451556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019263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9F778A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B962297">
            <w:pPr>
              <w:widowControl/>
              <w:spacing w:line="440" w:lineRule="exact"/>
              <w:textAlignment w:val="center"/>
              <w:rPr>
                <w:color w:val="auto"/>
                <w:sz w:val="21"/>
                <w:szCs w:val="21"/>
                <w:highlight w:val="none"/>
              </w:rPr>
            </w:pPr>
            <w:r>
              <w:rPr>
                <w:rFonts w:hint="eastAsia" w:ascii="宋体" w:hAnsi="宋体" w:cs="宋体"/>
                <w:color w:val="auto"/>
                <w:kern w:val="0"/>
                <w:sz w:val="21"/>
                <w:szCs w:val="21"/>
                <w:highlight w:val="none"/>
                <w:lang w:bidi="ar"/>
              </w:rPr>
              <w:t>六、主变电站</w:t>
            </w:r>
          </w:p>
        </w:tc>
        <w:tc>
          <w:tcPr>
            <w:tcW w:w="1677" w:type="dxa"/>
            <w:tcBorders>
              <w:top w:val="nil"/>
              <w:left w:val="nil"/>
              <w:bottom w:val="single" w:color="auto" w:sz="8" w:space="0"/>
              <w:right w:val="single" w:color="auto" w:sz="8" w:space="0"/>
            </w:tcBorders>
            <w:shd w:val="clear" w:color="000000" w:fill="FFFFFF"/>
            <w:vAlign w:val="center"/>
          </w:tcPr>
          <w:p w14:paraId="293018EF">
            <w:pPr>
              <w:widowControl/>
              <w:spacing w:line="440" w:lineRule="exact"/>
              <w:jc w:val="center"/>
              <w:textAlignment w:val="center"/>
              <w:rPr>
                <w:color w:val="auto"/>
                <w:sz w:val="21"/>
                <w:szCs w:val="21"/>
                <w:highlight w:val="none"/>
              </w:rPr>
            </w:pPr>
            <w:r>
              <w:rPr>
                <w:rFonts w:hint="eastAsia" w:ascii="宋体" w:hAnsi="宋体" w:cs="宋体"/>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7E78B32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3D1DBE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A1415F2">
            <w:pPr>
              <w:widowControl/>
              <w:spacing w:line="440" w:lineRule="exact"/>
              <w:jc w:val="center"/>
              <w:textAlignment w:val="center"/>
              <w:rPr>
                <w:color w:val="auto"/>
                <w:kern w:val="0"/>
                <w:sz w:val="21"/>
                <w:szCs w:val="21"/>
                <w:highlight w:val="none"/>
                <w:lang w:bidi="ar"/>
              </w:rPr>
            </w:pPr>
          </w:p>
        </w:tc>
        <w:tc>
          <w:tcPr>
            <w:tcW w:w="704" w:type="dxa"/>
            <w:tcBorders>
              <w:top w:val="nil"/>
              <w:left w:val="nil"/>
              <w:bottom w:val="single" w:color="auto" w:sz="8" w:space="0"/>
              <w:right w:val="single" w:color="auto" w:sz="8" w:space="0"/>
            </w:tcBorders>
            <w:shd w:val="clear" w:color="000000" w:fill="FFFFFF"/>
            <w:vAlign w:val="center"/>
          </w:tcPr>
          <w:p w14:paraId="76CB0C23">
            <w:pPr>
              <w:widowControl/>
              <w:spacing w:line="440" w:lineRule="exact"/>
              <w:jc w:val="center"/>
              <w:textAlignment w:val="center"/>
              <w:rPr>
                <w:color w:val="auto"/>
                <w:kern w:val="0"/>
                <w:sz w:val="21"/>
                <w:szCs w:val="21"/>
                <w:highlight w:val="none"/>
                <w:lang w:bidi="ar"/>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E734708">
            <w:pPr>
              <w:widowControl/>
              <w:spacing w:line="440" w:lineRule="exact"/>
              <w:textAlignment w:val="center"/>
              <w:rPr>
                <w:color w:val="auto"/>
                <w:kern w:val="0"/>
                <w:sz w:val="21"/>
                <w:szCs w:val="21"/>
                <w:highlight w:val="none"/>
                <w:lang w:bidi="ar"/>
              </w:rPr>
            </w:pPr>
            <w:r>
              <w:rPr>
                <w:rFonts w:hint="eastAsia" w:ascii="宋体" w:hAnsi="宋体" w:cs="宋体"/>
                <w:color w:val="auto"/>
                <w:kern w:val="0"/>
                <w:sz w:val="21"/>
                <w:szCs w:val="21"/>
                <w:highlight w:val="none"/>
                <w:lang w:bidi="ar"/>
              </w:rPr>
              <w:t>七、区间变电所</w:t>
            </w:r>
          </w:p>
        </w:tc>
        <w:tc>
          <w:tcPr>
            <w:tcW w:w="1677" w:type="dxa"/>
            <w:tcBorders>
              <w:top w:val="nil"/>
              <w:left w:val="nil"/>
              <w:bottom w:val="single" w:color="auto" w:sz="8" w:space="0"/>
              <w:right w:val="single" w:color="auto" w:sz="8" w:space="0"/>
            </w:tcBorders>
            <w:shd w:val="clear" w:color="000000" w:fill="FFFFFF"/>
            <w:vAlign w:val="center"/>
          </w:tcPr>
          <w:p w14:paraId="7E576571">
            <w:pPr>
              <w:widowControl/>
              <w:spacing w:line="440" w:lineRule="exact"/>
              <w:jc w:val="center"/>
              <w:textAlignment w:val="center"/>
              <w:rPr>
                <w:color w:val="auto"/>
                <w:kern w:val="0"/>
                <w:sz w:val="21"/>
                <w:szCs w:val="21"/>
                <w:highlight w:val="none"/>
                <w:lang w:bidi="ar"/>
              </w:rPr>
            </w:pPr>
            <w:r>
              <w:rPr>
                <w:rFonts w:hint="eastAsia" w:ascii="宋体" w:hAnsi="宋体" w:cs="宋体"/>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6F976503">
            <w:pPr>
              <w:widowControl/>
              <w:spacing w:line="440" w:lineRule="exact"/>
              <w:textAlignment w:val="center"/>
              <w:rPr>
                <w:color w:val="auto"/>
                <w:kern w:val="0"/>
                <w:sz w:val="21"/>
                <w:szCs w:val="21"/>
                <w:highlight w:val="none"/>
                <w:lang w:bidi="ar"/>
              </w:rPr>
            </w:pPr>
            <w:r>
              <w:rPr>
                <w:color w:val="auto"/>
                <w:kern w:val="0"/>
                <w:sz w:val="21"/>
                <w:szCs w:val="21"/>
                <w:highlight w:val="none"/>
                <w:lang w:bidi="ar"/>
              </w:rPr>
              <w:t>　</w:t>
            </w:r>
          </w:p>
        </w:tc>
      </w:tr>
      <w:tr w14:paraId="7A7BFF1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F0A2BEC">
            <w:pPr>
              <w:widowControl/>
              <w:spacing w:line="440" w:lineRule="exact"/>
              <w:jc w:val="center"/>
              <w:textAlignment w:val="center"/>
              <w:rPr>
                <w:color w:val="auto"/>
                <w:sz w:val="21"/>
                <w:szCs w:val="21"/>
                <w:highlight w:val="none"/>
              </w:rPr>
            </w:pPr>
            <w:r>
              <w:rPr>
                <w:color w:val="auto"/>
                <w:kern w:val="0"/>
                <w:sz w:val="21"/>
                <w:szCs w:val="21"/>
                <w:highlight w:val="none"/>
                <w:lang w:bidi="ar"/>
              </w:rPr>
              <w:t>九</w:t>
            </w:r>
          </w:p>
        </w:tc>
        <w:tc>
          <w:tcPr>
            <w:tcW w:w="704" w:type="dxa"/>
            <w:tcBorders>
              <w:top w:val="nil"/>
              <w:left w:val="nil"/>
              <w:bottom w:val="single" w:color="auto" w:sz="8" w:space="0"/>
              <w:right w:val="single" w:color="auto" w:sz="8" w:space="0"/>
            </w:tcBorders>
            <w:shd w:val="clear" w:color="000000" w:fill="FFFFFF"/>
            <w:vAlign w:val="center"/>
          </w:tcPr>
          <w:p w14:paraId="67F395EB">
            <w:pPr>
              <w:widowControl/>
              <w:spacing w:line="440" w:lineRule="exact"/>
              <w:jc w:val="center"/>
              <w:textAlignment w:val="center"/>
              <w:rPr>
                <w:color w:val="auto"/>
                <w:sz w:val="21"/>
                <w:szCs w:val="21"/>
                <w:highlight w:val="none"/>
              </w:rPr>
            </w:pPr>
            <w:r>
              <w:rPr>
                <w:color w:val="auto"/>
                <w:kern w:val="0"/>
                <w:sz w:val="21"/>
                <w:szCs w:val="21"/>
                <w:highlight w:val="none"/>
                <w:lang w:bidi="ar"/>
              </w:rPr>
              <w:t>25</w:t>
            </w:r>
          </w:p>
        </w:tc>
        <w:tc>
          <w:tcPr>
            <w:tcW w:w="3816" w:type="dxa"/>
            <w:tcBorders>
              <w:top w:val="nil"/>
              <w:left w:val="nil"/>
              <w:bottom w:val="single" w:color="auto" w:sz="8" w:space="0"/>
              <w:right w:val="single" w:color="auto" w:sz="8" w:space="0"/>
            </w:tcBorders>
            <w:shd w:val="clear" w:color="000000" w:fill="FFFFFF"/>
            <w:vAlign w:val="center"/>
          </w:tcPr>
          <w:p w14:paraId="5B5E9699">
            <w:pPr>
              <w:widowControl/>
              <w:spacing w:line="440" w:lineRule="exact"/>
              <w:textAlignment w:val="center"/>
              <w:rPr>
                <w:color w:val="auto"/>
                <w:sz w:val="21"/>
                <w:szCs w:val="21"/>
                <w:highlight w:val="none"/>
              </w:rPr>
            </w:pPr>
            <w:r>
              <w:rPr>
                <w:color w:val="auto"/>
                <w:kern w:val="0"/>
                <w:sz w:val="21"/>
                <w:szCs w:val="21"/>
                <w:highlight w:val="none"/>
                <w:lang w:bidi="ar"/>
              </w:rPr>
              <w:t>安防与门禁</w:t>
            </w:r>
          </w:p>
        </w:tc>
        <w:tc>
          <w:tcPr>
            <w:tcW w:w="1677" w:type="dxa"/>
            <w:tcBorders>
              <w:top w:val="nil"/>
              <w:left w:val="nil"/>
              <w:bottom w:val="single" w:color="auto" w:sz="8" w:space="0"/>
              <w:right w:val="single" w:color="auto" w:sz="8" w:space="0"/>
            </w:tcBorders>
            <w:shd w:val="clear" w:color="000000" w:fill="FFFFFF"/>
            <w:vAlign w:val="center"/>
          </w:tcPr>
          <w:p w14:paraId="3134088E">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449B8DC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D4408C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E447CB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5D2178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60C29E4">
            <w:pPr>
              <w:widowControl/>
              <w:spacing w:line="440" w:lineRule="exact"/>
              <w:textAlignment w:val="center"/>
              <w:rPr>
                <w:color w:val="auto"/>
                <w:sz w:val="21"/>
                <w:szCs w:val="21"/>
                <w:highlight w:val="none"/>
              </w:rPr>
            </w:pPr>
            <w:r>
              <w:rPr>
                <w:color w:val="auto"/>
                <w:kern w:val="0"/>
                <w:sz w:val="21"/>
                <w:szCs w:val="21"/>
                <w:highlight w:val="none"/>
                <w:lang w:bidi="ar"/>
              </w:rPr>
              <w:t>一、安防系统</w:t>
            </w:r>
          </w:p>
        </w:tc>
        <w:tc>
          <w:tcPr>
            <w:tcW w:w="1677" w:type="dxa"/>
            <w:tcBorders>
              <w:top w:val="nil"/>
              <w:left w:val="nil"/>
              <w:bottom w:val="single" w:color="auto" w:sz="8" w:space="0"/>
              <w:right w:val="single" w:color="auto" w:sz="8" w:space="0"/>
            </w:tcBorders>
            <w:shd w:val="clear" w:color="000000" w:fill="FFFFFF"/>
            <w:vAlign w:val="center"/>
          </w:tcPr>
          <w:p w14:paraId="30A98E3F">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010EB449">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AB31B8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B6F88A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0325C9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2A29A9D">
            <w:pPr>
              <w:widowControl/>
              <w:spacing w:line="440" w:lineRule="exact"/>
              <w:textAlignment w:val="center"/>
              <w:rPr>
                <w:color w:val="auto"/>
                <w:sz w:val="21"/>
                <w:szCs w:val="21"/>
                <w:highlight w:val="none"/>
              </w:rPr>
            </w:pPr>
            <w:r>
              <w:rPr>
                <w:color w:val="auto"/>
                <w:kern w:val="0"/>
                <w:sz w:val="21"/>
                <w:szCs w:val="21"/>
                <w:highlight w:val="none"/>
                <w:lang w:bidi="ar"/>
              </w:rPr>
              <w:t>（一）车站</w:t>
            </w:r>
          </w:p>
        </w:tc>
        <w:tc>
          <w:tcPr>
            <w:tcW w:w="1677" w:type="dxa"/>
            <w:tcBorders>
              <w:top w:val="nil"/>
              <w:left w:val="nil"/>
              <w:bottom w:val="single" w:color="auto" w:sz="8" w:space="0"/>
              <w:right w:val="single" w:color="auto" w:sz="8" w:space="0"/>
            </w:tcBorders>
            <w:shd w:val="clear" w:color="000000" w:fill="FFFFFF"/>
            <w:vAlign w:val="center"/>
          </w:tcPr>
          <w:p w14:paraId="6369E6D1">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58ADB473">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9B523A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B26CCB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7827AC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814105F">
            <w:pPr>
              <w:widowControl/>
              <w:spacing w:line="440" w:lineRule="exact"/>
              <w:textAlignment w:val="center"/>
              <w:rPr>
                <w:color w:val="auto"/>
                <w:sz w:val="21"/>
                <w:szCs w:val="21"/>
                <w:highlight w:val="none"/>
              </w:rPr>
            </w:pPr>
            <w:r>
              <w:rPr>
                <w:color w:val="auto"/>
                <w:kern w:val="0"/>
                <w:sz w:val="21"/>
                <w:szCs w:val="21"/>
                <w:highlight w:val="none"/>
                <w:lang w:bidi="ar"/>
              </w:rPr>
              <w:t>（二）运营控制中心</w:t>
            </w:r>
          </w:p>
        </w:tc>
        <w:tc>
          <w:tcPr>
            <w:tcW w:w="1677" w:type="dxa"/>
            <w:tcBorders>
              <w:top w:val="nil"/>
              <w:left w:val="nil"/>
              <w:bottom w:val="single" w:color="auto" w:sz="8" w:space="0"/>
              <w:right w:val="single" w:color="auto" w:sz="8" w:space="0"/>
            </w:tcBorders>
            <w:shd w:val="clear" w:color="000000" w:fill="FFFFFF"/>
            <w:vAlign w:val="center"/>
          </w:tcPr>
          <w:p w14:paraId="4A520051">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0FBB1FB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E235BD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EF03E1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A695FC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E38E1F1">
            <w:pPr>
              <w:widowControl/>
              <w:spacing w:line="440" w:lineRule="exact"/>
              <w:textAlignment w:val="center"/>
              <w:rPr>
                <w:color w:val="auto"/>
                <w:sz w:val="21"/>
                <w:szCs w:val="21"/>
                <w:highlight w:val="none"/>
              </w:rPr>
            </w:pPr>
            <w:r>
              <w:rPr>
                <w:color w:val="auto"/>
                <w:kern w:val="0"/>
                <w:sz w:val="21"/>
                <w:szCs w:val="21"/>
                <w:highlight w:val="none"/>
                <w:lang w:bidi="ar"/>
              </w:rPr>
              <w:t>（三）车辆段</w:t>
            </w:r>
          </w:p>
        </w:tc>
        <w:tc>
          <w:tcPr>
            <w:tcW w:w="1677" w:type="dxa"/>
            <w:tcBorders>
              <w:top w:val="nil"/>
              <w:left w:val="nil"/>
              <w:bottom w:val="single" w:color="auto" w:sz="8" w:space="0"/>
              <w:right w:val="single" w:color="auto" w:sz="8" w:space="0"/>
            </w:tcBorders>
            <w:shd w:val="clear" w:color="000000" w:fill="FFFFFF"/>
            <w:vAlign w:val="center"/>
          </w:tcPr>
          <w:p w14:paraId="76BDA13F">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1D58C8A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5B3FFE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DFAADF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EACF65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B7A70EC">
            <w:pPr>
              <w:widowControl/>
              <w:spacing w:line="440" w:lineRule="exact"/>
              <w:textAlignment w:val="center"/>
              <w:rPr>
                <w:color w:val="auto"/>
                <w:sz w:val="21"/>
                <w:szCs w:val="21"/>
                <w:highlight w:val="none"/>
              </w:rPr>
            </w:pPr>
            <w:r>
              <w:rPr>
                <w:color w:val="auto"/>
                <w:kern w:val="0"/>
                <w:sz w:val="21"/>
                <w:szCs w:val="21"/>
                <w:highlight w:val="none"/>
                <w:lang w:bidi="ar"/>
              </w:rPr>
              <w:t>（四）停车场</w:t>
            </w:r>
          </w:p>
        </w:tc>
        <w:tc>
          <w:tcPr>
            <w:tcW w:w="1677" w:type="dxa"/>
            <w:tcBorders>
              <w:top w:val="nil"/>
              <w:left w:val="nil"/>
              <w:bottom w:val="single" w:color="auto" w:sz="8" w:space="0"/>
              <w:right w:val="single" w:color="auto" w:sz="8" w:space="0"/>
            </w:tcBorders>
            <w:shd w:val="clear" w:color="000000" w:fill="FFFFFF"/>
            <w:vAlign w:val="center"/>
          </w:tcPr>
          <w:p w14:paraId="730BE049">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697D98D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EC578E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51B779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E1D51C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98381FB">
            <w:pPr>
              <w:widowControl/>
              <w:spacing w:line="440" w:lineRule="exact"/>
              <w:textAlignment w:val="center"/>
              <w:rPr>
                <w:color w:val="auto"/>
                <w:sz w:val="21"/>
                <w:szCs w:val="21"/>
                <w:highlight w:val="none"/>
              </w:rPr>
            </w:pPr>
            <w:r>
              <w:rPr>
                <w:color w:val="auto"/>
                <w:kern w:val="0"/>
                <w:sz w:val="21"/>
                <w:szCs w:val="21"/>
                <w:highlight w:val="none"/>
                <w:lang w:bidi="ar"/>
              </w:rPr>
              <w:t>二、门禁系统（ACSC）</w:t>
            </w:r>
          </w:p>
        </w:tc>
        <w:tc>
          <w:tcPr>
            <w:tcW w:w="1677" w:type="dxa"/>
            <w:tcBorders>
              <w:top w:val="nil"/>
              <w:left w:val="nil"/>
              <w:bottom w:val="single" w:color="auto" w:sz="8" w:space="0"/>
              <w:right w:val="single" w:color="auto" w:sz="8" w:space="0"/>
            </w:tcBorders>
            <w:shd w:val="clear" w:color="000000" w:fill="FFFFFF"/>
            <w:vAlign w:val="center"/>
          </w:tcPr>
          <w:p w14:paraId="232534FF">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66B8830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1B44B6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DD4A3F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39A0C2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5089C1E">
            <w:pPr>
              <w:widowControl/>
              <w:spacing w:line="440" w:lineRule="exact"/>
              <w:textAlignment w:val="center"/>
              <w:rPr>
                <w:color w:val="auto"/>
                <w:sz w:val="21"/>
                <w:szCs w:val="21"/>
                <w:highlight w:val="none"/>
              </w:rPr>
            </w:pPr>
            <w:r>
              <w:rPr>
                <w:color w:val="auto"/>
                <w:kern w:val="0"/>
                <w:sz w:val="21"/>
                <w:szCs w:val="21"/>
                <w:highlight w:val="none"/>
                <w:lang w:bidi="ar"/>
              </w:rPr>
              <w:t>（一）车站</w:t>
            </w:r>
          </w:p>
        </w:tc>
        <w:tc>
          <w:tcPr>
            <w:tcW w:w="1677" w:type="dxa"/>
            <w:tcBorders>
              <w:top w:val="nil"/>
              <w:left w:val="nil"/>
              <w:bottom w:val="single" w:color="auto" w:sz="8" w:space="0"/>
              <w:right w:val="single" w:color="auto" w:sz="8" w:space="0"/>
            </w:tcBorders>
            <w:shd w:val="clear" w:color="000000" w:fill="FFFFFF"/>
            <w:vAlign w:val="center"/>
          </w:tcPr>
          <w:p w14:paraId="72DEA49B">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39E2A8E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752D82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F55A48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42E3E4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488F749">
            <w:pPr>
              <w:widowControl/>
              <w:spacing w:line="440" w:lineRule="exact"/>
              <w:textAlignment w:val="center"/>
              <w:rPr>
                <w:color w:val="auto"/>
                <w:sz w:val="21"/>
                <w:szCs w:val="21"/>
                <w:highlight w:val="none"/>
              </w:rPr>
            </w:pPr>
            <w:r>
              <w:rPr>
                <w:color w:val="auto"/>
                <w:kern w:val="0"/>
                <w:sz w:val="21"/>
                <w:szCs w:val="21"/>
                <w:highlight w:val="none"/>
                <w:lang w:bidi="ar"/>
              </w:rPr>
              <w:t>（二）运营控制中心</w:t>
            </w:r>
          </w:p>
        </w:tc>
        <w:tc>
          <w:tcPr>
            <w:tcW w:w="1677" w:type="dxa"/>
            <w:tcBorders>
              <w:top w:val="nil"/>
              <w:left w:val="nil"/>
              <w:bottom w:val="single" w:color="auto" w:sz="8" w:space="0"/>
              <w:right w:val="single" w:color="auto" w:sz="8" w:space="0"/>
            </w:tcBorders>
            <w:shd w:val="clear" w:color="000000" w:fill="FFFFFF"/>
            <w:vAlign w:val="center"/>
          </w:tcPr>
          <w:p w14:paraId="4DA96079">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0F67C67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077306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785311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D5F4EA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2E0E740">
            <w:pPr>
              <w:widowControl/>
              <w:spacing w:line="440" w:lineRule="exact"/>
              <w:textAlignment w:val="center"/>
              <w:rPr>
                <w:color w:val="auto"/>
                <w:sz w:val="21"/>
                <w:szCs w:val="21"/>
                <w:highlight w:val="none"/>
              </w:rPr>
            </w:pPr>
            <w:r>
              <w:rPr>
                <w:color w:val="auto"/>
                <w:kern w:val="0"/>
                <w:sz w:val="21"/>
                <w:szCs w:val="21"/>
                <w:highlight w:val="none"/>
                <w:lang w:bidi="ar"/>
              </w:rPr>
              <w:t>（三）车辆段</w:t>
            </w:r>
          </w:p>
        </w:tc>
        <w:tc>
          <w:tcPr>
            <w:tcW w:w="1677" w:type="dxa"/>
            <w:tcBorders>
              <w:top w:val="nil"/>
              <w:left w:val="nil"/>
              <w:bottom w:val="single" w:color="auto" w:sz="8" w:space="0"/>
              <w:right w:val="single" w:color="auto" w:sz="8" w:space="0"/>
            </w:tcBorders>
            <w:shd w:val="clear" w:color="000000" w:fill="FFFFFF"/>
            <w:vAlign w:val="center"/>
          </w:tcPr>
          <w:p w14:paraId="797720D7">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33C0BFD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EC4F1F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2A12F5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B25B13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D84DC97">
            <w:pPr>
              <w:widowControl/>
              <w:spacing w:line="440" w:lineRule="exact"/>
              <w:textAlignment w:val="center"/>
              <w:rPr>
                <w:color w:val="auto"/>
                <w:sz w:val="21"/>
                <w:szCs w:val="21"/>
                <w:highlight w:val="none"/>
              </w:rPr>
            </w:pPr>
            <w:r>
              <w:rPr>
                <w:color w:val="auto"/>
                <w:kern w:val="0"/>
                <w:sz w:val="21"/>
                <w:szCs w:val="21"/>
                <w:highlight w:val="none"/>
                <w:lang w:bidi="ar"/>
              </w:rPr>
              <w:t>（四）停车场</w:t>
            </w:r>
          </w:p>
        </w:tc>
        <w:tc>
          <w:tcPr>
            <w:tcW w:w="1677" w:type="dxa"/>
            <w:tcBorders>
              <w:top w:val="nil"/>
              <w:left w:val="nil"/>
              <w:bottom w:val="single" w:color="auto" w:sz="8" w:space="0"/>
              <w:right w:val="single" w:color="auto" w:sz="8" w:space="0"/>
            </w:tcBorders>
            <w:shd w:val="clear" w:color="000000" w:fill="FFFFFF"/>
            <w:vAlign w:val="center"/>
          </w:tcPr>
          <w:p w14:paraId="3DDBB8A0">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71F518F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6731FF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6EFC68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0C5466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E988652">
            <w:pPr>
              <w:widowControl/>
              <w:spacing w:line="440" w:lineRule="exact"/>
              <w:textAlignment w:val="center"/>
              <w:rPr>
                <w:color w:val="auto"/>
                <w:sz w:val="21"/>
                <w:szCs w:val="21"/>
                <w:highlight w:val="none"/>
              </w:rPr>
            </w:pPr>
            <w:r>
              <w:rPr>
                <w:color w:val="auto"/>
                <w:kern w:val="0"/>
                <w:sz w:val="21"/>
                <w:szCs w:val="21"/>
                <w:highlight w:val="none"/>
                <w:lang w:bidi="ar"/>
              </w:rPr>
              <w:t>（五）主变电站</w:t>
            </w:r>
          </w:p>
        </w:tc>
        <w:tc>
          <w:tcPr>
            <w:tcW w:w="1677" w:type="dxa"/>
            <w:tcBorders>
              <w:top w:val="nil"/>
              <w:left w:val="nil"/>
              <w:bottom w:val="single" w:color="auto" w:sz="8" w:space="0"/>
              <w:right w:val="single" w:color="auto" w:sz="8" w:space="0"/>
            </w:tcBorders>
            <w:shd w:val="clear" w:color="000000" w:fill="FFFFFF"/>
            <w:vAlign w:val="center"/>
          </w:tcPr>
          <w:p w14:paraId="48A4D1F9">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27C2E64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2BB4AC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46E721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ECEDD5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B13265A">
            <w:pPr>
              <w:widowControl/>
              <w:spacing w:line="440" w:lineRule="exact"/>
              <w:textAlignment w:val="center"/>
              <w:rPr>
                <w:color w:val="auto"/>
                <w:sz w:val="21"/>
                <w:szCs w:val="21"/>
                <w:highlight w:val="none"/>
              </w:rPr>
            </w:pPr>
            <w:r>
              <w:rPr>
                <w:color w:val="auto"/>
                <w:kern w:val="0"/>
                <w:sz w:val="21"/>
                <w:szCs w:val="21"/>
                <w:highlight w:val="none"/>
                <w:lang w:bidi="ar"/>
              </w:rPr>
              <w:t>（六）区间变电所</w:t>
            </w:r>
          </w:p>
        </w:tc>
        <w:tc>
          <w:tcPr>
            <w:tcW w:w="1677" w:type="dxa"/>
            <w:tcBorders>
              <w:top w:val="nil"/>
              <w:left w:val="nil"/>
              <w:bottom w:val="single" w:color="auto" w:sz="8" w:space="0"/>
              <w:right w:val="single" w:color="auto" w:sz="8" w:space="0"/>
            </w:tcBorders>
            <w:shd w:val="clear" w:color="000000" w:fill="FFFFFF"/>
            <w:vAlign w:val="center"/>
          </w:tcPr>
          <w:p w14:paraId="21B2CD41">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36B46224">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EEF77D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87DF84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022824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96905A0">
            <w:pPr>
              <w:widowControl/>
              <w:spacing w:line="440" w:lineRule="exact"/>
              <w:textAlignment w:val="center"/>
              <w:rPr>
                <w:color w:val="auto"/>
                <w:sz w:val="21"/>
                <w:szCs w:val="21"/>
                <w:highlight w:val="none"/>
              </w:rPr>
            </w:pPr>
            <w:r>
              <w:rPr>
                <w:color w:val="auto"/>
                <w:kern w:val="0"/>
                <w:sz w:val="21"/>
                <w:szCs w:val="21"/>
                <w:highlight w:val="none"/>
                <w:lang w:bidi="ar"/>
              </w:rPr>
              <w:t>三、安检系统</w:t>
            </w:r>
          </w:p>
        </w:tc>
        <w:tc>
          <w:tcPr>
            <w:tcW w:w="1677" w:type="dxa"/>
            <w:tcBorders>
              <w:top w:val="nil"/>
              <w:left w:val="nil"/>
              <w:bottom w:val="single" w:color="auto" w:sz="8" w:space="0"/>
              <w:right w:val="single" w:color="auto" w:sz="8" w:space="0"/>
            </w:tcBorders>
            <w:shd w:val="clear" w:color="000000" w:fill="FFFFFF"/>
            <w:vAlign w:val="center"/>
          </w:tcPr>
          <w:p w14:paraId="2D9411ED">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3297786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DF4DE3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AD9AA84">
            <w:pPr>
              <w:widowControl/>
              <w:spacing w:line="440" w:lineRule="exact"/>
              <w:jc w:val="center"/>
              <w:textAlignment w:val="center"/>
              <w:rPr>
                <w:color w:val="auto"/>
                <w:sz w:val="21"/>
                <w:szCs w:val="21"/>
                <w:highlight w:val="none"/>
              </w:rPr>
            </w:pPr>
            <w:r>
              <w:rPr>
                <w:color w:val="auto"/>
                <w:kern w:val="0"/>
                <w:sz w:val="21"/>
                <w:szCs w:val="21"/>
                <w:highlight w:val="none"/>
                <w:lang w:bidi="ar"/>
              </w:rPr>
              <w:t>十</w:t>
            </w:r>
          </w:p>
        </w:tc>
        <w:tc>
          <w:tcPr>
            <w:tcW w:w="704" w:type="dxa"/>
            <w:tcBorders>
              <w:top w:val="nil"/>
              <w:left w:val="nil"/>
              <w:bottom w:val="single" w:color="auto" w:sz="8" w:space="0"/>
              <w:right w:val="single" w:color="auto" w:sz="8" w:space="0"/>
            </w:tcBorders>
            <w:shd w:val="clear" w:color="000000" w:fill="FFFFFF"/>
            <w:vAlign w:val="center"/>
          </w:tcPr>
          <w:p w14:paraId="7E7BCEBE">
            <w:pPr>
              <w:widowControl/>
              <w:spacing w:line="440" w:lineRule="exact"/>
              <w:jc w:val="center"/>
              <w:textAlignment w:val="center"/>
              <w:rPr>
                <w:color w:val="auto"/>
                <w:sz w:val="21"/>
                <w:szCs w:val="21"/>
                <w:highlight w:val="none"/>
              </w:rPr>
            </w:pPr>
            <w:r>
              <w:rPr>
                <w:color w:val="auto"/>
                <w:kern w:val="0"/>
                <w:sz w:val="21"/>
                <w:szCs w:val="21"/>
                <w:highlight w:val="none"/>
                <w:lang w:bidi="ar"/>
              </w:rPr>
              <w:t>26</w:t>
            </w:r>
          </w:p>
        </w:tc>
        <w:tc>
          <w:tcPr>
            <w:tcW w:w="3816" w:type="dxa"/>
            <w:tcBorders>
              <w:top w:val="nil"/>
              <w:left w:val="nil"/>
              <w:bottom w:val="single" w:color="auto" w:sz="8" w:space="0"/>
              <w:right w:val="single" w:color="auto" w:sz="8" w:space="0"/>
            </w:tcBorders>
            <w:shd w:val="clear" w:color="000000" w:fill="FFFFFF"/>
            <w:vAlign w:val="center"/>
          </w:tcPr>
          <w:p w14:paraId="2160D430">
            <w:pPr>
              <w:widowControl/>
              <w:spacing w:line="440" w:lineRule="exact"/>
              <w:textAlignment w:val="center"/>
              <w:rPr>
                <w:color w:val="auto"/>
                <w:sz w:val="21"/>
                <w:szCs w:val="21"/>
                <w:highlight w:val="none"/>
              </w:rPr>
            </w:pPr>
            <w:r>
              <w:rPr>
                <w:color w:val="auto"/>
                <w:kern w:val="0"/>
                <w:sz w:val="21"/>
                <w:szCs w:val="21"/>
                <w:highlight w:val="none"/>
                <w:lang w:bidi="ar"/>
              </w:rPr>
              <w:t>通风、空调与供暖</w:t>
            </w:r>
          </w:p>
        </w:tc>
        <w:tc>
          <w:tcPr>
            <w:tcW w:w="1677" w:type="dxa"/>
            <w:tcBorders>
              <w:top w:val="nil"/>
              <w:left w:val="nil"/>
              <w:bottom w:val="single" w:color="auto" w:sz="8" w:space="0"/>
              <w:right w:val="single" w:color="auto" w:sz="8" w:space="0"/>
            </w:tcBorders>
            <w:shd w:val="clear" w:color="000000" w:fill="FFFFFF"/>
            <w:vAlign w:val="center"/>
          </w:tcPr>
          <w:p w14:paraId="5EDE648B">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3A54C9A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1A82C4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EFDE84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97A7BA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3DDBF8C">
            <w:pPr>
              <w:widowControl/>
              <w:spacing w:line="440" w:lineRule="exact"/>
              <w:textAlignment w:val="center"/>
              <w:rPr>
                <w:color w:val="auto"/>
                <w:sz w:val="21"/>
                <w:szCs w:val="21"/>
                <w:highlight w:val="none"/>
              </w:rPr>
            </w:pPr>
            <w:r>
              <w:rPr>
                <w:color w:val="auto"/>
                <w:kern w:val="0"/>
                <w:sz w:val="21"/>
                <w:szCs w:val="21"/>
                <w:highlight w:val="none"/>
                <w:lang w:bidi="ar"/>
              </w:rPr>
              <w:t>一、车站</w:t>
            </w:r>
          </w:p>
        </w:tc>
        <w:tc>
          <w:tcPr>
            <w:tcW w:w="1677" w:type="dxa"/>
            <w:tcBorders>
              <w:top w:val="nil"/>
              <w:left w:val="nil"/>
              <w:bottom w:val="single" w:color="auto" w:sz="8" w:space="0"/>
              <w:right w:val="single" w:color="auto" w:sz="8" w:space="0"/>
            </w:tcBorders>
            <w:shd w:val="clear" w:color="000000" w:fill="FFFFFF"/>
            <w:vAlign w:val="center"/>
          </w:tcPr>
          <w:p w14:paraId="2EC769DD">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108626F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433901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D4EAC8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AA846D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42181CD">
            <w:pPr>
              <w:widowControl/>
              <w:spacing w:line="440" w:lineRule="exact"/>
              <w:textAlignment w:val="center"/>
              <w:rPr>
                <w:color w:val="auto"/>
                <w:sz w:val="21"/>
                <w:szCs w:val="21"/>
                <w:highlight w:val="none"/>
              </w:rPr>
            </w:pPr>
            <w:r>
              <w:rPr>
                <w:color w:val="auto"/>
                <w:kern w:val="0"/>
                <w:sz w:val="21"/>
                <w:szCs w:val="21"/>
                <w:highlight w:val="none"/>
                <w:lang w:bidi="ar"/>
              </w:rPr>
              <w:t>（一）地下车站</w:t>
            </w:r>
          </w:p>
        </w:tc>
        <w:tc>
          <w:tcPr>
            <w:tcW w:w="1677" w:type="dxa"/>
            <w:tcBorders>
              <w:top w:val="nil"/>
              <w:left w:val="nil"/>
              <w:bottom w:val="single" w:color="auto" w:sz="8" w:space="0"/>
              <w:right w:val="single" w:color="auto" w:sz="8" w:space="0"/>
            </w:tcBorders>
            <w:shd w:val="clear" w:color="000000" w:fill="FFFFFF"/>
            <w:vAlign w:val="center"/>
          </w:tcPr>
          <w:p w14:paraId="26D51C31">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77358CD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4E5B7E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B6B0B7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B1F6E7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C20BEC4">
            <w:pPr>
              <w:widowControl/>
              <w:spacing w:line="440" w:lineRule="exact"/>
              <w:textAlignment w:val="center"/>
              <w:rPr>
                <w:color w:val="auto"/>
                <w:sz w:val="21"/>
                <w:szCs w:val="21"/>
                <w:highlight w:val="none"/>
              </w:rPr>
            </w:pPr>
            <w:r>
              <w:rPr>
                <w:color w:val="auto"/>
                <w:kern w:val="0"/>
                <w:sz w:val="21"/>
                <w:szCs w:val="21"/>
                <w:highlight w:val="none"/>
                <w:lang w:bidi="ar"/>
              </w:rPr>
              <w:t>（二）高架、地面车站</w:t>
            </w:r>
          </w:p>
        </w:tc>
        <w:tc>
          <w:tcPr>
            <w:tcW w:w="1677" w:type="dxa"/>
            <w:tcBorders>
              <w:top w:val="nil"/>
              <w:left w:val="nil"/>
              <w:bottom w:val="single" w:color="auto" w:sz="8" w:space="0"/>
              <w:right w:val="single" w:color="auto" w:sz="8" w:space="0"/>
            </w:tcBorders>
            <w:shd w:val="clear" w:color="000000" w:fill="FFFFFF"/>
            <w:vAlign w:val="center"/>
          </w:tcPr>
          <w:p w14:paraId="5315A847">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6EDB89E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7CE2C5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7CE949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660BAF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71571F1">
            <w:pPr>
              <w:widowControl/>
              <w:spacing w:line="440" w:lineRule="exact"/>
              <w:textAlignment w:val="center"/>
              <w:rPr>
                <w:color w:val="auto"/>
                <w:sz w:val="21"/>
                <w:szCs w:val="21"/>
                <w:highlight w:val="none"/>
              </w:rPr>
            </w:pPr>
            <w:r>
              <w:rPr>
                <w:color w:val="auto"/>
                <w:kern w:val="0"/>
                <w:sz w:val="21"/>
                <w:szCs w:val="21"/>
                <w:highlight w:val="none"/>
                <w:lang w:bidi="ar"/>
              </w:rPr>
              <w:t>二、区间</w:t>
            </w:r>
          </w:p>
        </w:tc>
        <w:tc>
          <w:tcPr>
            <w:tcW w:w="1677" w:type="dxa"/>
            <w:tcBorders>
              <w:top w:val="nil"/>
              <w:left w:val="nil"/>
              <w:bottom w:val="single" w:color="auto" w:sz="8" w:space="0"/>
              <w:right w:val="single" w:color="auto" w:sz="8" w:space="0"/>
            </w:tcBorders>
            <w:shd w:val="clear" w:color="000000" w:fill="FFFFFF"/>
            <w:vAlign w:val="center"/>
          </w:tcPr>
          <w:p w14:paraId="43D4A59A">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6BAE40CC">
            <w:pPr>
              <w:widowControl/>
              <w:spacing w:line="440" w:lineRule="exact"/>
              <w:textAlignment w:val="center"/>
              <w:rPr>
                <w:color w:val="auto"/>
                <w:sz w:val="21"/>
                <w:szCs w:val="21"/>
                <w:highlight w:val="none"/>
              </w:rPr>
            </w:pPr>
            <w:r>
              <w:rPr>
                <w:color w:val="auto"/>
                <w:kern w:val="0"/>
                <w:sz w:val="21"/>
                <w:szCs w:val="21"/>
                <w:highlight w:val="none"/>
                <w:lang w:bidi="ar"/>
              </w:rPr>
              <w:t>包括区间风井等。</w:t>
            </w:r>
          </w:p>
        </w:tc>
      </w:tr>
      <w:tr w14:paraId="62A5B30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EEFB0D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14B565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D258A03">
            <w:pPr>
              <w:widowControl/>
              <w:spacing w:line="440" w:lineRule="exact"/>
              <w:textAlignment w:val="center"/>
              <w:rPr>
                <w:color w:val="auto"/>
                <w:sz w:val="21"/>
                <w:szCs w:val="21"/>
                <w:highlight w:val="none"/>
              </w:rPr>
            </w:pPr>
            <w:r>
              <w:rPr>
                <w:color w:val="auto"/>
                <w:kern w:val="0"/>
                <w:sz w:val="21"/>
                <w:szCs w:val="21"/>
                <w:highlight w:val="none"/>
                <w:lang w:bidi="ar"/>
              </w:rPr>
              <w:t>三、区间变电所</w:t>
            </w:r>
          </w:p>
        </w:tc>
        <w:tc>
          <w:tcPr>
            <w:tcW w:w="1677" w:type="dxa"/>
            <w:tcBorders>
              <w:top w:val="nil"/>
              <w:left w:val="nil"/>
              <w:bottom w:val="single" w:color="auto" w:sz="8" w:space="0"/>
              <w:right w:val="single" w:color="auto" w:sz="8" w:space="0"/>
            </w:tcBorders>
            <w:shd w:val="clear" w:color="000000" w:fill="FFFFFF"/>
            <w:vAlign w:val="center"/>
          </w:tcPr>
          <w:p w14:paraId="08E435B3">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9B041B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C75FE1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1540D1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5B43A2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D5B96B3">
            <w:pPr>
              <w:widowControl/>
              <w:spacing w:line="440" w:lineRule="exact"/>
              <w:textAlignment w:val="center"/>
              <w:rPr>
                <w:color w:val="auto"/>
                <w:sz w:val="21"/>
                <w:szCs w:val="21"/>
                <w:highlight w:val="none"/>
              </w:rPr>
            </w:pPr>
            <w:r>
              <w:rPr>
                <w:color w:val="auto"/>
                <w:kern w:val="0"/>
                <w:sz w:val="21"/>
                <w:szCs w:val="21"/>
                <w:highlight w:val="none"/>
                <w:lang w:bidi="ar"/>
              </w:rPr>
              <w:t>四、综合支吊架及抗震支吊架</w:t>
            </w:r>
          </w:p>
        </w:tc>
        <w:tc>
          <w:tcPr>
            <w:tcW w:w="1677" w:type="dxa"/>
            <w:tcBorders>
              <w:top w:val="nil"/>
              <w:left w:val="nil"/>
              <w:bottom w:val="single" w:color="auto" w:sz="8" w:space="0"/>
              <w:right w:val="single" w:color="auto" w:sz="8" w:space="0"/>
            </w:tcBorders>
            <w:shd w:val="clear" w:color="000000" w:fill="FFFFFF"/>
            <w:vAlign w:val="center"/>
          </w:tcPr>
          <w:p w14:paraId="471B457F">
            <w:pPr>
              <w:widowControl/>
              <w:spacing w:line="440" w:lineRule="exact"/>
              <w:jc w:val="center"/>
              <w:textAlignment w:val="center"/>
              <w:rPr>
                <w:color w:val="auto"/>
                <w:sz w:val="21"/>
                <w:szCs w:val="21"/>
                <w:highlight w:val="none"/>
              </w:rPr>
            </w:pPr>
            <w:r>
              <w:rPr>
                <w:color w:val="auto"/>
                <w:kern w:val="0"/>
                <w:sz w:val="21"/>
                <w:szCs w:val="21"/>
                <w:highlight w:val="none"/>
                <w:lang w:bidi="ar"/>
              </w:rPr>
              <w:t>站</w:t>
            </w:r>
          </w:p>
        </w:tc>
        <w:tc>
          <w:tcPr>
            <w:tcW w:w="6704" w:type="dxa"/>
            <w:tcBorders>
              <w:top w:val="nil"/>
              <w:left w:val="nil"/>
              <w:bottom w:val="single" w:color="auto" w:sz="8" w:space="0"/>
              <w:right w:val="single" w:color="auto" w:sz="8" w:space="0"/>
            </w:tcBorders>
            <w:shd w:val="clear" w:color="000000" w:fill="FFFFFF"/>
            <w:vAlign w:val="center"/>
          </w:tcPr>
          <w:p w14:paraId="63EBB6A8">
            <w:pPr>
              <w:widowControl/>
              <w:spacing w:line="440" w:lineRule="exact"/>
              <w:textAlignment w:val="center"/>
              <w:rPr>
                <w:color w:val="auto"/>
                <w:sz w:val="21"/>
                <w:szCs w:val="21"/>
                <w:highlight w:val="none"/>
              </w:rPr>
            </w:pPr>
            <w:r>
              <w:rPr>
                <w:color w:val="auto"/>
                <w:kern w:val="0"/>
                <w:sz w:val="21"/>
                <w:szCs w:val="21"/>
                <w:highlight w:val="none"/>
                <w:lang w:bidi="ar"/>
              </w:rPr>
              <w:t>包括动力与照明，通风、空调与供暖，给水与排水、消防等共用支吊架。</w:t>
            </w:r>
          </w:p>
        </w:tc>
      </w:tr>
      <w:tr w14:paraId="6FE01B5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AA106B1">
            <w:pPr>
              <w:widowControl/>
              <w:spacing w:line="440" w:lineRule="exact"/>
              <w:jc w:val="center"/>
              <w:textAlignment w:val="center"/>
              <w:rPr>
                <w:color w:val="auto"/>
                <w:sz w:val="21"/>
                <w:szCs w:val="21"/>
                <w:highlight w:val="none"/>
              </w:rPr>
            </w:pPr>
            <w:r>
              <w:rPr>
                <w:color w:val="auto"/>
                <w:kern w:val="0"/>
                <w:sz w:val="21"/>
                <w:szCs w:val="21"/>
                <w:highlight w:val="none"/>
                <w:lang w:bidi="ar"/>
              </w:rPr>
              <w:t>十一</w:t>
            </w:r>
          </w:p>
        </w:tc>
        <w:tc>
          <w:tcPr>
            <w:tcW w:w="704" w:type="dxa"/>
            <w:tcBorders>
              <w:top w:val="nil"/>
              <w:left w:val="nil"/>
              <w:bottom w:val="single" w:color="auto" w:sz="8" w:space="0"/>
              <w:right w:val="single" w:color="auto" w:sz="8" w:space="0"/>
            </w:tcBorders>
            <w:shd w:val="clear" w:color="000000" w:fill="FFFFFF"/>
            <w:vAlign w:val="center"/>
          </w:tcPr>
          <w:p w14:paraId="35485FF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62E8937">
            <w:pPr>
              <w:widowControl/>
              <w:spacing w:line="440" w:lineRule="exact"/>
              <w:textAlignment w:val="center"/>
              <w:rPr>
                <w:color w:val="auto"/>
                <w:sz w:val="21"/>
                <w:szCs w:val="21"/>
                <w:highlight w:val="none"/>
              </w:rPr>
            </w:pPr>
            <w:r>
              <w:rPr>
                <w:color w:val="auto"/>
                <w:kern w:val="0"/>
                <w:sz w:val="21"/>
                <w:szCs w:val="21"/>
                <w:highlight w:val="none"/>
                <w:lang w:bidi="ar"/>
              </w:rPr>
              <w:t>给水与排水、消防</w:t>
            </w:r>
          </w:p>
        </w:tc>
        <w:tc>
          <w:tcPr>
            <w:tcW w:w="1677" w:type="dxa"/>
            <w:tcBorders>
              <w:top w:val="nil"/>
              <w:left w:val="nil"/>
              <w:bottom w:val="single" w:color="auto" w:sz="8" w:space="0"/>
              <w:right w:val="single" w:color="auto" w:sz="8" w:space="0"/>
            </w:tcBorders>
            <w:shd w:val="clear" w:color="000000" w:fill="FFFFFF"/>
            <w:vAlign w:val="center"/>
          </w:tcPr>
          <w:p w14:paraId="37680707">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2878192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2AEE98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5F0E80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B90B283">
            <w:pPr>
              <w:widowControl/>
              <w:spacing w:line="440" w:lineRule="exact"/>
              <w:jc w:val="center"/>
              <w:textAlignment w:val="center"/>
              <w:rPr>
                <w:color w:val="auto"/>
                <w:sz w:val="21"/>
                <w:szCs w:val="21"/>
                <w:highlight w:val="none"/>
              </w:rPr>
            </w:pPr>
            <w:r>
              <w:rPr>
                <w:color w:val="auto"/>
                <w:kern w:val="0"/>
                <w:sz w:val="21"/>
                <w:szCs w:val="21"/>
                <w:highlight w:val="none"/>
                <w:lang w:bidi="ar"/>
              </w:rPr>
              <w:t>27</w:t>
            </w:r>
          </w:p>
        </w:tc>
        <w:tc>
          <w:tcPr>
            <w:tcW w:w="3816" w:type="dxa"/>
            <w:tcBorders>
              <w:top w:val="nil"/>
              <w:left w:val="nil"/>
              <w:bottom w:val="single" w:color="auto" w:sz="8" w:space="0"/>
              <w:right w:val="single" w:color="auto" w:sz="8" w:space="0"/>
            </w:tcBorders>
            <w:shd w:val="clear" w:color="000000" w:fill="FFFFFF"/>
            <w:vAlign w:val="center"/>
          </w:tcPr>
          <w:p w14:paraId="1051AB4F">
            <w:pPr>
              <w:widowControl/>
              <w:spacing w:line="440" w:lineRule="exact"/>
              <w:textAlignment w:val="center"/>
              <w:rPr>
                <w:color w:val="auto"/>
                <w:sz w:val="21"/>
                <w:szCs w:val="21"/>
                <w:highlight w:val="none"/>
              </w:rPr>
            </w:pPr>
            <w:r>
              <w:rPr>
                <w:color w:val="auto"/>
                <w:kern w:val="0"/>
                <w:sz w:val="21"/>
                <w:szCs w:val="21"/>
                <w:highlight w:val="none"/>
                <w:lang w:bidi="ar"/>
              </w:rPr>
              <w:t>给水与排水、水消防</w:t>
            </w:r>
          </w:p>
        </w:tc>
        <w:tc>
          <w:tcPr>
            <w:tcW w:w="1677" w:type="dxa"/>
            <w:tcBorders>
              <w:top w:val="nil"/>
              <w:left w:val="nil"/>
              <w:bottom w:val="single" w:color="auto" w:sz="8" w:space="0"/>
              <w:right w:val="single" w:color="auto" w:sz="8" w:space="0"/>
            </w:tcBorders>
            <w:shd w:val="clear" w:color="000000" w:fill="FFFFFF"/>
            <w:vAlign w:val="center"/>
          </w:tcPr>
          <w:p w14:paraId="6DEC000C">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39164EF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BC5A6E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89CBCF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B61B57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26C9D64">
            <w:pPr>
              <w:widowControl/>
              <w:spacing w:line="440" w:lineRule="exact"/>
              <w:textAlignment w:val="center"/>
              <w:rPr>
                <w:color w:val="auto"/>
                <w:sz w:val="21"/>
                <w:szCs w:val="21"/>
                <w:highlight w:val="none"/>
              </w:rPr>
            </w:pPr>
            <w:r>
              <w:rPr>
                <w:color w:val="auto"/>
                <w:kern w:val="0"/>
                <w:sz w:val="21"/>
                <w:szCs w:val="21"/>
                <w:highlight w:val="none"/>
                <w:lang w:bidi="ar"/>
              </w:rPr>
              <w:t>一、车站</w:t>
            </w:r>
          </w:p>
        </w:tc>
        <w:tc>
          <w:tcPr>
            <w:tcW w:w="1677" w:type="dxa"/>
            <w:tcBorders>
              <w:top w:val="nil"/>
              <w:left w:val="nil"/>
              <w:bottom w:val="single" w:color="auto" w:sz="8" w:space="0"/>
              <w:right w:val="single" w:color="auto" w:sz="8" w:space="0"/>
            </w:tcBorders>
            <w:shd w:val="clear" w:color="000000" w:fill="FFFFFF"/>
            <w:vAlign w:val="center"/>
          </w:tcPr>
          <w:p w14:paraId="27CAC858">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29B8101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CC1753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B769AA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114451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56748F6">
            <w:pPr>
              <w:widowControl/>
              <w:spacing w:line="440" w:lineRule="exact"/>
              <w:textAlignment w:val="center"/>
              <w:rPr>
                <w:color w:val="auto"/>
                <w:sz w:val="21"/>
                <w:szCs w:val="21"/>
                <w:highlight w:val="none"/>
              </w:rPr>
            </w:pPr>
            <w:r>
              <w:rPr>
                <w:color w:val="auto"/>
                <w:kern w:val="0"/>
                <w:sz w:val="21"/>
                <w:szCs w:val="21"/>
                <w:highlight w:val="none"/>
                <w:lang w:bidi="ar"/>
              </w:rPr>
              <w:t>（一）地下车站</w:t>
            </w:r>
          </w:p>
        </w:tc>
        <w:tc>
          <w:tcPr>
            <w:tcW w:w="1677" w:type="dxa"/>
            <w:tcBorders>
              <w:top w:val="nil"/>
              <w:left w:val="nil"/>
              <w:bottom w:val="single" w:color="auto" w:sz="8" w:space="0"/>
              <w:right w:val="single" w:color="auto" w:sz="8" w:space="0"/>
            </w:tcBorders>
            <w:shd w:val="clear" w:color="000000" w:fill="FFFFFF"/>
            <w:vAlign w:val="center"/>
          </w:tcPr>
          <w:p w14:paraId="02C33966">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4AC6E62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76EB2D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C0AA90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9C5964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71FD698">
            <w:pPr>
              <w:widowControl/>
              <w:spacing w:line="440" w:lineRule="exact"/>
              <w:textAlignment w:val="center"/>
              <w:rPr>
                <w:color w:val="auto"/>
                <w:sz w:val="21"/>
                <w:szCs w:val="21"/>
                <w:highlight w:val="none"/>
              </w:rPr>
            </w:pPr>
            <w:r>
              <w:rPr>
                <w:color w:val="auto"/>
                <w:kern w:val="0"/>
                <w:sz w:val="21"/>
                <w:szCs w:val="21"/>
                <w:highlight w:val="none"/>
                <w:lang w:bidi="ar"/>
              </w:rPr>
              <w:t>（二）高架、地面车站</w:t>
            </w:r>
          </w:p>
        </w:tc>
        <w:tc>
          <w:tcPr>
            <w:tcW w:w="1677" w:type="dxa"/>
            <w:tcBorders>
              <w:top w:val="nil"/>
              <w:left w:val="nil"/>
              <w:bottom w:val="single" w:color="auto" w:sz="8" w:space="0"/>
              <w:right w:val="single" w:color="auto" w:sz="8" w:space="0"/>
            </w:tcBorders>
            <w:shd w:val="clear" w:color="000000" w:fill="FFFFFF"/>
            <w:vAlign w:val="center"/>
          </w:tcPr>
          <w:p w14:paraId="621547FB">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39412B0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C64B49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8FF2EA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57225D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F8CEF08">
            <w:pPr>
              <w:widowControl/>
              <w:spacing w:line="440" w:lineRule="exact"/>
              <w:textAlignment w:val="center"/>
              <w:rPr>
                <w:color w:val="auto"/>
                <w:sz w:val="21"/>
                <w:szCs w:val="21"/>
                <w:highlight w:val="none"/>
              </w:rPr>
            </w:pPr>
            <w:r>
              <w:rPr>
                <w:color w:val="auto"/>
                <w:kern w:val="0"/>
                <w:sz w:val="21"/>
                <w:szCs w:val="21"/>
                <w:highlight w:val="none"/>
                <w:lang w:bidi="ar"/>
              </w:rPr>
              <w:t>二、区间</w:t>
            </w:r>
          </w:p>
        </w:tc>
        <w:tc>
          <w:tcPr>
            <w:tcW w:w="1677" w:type="dxa"/>
            <w:tcBorders>
              <w:top w:val="nil"/>
              <w:left w:val="nil"/>
              <w:bottom w:val="single" w:color="auto" w:sz="8" w:space="0"/>
              <w:right w:val="single" w:color="auto" w:sz="8" w:space="0"/>
            </w:tcBorders>
            <w:shd w:val="clear" w:color="000000" w:fill="FFFFFF"/>
            <w:vAlign w:val="center"/>
          </w:tcPr>
          <w:p w14:paraId="475EFB0A">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33C5BEDC">
            <w:pPr>
              <w:widowControl/>
              <w:spacing w:line="440" w:lineRule="exact"/>
              <w:textAlignment w:val="center"/>
              <w:rPr>
                <w:color w:val="auto"/>
                <w:sz w:val="21"/>
                <w:szCs w:val="21"/>
                <w:highlight w:val="none"/>
              </w:rPr>
            </w:pPr>
            <w:r>
              <w:rPr>
                <w:color w:val="auto"/>
                <w:kern w:val="0"/>
                <w:sz w:val="21"/>
                <w:szCs w:val="21"/>
                <w:highlight w:val="none"/>
                <w:lang w:bidi="ar"/>
              </w:rPr>
              <w:t>包括区间风井等。</w:t>
            </w:r>
          </w:p>
        </w:tc>
      </w:tr>
      <w:tr w14:paraId="21519D1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FEB7F6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BA88C1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82B144D">
            <w:pPr>
              <w:widowControl/>
              <w:spacing w:line="440" w:lineRule="exact"/>
              <w:textAlignment w:val="center"/>
              <w:rPr>
                <w:color w:val="auto"/>
                <w:sz w:val="21"/>
                <w:szCs w:val="21"/>
                <w:highlight w:val="none"/>
              </w:rPr>
            </w:pPr>
            <w:r>
              <w:rPr>
                <w:color w:val="auto"/>
                <w:kern w:val="0"/>
                <w:sz w:val="21"/>
                <w:szCs w:val="21"/>
                <w:highlight w:val="none"/>
                <w:lang w:bidi="ar"/>
              </w:rPr>
              <w:t>三、区间变电所</w:t>
            </w:r>
          </w:p>
        </w:tc>
        <w:tc>
          <w:tcPr>
            <w:tcW w:w="1677" w:type="dxa"/>
            <w:tcBorders>
              <w:top w:val="nil"/>
              <w:left w:val="nil"/>
              <w:bottom w:val="single" w:color="auto" w:sz="8" w:space="0"/>
              <w:right w:val="single" w:color="auto" w:sz="8" w:space="0"/>
            </w:tcBorders>
            <w:shd w:val="clear" w:color="000000" w:fill="FFFFFF"/>
            <w:vAlign w:val="center"/>
          </w:tcPr>
          <w:p w14:paraId="3272E7E5">
            <w:pPr>
              <w:widowControl/>
              <w:spacing w:line="440" w:lineRule="exact"/>
              <w:jc w:val="center"/>
              <w:textAlignment w:val="center"/>
              <w:rPr>
                <w:color w:val="auto"/>
                <w:sz w:val="21"/>
                <w:szCs w:val="21"/>
                <w:highlight w:val="none"/>
              </w:rPr>
            </w:pPr>
            <w:r>
              <w:rPr>
                <w:color w:val="auto"/>
                <w:kern w:val="0"/>
                <w:sz w:val="21"/>
                <w:szCs w:val="21"/>
                <w:highlight w:val="none"/>
                <w:lang w:bidi="ar"/>
              </w:rPr>
              <w:t>座/m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406F93F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038F23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AC7473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D99B112">
            <w:pPr>
              <w:widowControl/>
              <w:spacing w:line="440" w:lineRule="exact"/>
              <w:jc w:val="center"/>
              <w:textAlignment w:val="center"/>
              <w:rPr>
                <w:color w:val="auto"/>
                <w:sz w:val="21"/>
                <w:szCs w:val="21"/>
                <w:highlight w:val="none"/>
              </w:rPr>
            </w:pPr>
            <w:r>
              <w:rPr>
                <w:color w:val="auto"/>
                <w:kern w:val="0"/>
                <w:sz w:val="21"/>
                <w:szCs w:val="21"/>
                <w:highlight w:val="none"/>
                <w:lang w:bidi="ar"/>
              </w:rPr>
              <w:t>28</w:t>
            </w:r>
          </w:p>
        </w:tc>
        <w:tc>
          <w:tcPr>
            <w:tcW w:w="3816" w:type="dxa"/>
            <w:tcBorders>
              <w:top w:val="nil"/>
              <w:left w:val="nil"/>
              <w:bottom w:val="single" w:color="auto" w:sz="8" w:space="0"/>
              <w:right w:val="single" w:color="auto" w:sz="8" w:space="0"/>
            </w:tcBorders>
            <w:shd w:val="clear" w:color="000000" w:fill="FFFFFF"/>
            <w:vAlign w:val="center"/>
          </w:tcPr>
          <w:p w14:paraId="49E75FBA">
            <w:pPr>
              <w:widowControl/>
              <w:spacing w:line="440" w:lineRule="exact"/>
              <w:textAlignment w:val="center"/>
              <w:rPr>
                <w:color w:val="auto"/>
                <w:sz w:val="21"/>
                <w:szCs w:val="21"/>
                <w:highlight w:val="none"/>
              </w:rPr>
            </w:pPr>
            <w:r>
              <w:rPr>
                <w:color w:val="auto"/>
                <w:kern w:val="0"/>
                <w:sz w:val="21"/>
                <w:szCs w:val="21"/>
                <w:highlight w:val="none"/>
                <w:lang w:bidi="ar"/>
              </w:rPr>
              <w:t>自动灭火系统</w:t>
            </w:r>
          </w:p>
        </w:tc>
        <w:tc>
          <w:tcPr>
            <w:tcW w:w="1677" w:type="dxa"/>
            <w:tcBorders>
              <w:top w:val="nil"/>
              <w:left w:val="nil"/>
              <w:bottom w:val="single" w:color="auto" w:sz="8" w:space="0"/>
              <w:right w:val="single" w:color="auto" w:sz="8" w:space="0"/>
            </w:tcBorders>
            <w:shd w:val="clear" w:color="000000" w:fill="FFFFFF"/>
            <w:vAlign w:val="center"/>
          </w:tcPr>
          <w:p w14:paraId="7AF55B8A">
            <w:pPr>
              <w:widowControl/>
              <w:spacing w:line="440" w:lineRule="exact"/>
              <w:jc w:val="center"/>
              <w:textAlignment w:val="center"/>
              <w:rPr>
                <w:color w:val="auto"/>
                <w:sz w:val="21"/>
                <w:szCs w:val="21"/>
                <w:highlight w:val="none"/>
              </w:rPr>
            </w:pPr>
            <w:r>
              <w:rPr>
                <w:color w:val="auto"/>
                <w:kern w:val="0"/>
                <w:sz w:val="21"/>
                <w:szCs w:val="21"/>
                <w:highlight w:val="none"/>
                <w:lang w:bidi="ar"/>
              </w:rPr>
              <w:t>站</w:t>
            </w:r>
          </w:p>
        </w:tc>
        <w:tc>
          <w:tcPr>
            <w:tcW w:w="6704" w:type="dxa"/>
            <w:tcBorders>
              <w:top w:val="nil"/>
              <w:left w:val="nil"/>
              <w:bottom w:val="single" w:color="auto" w:sz="8" w:space="0"/>
              <w:right w:val="single" w:color="auto" w:sz="8" w:space="0"/>
            </w:tcBorders>
            <w:shd w:val="clear" w:color="000000" w:fill="FFFFFF"/>
            <w:vAlign w:val="center"/>
          </w:tcPr>
          <w:p w14:paraId="1B2C9081">
            <w:pPr>
              <w:widowControl/>
              <w:spacing w:line="440" w:lineRule="exact"/>
              <w:textAlignment w:val="center"/>
              <w:rPr>
                <w:color w:val="auto"/>
                <w:sz w:val="21"/>
                <w:szCs w:val="21"/>
                <w:highlight w:val="none"/>
              </w:rPr>
            </w:pPr>
            <w:r>
              <w:rPr>
                <w:color w:val="auto"/>
                <w:kern w:val="0"/>
                <w:sz w:val="21"/>
                <w:szCs w:val="21"/>
                <w:highlight w:val="none"/>
                <w:lang w:bidi="ar"/>
              </w:rPr>
              <w:t>包含气体消防、高压细水雾等。</w:t>
            </w:r>
          </w:p>
        </w:tc>
      </w:tr>
      <w:tr w14:paraId="45C9C63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5241BC9">
            <w:pPr>
              <w:widowControl/>
              <w:spacing w:line="440" w:lineRule="exact"/>
              <w:jc w:val="center"/>
              <w:textAlignment w:val="center"/>
              <w:rPr>
                <w:color w:val="auto"/>
                <w:sz w:val="21"/>
                <w:szCs w:val="21"/>
                <w:highlight w:val="none"/>
              </w:rPr>
            </w:pPr>
            <w:r>
              <w:rPr>
                <w:color w:val="auto"/>
                <w:kern w:val="0"/>
                <w:sz w:val="21"/>
                <w:szCs w:val="21"/>
                <w:highlight w:val="none"/>
                <w:lang w:bidi="ar"/>
              </w:rPr>
              <w:t>十二</w:t>
            </w:r>
          </w:p>
        </w:tc>
        <w:tc>
          <w:tcPr>
            <w:tcW w:w="704" w:type="dxa"/>
            <w:tcBorders>
              <w:top w:val="nil"/>
              <w:left w:val="nil"/>
              <w:bottom w:val="single" w:color="auto" w:sz="8" w:space="0"/>
              <w:right w:val="single" w:color="auto" w:sz="8" w:space="0"/>
            </w:tcBorders>
            <w:shd w:val="clear" w:color="000000" w:fill="FFFFFF"/>
            <w:vAlign w:val="center"/>
          </w:tcPr>
          <w:p w14:paraId="094FE347">
            <w:pPr>
              <w:widowControl/>
              <w:spacing w:line="440" w:lineRule="exact"/>
              <w:jc w:val="center"/>
              <w:textAlignment w:val="center"/>
              <w:rPr>
                <w:color w:val="auto"/>
                <w:sz w:val="21"/>
                <w:szCs w:val="21"/>
                <w:highlight w:val="none"/>
              </w:rPr>
            </w:pPr>
            <w:r>
              <w:rPr>
                <w:color w:val="auto"/>
                <w:kern w:val="0"/>
                <w:sz w:val="21"/>
                <w:szCs w:val="21"/>
                <w:highlight w:val="none"/>
                <w:lang w:bidi="ar"/>
              </w:rPr>
              <w:t>29</w:t>
            </w:r>
          </w:p>
        </w:tc>
        <w:tc>
          <w:tcPr>
            <w:tcW w:w="3816" w:type="dxa"/>
            <w:tcBorders>
              <w:top w:val="nil"/>
              <w:left w:val="nil"/>
              <w:bottom w:val="single" w:color="auto" w:sz="8" w:space="0"/>
              <w:right w:val="single" w:color="auto" w:sz="8" w:space="0"/>
            </w:tcBorders>
            <w:shd w:val="clear" w:color="000000" w:fill="FFFFFF"/>
            <w:vAlign w:val="center"/>
          </w:tcPr>
          <w:p w14:paraId="3F96997E">
            <w:pPr>
              <w:widowControl/>
              <w:spacing w:line="440" w:lineRule="exact"/>
              <w:textAlignment w:val="center"/>
              <w:rPr>
                <w:color w:val="auto"/>
                <w:sz w:val="21"/>
                <w:szCs w:val="21"/>
                <w:highlight w:val="none"/>
              </w:rPr>
            </w:pPr>
            <w:r>
              <w:rPr>
                <w:color w:val="auto"/>
                <w:kern w:val="0"/>
                <w:sz w:val="21"/>
                <w:szCs w:val="21"/>
                <w:highlight w:val="none"/>
                <w:lang w:bidi="ar"/>
              </w:rPr>
              <w:t>自动售检票（AFC）</w:t>
            </w:r>
          </w:p>
        </w:tc>
        <w:tc>
          <w:tcPr>
            <w:tcW w:w="1677" w:type="dxa"/>
            <w:tcBorders>
              <w:top w:val="nil"/>
              <w:left w:val="nil"/>
              <w:bottom w:val="single" w:color="auto" w:sz="8" w:space="0"/>
              <w:right w:val="single" w:color="auto" w:sz="8" w:space="0"/>
            </w:tcBorders>
            <w:shd w:val="clear" w:color="000000" w:fill="FFFFFF"/>
            <w:vAlign w:val="center"/>
          </w:tcPr>
          <w:p w14:paraId="51091B5B">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3B0ED931">
            <w:pPr>
              <w:widowControl/>
              <w:spacing w:line="440" w:lineRule="exact"/>
              <w:textAlignment w:val="center"/>
              <w:rPr>
                <w:color w:val="auto"/>
                <w:sz w:val="21"/>
                <w:szCs w:val="21"/>
                <w:highlight w:val="none"/>
              </w:rPr>
            </w:pPr>
            <w:r>
              <w:rPr>
                <w:color w:val="auto"/>
                <w:kern w:val="0"/>
                <w:sz w:val="21"/>
                <w:szCs w:val="21"/>
                <w:highlight w:val="none"/>
                <w:lang w:bidi="ar"/>
              </w:rPr>
              <w:t>包括车站、运营控制中心等。</w:t>
            </w:r>
          </w:p>
        </w:tc>
      </w:tr>
      <w:tr w14:paraId="1703CAB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4FA3A9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F26BAC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FFF389C">
            <w:pPr>
              <w:widowControl/>
              <w:spacing w:line="440" w:lineRule="exact"/>
              <w:textAlignment w:val="center"/>
              <w:rPr>
                <w:color w:val="auto"/>
                <w:sz w:val="21"/>
                <w:szCs w:val="21"/>
                <w:highlight w:val="none"/>
              </w:rPr>
            </w:pPr>
            <w:r>
              <w:rPr>
                <w:color w:val="auto"/>
                <w:kern w:val="0"/>
                <w:sz w:val="21"/>
                <w:szCs w:val="21"/>
                <w:highlight w:val="none"/>
                <w:lang w:bidi="ar"/>
              </w:rPr>
              <w:t>一、车站</w:t>
            </w:r>
          </w:p>
        </w:tc>
        <w:tc>
          <w:tcPr>
            <w:tcW w:w="1677" w:type="dxa"/>
            <w:tcBorders>
              <w:top w:val="nil"/>
              <w:left w:val="nil"/>
              <w:bottom w:val="single" w:color="auto" w:sz="8" w:space="0"/>
              <w:right w:val="single" w:color="auto" w:sz="8" w:space="0"/>
            </w:tcBorders>
            <w:shd w:val="clear" w:color="000000" w:fill="FFFFFF"/>
            <w:vAlign w:val="center"/>
          </w:tcPr>
          <w:p w14:paraId="54A02819">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0B0BF3C4">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31F34E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F85006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7C837C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D2A3EA6">
            <w:pPr>
              <w:widowControl/>
              <w:spacing w:line="440" w:lineRule="exact"/>
              <w:textAlignment w:val="center"/>
              <w:rPr>
                <w:color w:val="auto"/>
                <w:sz w:val="21"/>
                <w:szCs w:val="21"/>
                <w:highlight w:val="none"/>
              </w:rPr>
            </w:pPr>
            <w:r>
              <w:rPr>
                <w:color w:val="auto"/>
                <w:kern w:val="0"/>
                <w:sz w:val="21"/>
                <w:szCs w:val="21"/>
                <w:highlight w:val="none"/>
                <w:lang w:bidi="ar"/>
              </w:rPr>
              <w:t>二、运营控制中心</w:t>
            </w:r>
          </w:p>
        </w:tc>
        <w:tc>
          <w:tcPr>
            <w:tcW w:w="1677" w:type="dxa"/>
            <w:tcBorders>
              <w:top w:val="nil"/>
              <w:left w:val="nil"/>
              <w:bottom w:val="single" w:color="auto" w:sz="8" w:space="0"/>
              <w:right w:val="single" w:color="auto" w:sz="8" w:space="0"/>
            </w:tcBorders>
            <w:shd w:val="clear" w:color="000000" w:fill="FFFFFF"/>
            <w:vAlign w:val="center"/>
          </w:tcPr>
          <w:p w14:paraId="5919AE1C">
            <w:pPr>
              <w:widowControl/>
              <w:spacing w:line="440" w:lineRule="exact"/>
              <w:jc w:val="center"/>
              <w:textAlignment w:val="center"/>
              <w:rPr>
                <w:color w:val="auto"/>
                <w:sz w:val="21"/>
                <w:szCs w:val="21"/>
                <w:highlight w:val="none"/>
              </w:rPr>
            </w:pPr>
            <w:r>
              <w:rPr>
                <w:color w:val="auto"/>
                <w:kern w:val="0"/>
                <w:sz w:val="21"/>
                <w:szCs w:val="21"/>
                <w:highlight w:val="none"/>
                <w:lang w:bidi="ar"/>
              </w:rPr>
              <w:t>处</w:t>
            </w:r>
          </w:p>
        </w:tc>
        <w:tc>
          <w:tcPr>
            <w:tcW w:w="6704" w:type="dxa"/>
            <w:tcBorders>
              <w:top w:val="nil"/>
              <w:left w:val="nil"/>
              <w:bottom w:val="single" w:color="auto" w:sz="8" w:space="0"/>
              <w:right w:val="single" w:color="auto" w:sz="8" w:space="0"/>
            </w:tcBorders>
            <w:shd w:val="clear" w:color="000000" w:fill="FFFFFF"/>
            <w:vAlign w:val="center"/>
          </w:tcPr>
          <w:p w14:paraId="448F50E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080D0C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6992BA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F218D1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4CFF78A">
            <w:pPr>
              <w:widowControl/>
              <w:spacing w:line="440" w:lineRule="exact"/>
              <w:textAlignment w:val="center"/>
              <w:rPr>
                <w:color w:val="auto"/>
                <w:sz w:val="21"/>
                <w:szCs w:val="21"/>
                <w:highlight w:val="none"/>
              </w:rPr>
            </w:pPr>
            <w:r>
              <w:rPr>
                <w:color w:val="auto"/>
                <w:kern w:val="0"/>
                <w:sz w:val="21"/>
                <w:szCs w:val="21"/>
                <w:highlight w:val="none"/>
                <w:lang w:bidi="ar"/>
              </w:rPr>
              <w:t>三、清分系统</w:t>
            </w:r>
          </w:p>
        </w:tc>
        <w:tc>
          <w:tcPr>
            <w:tcW w:w="1677" w:type="dxa"/>
            <w:tcBorders>
              <w:top w:val="nil"/>
              <w:left w:val="nil"/>
              <w:bottom w:val="single" w:color="auto" w:sz="8" w:space="0"/>
              <w:right w:val="single" w:color="auto" w:sz="8" w:space="0"/>
            </w:tcBorders>
            <w:shd w:val="clear" w:color="000000" w:fill="FFFFFF"/>
            <w:vAlign w:val="center"/>
          </w:tcPr>
          <w:p w14:paraId="1C193934">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69F9F9C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1DB3F7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492967F">
            <w:pPr>
              <w:widowControl/>
              <w:spacing w:line="440" w:lineRule="exact"/>
              <w:jc w:val="center"/>
              <w:textAlignment w:val="center"/>
              <w:rPr>
                <w:color w:val="auto"/>
                <w:sz w:val="21"/>
                <w:szCs w:val="21"/>
                <w:highlight w:val="none"/>
              </w:rPr>
            </w:pPr>
            <w:r>
              <w:rPr>
                <w:color w:val="auto"/>
                <w:kern w:val="0"/>
                <w:sz w:val="21"/>
                <w:szCs w:val="21"/>
                <w:highlight w:val="none"/>
                <w:lang w:bidi="ar"/>
              </w:rPr>
              <w:t>十三</w:t>
            </w:r>
          </w:p>
        </w:tc>
        <w:tc>
          <w:tcPr>
            <w:tcW w:w="704" w:type="dxa"/>
            <w:tcBorders>
              <w:top w:val="nil"/>
              <w:left w:val="nil"/>
              <w:bottom w:val="single" w:color="auto" w:sz="8" w:space="0"/>
              <w:right w:val="single" w:color="auto" w:sz="8" w:space="0"/>
            </w:tcBorders>
            <w:shd w:val="clear" w:color="000000" w:fill="FFFFFF"/>
            <w:vAlign w:val="center"/>
          </w:tcPr>
          <w:p w14:paraId="1B7D543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EAD2622">
            <w:pPr>
              <w:widowControl/>
              <w:spacing w:line="440" w:lineRule="exact"/>
              <w:textAlignment w:val="center"/>
              <w:rPr>
                <w:color w:val="auto"/>
                <w:sz w:val="21"/>
                <w:szCs w:val="21"/>
                <w:highlight w:val="none"/>
              </w:rPr>
            </w:pPr>
            <w:r>
              <w:rPr>
                <w:color w:val="auto"/>
                <w:kern w:val="0"/>
                <w:sz w:val="21"/>
                <w:szCs w:val="21"/>
                <w:highlight w:val="none"/>
                <w:lang w:bidi="ar"/>
              </w:rPr>
              <w:t>站内客运设备、站台门</w:t>
            </w:r>
          </w:p>
        </w:tc>
        <w:tc>
          <w:tcPr>
            <w:tcW w:w="1677" w:type="dxa"/>
            <w:tcBorders>
              <w:top w:val="nil"/>
              <w:left w:val="nil"/>
              <w:bottom w:val="single" w:color="auto" w:sz="8" w:space="0"/>
              <w:right w:val="single" w:color="auto" w:sz="8" w:space="0"/>
            </w:tcBorders>
            <w:shd w:val="clear" w:color="000000" w:fill="FFFFFF"/>
            <w:vAlign w:val="center"/>
          </w:tcPr>
          <w:p w14:paraId="519E1843">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69F6F22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B0013A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8AC675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0BAA2EF">
            <w:pPr>
              <w:widowControl/>
              <w:spacing w:line="440" w:lineRule="exact"/>
              <w:jc w:val="center"/>
              <w:textAlignment w:val="center"/>
              <w:rPr>
                <w:color w:val="auto"/>
                <w:sz w:val="21"/>
                <w:szCs w:val="21"/>
                <w:highlight w:val="none"/>
              </w:rPr>
            </w:pPr>
            <w:r>
              <w:rPr>
                <w:color w:val="auto"/>
                <w:kern w:val="0"/>
                <w:sz w:val="21"/>
                <w:szCs w:val="21"/>
                <w:highlight w:val="none"/>
                <w:lang w:bidi="ar"/>
              </w:rPr>
              <w:t>30</w:t>
            </w:r>
          </w:p>
        </w:tc>
        <w:tc>
          <w:tcPr>
            <w:tcW w:w="3816" w:type="dxa"/>
            <w:tcBorders>
              <w:top w:val="nil"/>
              <w:left w:val="nil"/>
              <w:bottom w:val="single" w:color="auto" w:sz="8" w:space="0"/>
              <w:right w:val="single" w:color="auto" w:sz="8" w:space="0"/>
            </w:tcBorders>
            <w:shd w:val="clear" w:color="000000" w:fill="FFFFFF"/>
            <w:vAlign w:val="center"/>
          </w:tcPr>
          <w:p w14:paraId="2E584B34">
            <w:pPr>
              <w:widowControl/>
              <w:spacing w:line="440" w:lineRule="exact"/>
              <w:textAlignment w:val="center"/>
              <w:rPr>
                <w:color w:val="auto"/>
                <w:sz w:val="21"/>
                <w:szCs w:val="21"/>
                <w:highlight w:val="none"/>
              </w:rPr>
            </w:pPr>
            <w:r>
              <w:rPr>
                <w:color w:val="auto"/>
                <w:kern w:val="0"/>
                <w:sz w:val="21"/>
                <w:szCs w:val="21"/>
                <w:highlight w:val="none"/>
                <w:lang w:bidi="ar"/>
              </w:rPr>
              <w:t>站内客运设备</w:t>
            </w:r>
          </w:p>
        </w:tc>
        <w:tc>
          <w:tcPr>
            <w:tcW w:w="1677" w:type="dxa"/>
            <w:tcBorders>
              <w:top w:val="nil"/>
              <w:left w:val="nil"/>
              <w:bottom w:val="single" w:color="auto" w:sz="8" w:space="0"/>
              <w:right w:val="single" w:color="auto" w:sz="8" w:space="0"/>
            </w:tcBorders>
            <w:shd w:val="clear" w:color="000000" w:fill="FFFFFF"/>
            <w:vAlign w:val="center"/>
          </w:tcPr>
          <w:p w14:paraId="580EAC32">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02A3DD94">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CC2391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E43620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AD1743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360E9F5">
            <w:pPr>
              <w:widowControl/>
              <w:spacing w:line="440" w:lineRule="exact"/>
              <w:textAlignment w:val="center"/>
              <w:rPr>
                <w:color w:val="auto"/>
                <w:sz w:val="21"/>
                <w:szCs w:val="21"/>
                <w:highlight w:val="none"/>
              </w:rPr>
            </w:pPr>
            <w:r>
              <w:rPr>
                <w:color w:val="auto"/>
                <w:kern w:val="0"/>
                <w:sz w:val="21"/>
                <w:szCs w:val="21"/>
                <w:highlight w:val="none"/>
                <w:lang w:bidi="ar"/>
              </w:rPr>
              <w:t>一、自动扶梯</w:t>
            </w:r>
          </w:p>
        </w:tc>
        <w:tc>
          <w:tcPr>
            <w:tcW w:w="1677" w:type="dxa"/>
            <w:tcBorders>
              <w:top w:val="nil"/>
              <w:left w:val="nil"/>
              <w:bottom w:val="single" w:color="auto" w:sz="8" w:space="0"/>
              <w:right w:val="single" w:color="auto" w:sz="8" w:space="0"/>
            </w:tcBorders>
            <w:shd w:val="clear" w:color="000000" w:fill="FFFFFF"/>
            <w:vAlign w:val="center"/>
          </w:tcPr>
          <w:p w14:paraId="5C2272FD">
            <w:pPr>
              <w:widowControl/>
              <w:spacing w:line="440" w:lineRule="exact"/>
              <w:jc w:val="center"/>
              <w:textAlignment w:val="center"/>
              <w:rPr>
                <w:color w:val="auto"/>
                <w:sz w:val="21"/>
                <w:szCs w:val="21"/>
                <w:highlight w:val="none"/>
              </w:rPr>
            </w:pPr>
            <w:r>
              <w:rPr>
                <w:color w:val="auto"/>
                <w:kern w:val="0"/>
                <w:sz w:val="21"/>
                <w:szCs w:val="21"/>
                <w:highlight w:val="none"/>
                <w:lang w:bidi="ar"/>
              </w:rPr>
              <w:t>部</w:t>
            </w:r>
          </w:p>
        </w:tc>
        <w:tc>
          <w:tcPr>
            <w:tcW w:w="6704" w:type="dxa"/>
            <w:tcBorders>
              <w:top w:val="nil"/>
              <w:left w:val="nil"/>
              <w:bottom w:val="single" w:color="auto" w:sz="8" w:space="0"/>
              <w:right w:val="single" w:color="auto" w:sz="8" w:space="0"/>
            </w:tcBorders>
            <w:shd w:val="clear" w:color="000000" w:fill="FFFFFF"/>
            <w:vAlign w:val="center"/>
          </w:tcPr>
          <w:p w14:paraId="0A56CFF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261383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16C93B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73BCF3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2AFA216">
            <w:pPr>
              <w:widowControl/>
              <w:spacing w:line="440" w:lineRule="exact"/>
              <w:textAlignment w:val="center"/>
              <w:rPr>
                <w:color w:val="auto"/>
                <w:sz w:val="21"/>
                <w:szCs w:val="21"/>
                <w:highlight w:val="none"/>
              </w:rPr>
            </w:pPr>
            <w:r>
              <w:rPr>
                <w:color w:val="auto"/>
                <w:kern w:val="0"/>
                <w:sz w:val="21"/>
                <w:szCs w:val="21"/>
                <w:highlight w:val="none"/>
                <w:lang w:bidi="ar"/>
              </w:rPr>
              <w:t>二、电梯</w:t>
            </w:r>
          </w:p>
        </w:tc>
        <w:tc>
          <w:tcPr>
            <w:tcW w:w="1677" w:type="dxa"/>
            <w:tcBorders>
              <w:top w:val="nil"/>
              <w:left w:val="nil"/>
              <w:bottom w:val="single" w:color="auto" w:sz="8" w:space="0"/>
              <w:right w:val="single" w:color="auto" w:sz="8" w:space="0"/>
            </w:tcBorders>
            <w:shd w:val="clear" w:color="000000" w:fill="FFFFFF"/>
            <w:vAlign w:val="center"/>
          </w:tcPr>
          <w:p w14:paraId="74D46243">
            <w:pPr>
              <w:widowControl/>
              <w:spacing w:line="440" w:lineRule="exact"/>
              <w:jc w:val="center"/>
              <w:textAlignment w:val="center"/>
              <w:rPr>
                <w:color w:val="auto"/>
                <w:sz w:val="21"/>
                <w:szCs w:val="21"/>
                <w:highlight w:val="none"/>
              </w:rPr>
            </w:pPr>
            <w:r>
              <w:rPr>
                <w:color w:val="auto"/>
                <w:kern w:val="0"/>
                <w:sz w:val="21"/>
                <w:szCs w:val="21"/>
                <w:highlight w:val="none"/>
                <w:lang w:bidi="ar"/>
              </w:rPr>
              <w:t>部</w:t>
            </w:r>
          </w:p>
        </w:tc>
        <w:tc>
          <w:tcPr>
            <w:tcW w:w="6704" w:type="dxa"/>
            <w:tcBorders>
              <w:top w:val="nil"/>
              <w:left w:val="nil"/>
              <w:bottom w:val="single" w:color="auto" w:sz="8" w:space="0"/>
              <w:right w:val="single" w:color="auto" w:sz="8" w:space="0"/>
            </w:tcBorders>
            <w:shd w:val="clear" w:color="000000" w:fill="FFFFFF"/>
            <w:vAlign w:val="center"/>
          </w:tcPr>
          <w:p w14:paraId="5C4CEE5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2F8238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997D2A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1BAC9E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9BA0FDD">
            <w:pPr>
              <w:widowControl/>
              <w:spacing w:line="440" w:lineRule="exact"/>
              <w:textAlignment w:val="center"/>
              <w:rPr>
                <w:color w:val="auto"/>
                <w:sz w:val="21"/>
                <w:szCs w:val="21"/>
                <w:highlight w:val="none"/>
              </w:rPr>
            </w:pPr>
            <w:r>
              <w:rPr>
                <w:color w:val="auto"/>
                <w:kern w:val="0"/>
                <w:sz w:val="21"/>
                <w:szCs w:val="21"/>
                <w:highlight w:val="none"/>
                <w:lang w:bidi="ar"/>
              </w:rPr>
              <w:t>三、自动人行道</w:t>
            </w:r>
          </w:p>
        </w:tc>
        <w:tc>
          <w:tcPr>
            <w:tcW w:w="1677" w:type="dxa"/>
            <w:tcBorders>
              <w:top w:val="nil"/>
              <w:left w:val="nil"/>
              <w:bottom w:val="single" w:color="auto" w:sz="8" w:space="0"/>
              <w:right w:val="single" w:color="auto" w:sz="8" w:space="0"/>
            </w:tcBorders>
            <w:shd w:val="clear" w:color="000000" w:fill="FFFFFF"/>
            <w:vAlign w:val="center"/>
          </w:tcPr>
          <w:p w14:paraId="30957EBF">
            <w:pPr>
              <w:widowControl/>
              <w:spacing w:line="440" w:lineRule="exact"/>
              <w:jc w:val="center"/>
              <w:textAlignment w:val="center"/>
              <w:rPr>
                <w:color w:val="auto"/>
                <w:sz w:val="21"/>
                <w:szCs w:val="21"/>
                <w:highlight w:val="none"/>
              </w:rPr>
            </w:pPr>
            <w:r>
              <w:rPr>
                <w:color w:val="auto"/>
                <w:kern w:val="0"/>
                <w:sz w:val="21"/>
                <w:szCs w:val="21"/>
                <w:highlight w:val="none"/>
                <w:lang w:bidi="ar"/>
              </w:rPr>
              <w:t>部</w:t>
            </w:r>
          </w:p>
        </w:tc>
        <w:tc>
          <w:tcPr>
            <w:tcW w:w="6704" w:type="dxa"/>
            <w:tcBorders>
              <w:top w:val="nil"/>
              <w:left w:val="nil"/>
              <w:bottom w:val="single" w:color="auto" w:sz="8" w:space="0"/>
              <w:right w:val="single" w:color="auto" w:sz="8" w:space="0"/>
            </w:tcBorders>
            <w:shd w:val="clear" w:color="000000" w:fill="FFFFFF"/>
            <w:vAlign w:val="center"/>
          </w:tcPr>
          <w:p w14:paraId="2E14287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FFAA92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136B2A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761BF6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6FEF95D">
            <w:pPr>
              <w:widowControl/>
              <w:spacing w:line="440" w:lineRule="exact"/>
              <w:textAlignment w:val="center"/>
              <w:rPr>
                <w:color w:val="auto"/>
                <w:sz w:val="21"/>
                <w:szCs w:val="21"/>
                <w:highlight w:val="none"/>
              </w:rPr>
            </w:pPr>
            <w:r>
              <w:rPr>
                <w:color w:val="auto"/>
                <w:kern w:val="0"/>
                <w:sz w:val="21"/>
                <w:szCs w:val="21"/>
                <w:highlight w:val="none"/>
                <w:lang w:bidi="ar"/>
              </w:rPr>
              <w:t>四、轮椅升降台</w:t>
            </w:r>
          </w:p>
        </w:tc>
        <w:tc>
          <w:tcPr>
            <w:tcW w:w="1677" w:type="dxa"/>
            <w:tcBorders>
              <w:top w:val="nil"/>
              <w:left w:val="nil"/>
              <w:bottom w:val="single" w:color="auto" w:sz="8" w:space="0"/>
              <w:right w:val="single" w:color="auto" w:sz="8" w:space="0"/>
            </w:tcBorders>
            <w:shd w:val="clear" w:color="000000" w:fill="FFFFFF"/>
            <w:vAlign w:val="center"/>
          </w:tcPr>
          <w:p w14:paraId="127E3008">
            <w:pPr>
              <w:widowControl/>
              <w:spacing w:line="440" w:lineRule="exact"/>
              <w:jc w:val="center"/>
              <w:textAlignment w:val="center"/>
              <w:rPr>
                <w:color w:val="auto"/>
                <w:sz w:val="21"/>
                <w:szCs w:val="21"/>
                <w:highlight w:val="none"/>
              </w:rPr>
            </w:pPr>
            <w:r>
              <w:rPr>
                <w:color w:val="auto"/>
                <w:kern w:val="0"/>
                <w:sz w:val="21"/>
                <w:szCs w:val="21"/>
                <w:highlight w:val="none"/>
                <w:lang w:bidi="ar"/>
              </w:rPr>
              <w:t>部</w:t>
            </w:r>
          </w:p>
        </w:tc>
        <w:tc>
          <w:tcPr>
            <w:tcW w:w="6704" w:type="dxa"/>
            <w:tcBorders>
              <w:top w:val="nil"/>
              <w:left w:val="nil"/>
              <w:bottom w:val="single" w:color="auto" w:sz="8" w:space="0"/>
              <w:right w:val="single" w:color="auto" w:sz="8" w:space="0"/>
            </w:tcBorders>
            <w:shd w:val="clear" w:color="000000" w:fill="FFFFFF"/>
            <w:vAlign w:val="center"/>
          </w:tcPr>
          <w:p w14:paraId="01A9008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2F8B48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FBEE24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BC16DDA">
            <w:pPr>
              <w:widowControl/>
              <w:spacing w:line="440" w:lineRule="exact"/>
              <w:jc w:val="center"/>
              <w:textAlignment w:val="center"/>
              <w:rPr>
                <w:color w:val="auto"/>
                <w:sz w:val="21"/>
                <w:szCs w:val="21"/>
                <w:highlight w:val="none"/>
              </w:rPr>
            </w:pPr>
            <w:r>
              <w:rPr>
                <w:color w:val="auto"/>
                <w:kern w:val="0"/>
                <w:sz w:val="21"/>
                <w:szCs w:val="21"/>
                <w:highlight w:val="none"/>
                <w:lang w:bidi="ar"/>
              </w:rPr>
              <w:t>31</w:t>
            </w:r>
          </w:p>
        </w:tc>
        <w:tc>
          <w:tcPr>
            <w:tcW w:w="3816" w:type="dxa"/>
            <w:tcBorders>
              <w:top w:val="nil"/>
              <w:left w:val="nil"/>
              <w:bottom w:val="single" w:color="auto" w:sz="8" w:space="0"/>
              <w:right w:val="single" w:color="auto" w:sz="8" w:space="0"/>
            </w:tcBorders>
            <w:shd w:val="clear" w:color="000000" w:fill="FFFFFF"/>
            <w:vAlign w:val="center"/>
          </w:tcPr>
          <w:p w14:paraId="40E698B6">
            <w:pPr>
              <w:widowControl/>
              <w:spacing w:line="440" w:lineRule="exact"/>
              <w:textAlignment w:val="center"/>
              <w:rPr>
                <w:color w:val="auto"/>
                <w:sz w:val="21"/>
                <w:szCs w:val="21"/>
                <w:highlight w:val="none"/>
              </w:rPr>
            </w:pPr>
            <w:r>
              <w:rPr>
                <w:color w:val="auto"/>
                <w:kern w:val="0"/>
                <w:sz w:val="21"/>
                <w:szCs w:val="21"/>
                <w:highlight w:val="none"/>
                <w:lang w:bidi="ar"/>
              </w:rPr>
              <w:t>站台门</w:t>
            </w:r>
          </w:p>
        </w:tc>
        <w:tc>
          <w:tcPr>
            <w:tcW w:w="1677" w:type="dxa"/>
            <w:tcBorders>
              <w:top w:val="nil"/>
              <w:left w:val="nil"/>
              <w:bottom w:val="single" w:color="auto" w:sz="8" w:space="0"/>
              <w:right w:val="single" w:color="auto" w:sz="8" w:space="0"/>
            </w:tcBorders>
            <w:shd w:val="clear" w:color="000000" w:fill="FFFFFF"/>
            <w:vAlign w:val="center"/>
          </w:tcPr>
          <w:p w14:paraId="44A4F9F0">
            <w:pPr>
              <w:widowControl/>
              <w:spacing w:line="440" w:lineRule="exact"/>
              <w:jc w:val="center"/>
              <w:textAlignment w:val="center"/>
              <w:rPr>
                <w:color w:val="auto"/>
                <w:sz w:val="21"/>
                <w:szCs w:val="21"/>
                <w:highlight w:val="none"/>
              </w:rPr>
            </w:pPr>
            <w:r>
              <w:rPr>
                <w:color w:val="auto"/>
                <w:kern w:val="0"/>
                <w:sz w:val="21"/>
                <w:szCs w:val="21"/>
                <w:highlight w:val="none"/>
                <w:lang w:bidi="ar"/>
              </w:rPr>
              <w:t>站</w:t>
            </w:r>
          </w:p>
        </w:tc>
        <w:tc>
          <w:tcPr>
            <w:tcW w:w="6704" w:type="dxa"/>
            <w:tcBorders>
              <w:top w:val="nil"/>
              <w:left w:val="nil"/>
              <w:bottom w:val="single" w:color="auto" w:sz="8" w:space="0"/>
              <w:right w:val="single" w:color="auto" w:sz="8" w:space="0"/>
            </w:tcBorders>
            <w:shd w:val="clear" w:color="000000" w:fill="FFFFFF"/>
            <w:vAlign w:val="center"/>
          </w:tcPr>
          <w:p w14:paraId="1DB8B25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75B67D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A08C46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D12ED4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9CEA4A5">
            <w:pPr>
              <w:widowControl/>
              <w:spacing w:line="440" w:lineRule="exact"/>
              <w:textAlignment w:val="center"/>
              <w:rPr>
                <w:color w:val="auto"/>
                <w:sz w:val="21"/>
                <w:szCs w:val="21"/>
                <w:highlight w:val="none"/>
              </w:rPr>
            </w:pPr>
            <w:r>
              <w:rPr>
                <w:color w:val="auto"/>
                <w:kern w:val="0"/>
                <w:sz w:val="21"/>
                <w:szCs w:val="21"/>
                <w:highlight w:val="none"/>
                <w:lang w:bidi="ar"/>
              </w:rPr>
              <w:t>一、站台门</w:t>
            </w:r>
          </w:p>
        </w:tc>
        <w:tc>
          <w:tcPr>
            <w:tcW w:w="1677" w:type="dxa"/>
            <w:tcBorders>
              <w:top w:val="nil"/>
              <w:left w:val="nil"/>
              <w:bottom w:val="single" w:color="auto" w:sz="8" w:space="0"/>
              <w:right w:val="single" w:color="auto" w:sz="8" w:space="0"/>
            </w:tcBorders>
            <w:shd w:val="clear" w:color="000000" w:fill="FFFFFF"/>
            <w:vAlign w:val="center"/>
          </w:tcPr>
          <w:p w14:paraId="038B05E8">
            <w:pPr>
              <w:widowControl/>
              <w:spacing w:line="440" w:lineRule="exact"/>
              <w:jc w:val="center"/>
              <w:textAlignment w:val="center"/>
              <w:rPr>
                <w:color w:val="auto"/>
                <w:sz w:val="21"/>
                <w:szCs w:val="21"/>
                <w:highlight w:val="none"/>
              </w:rPr>
            </w:pPr>
            <w:r>
              <w:rPr>
                <w:color w:val="auto"/>
                <w:kern w:val="0"/>
                <w:sz w:val="21"/>
                <w:szCs w:val="21"/>
                <w:highlight w:val="none"/>
                <w:lang w:bidi="ar"/>
              </w:rPr>
              <w:t>门体单元</w:t>
            </w:r>
          </w:p>
        </w:tc>
        <w:tc>
          <w:tcPr>
            <w:tcW w:w="6704" w:type="dxa"/>
            <w:tcBorders>
              <w:top w:val="nil"/>
              <w:left w:val="nil"/>
              <w:bottom w:val="single" w:color="auto" w:sz="8" w:space="0"/>
              <w:right w:val="single" w:color="auto" w:sz="8" w:space="0"/>
            </w:tcBorders>
            <w:shd w:val="clear" w:color="000000" w:fill="FFFFFF"/>
            <w:vAlign w:val="center"/>
          </w:tcPr>
          <w:p w14:paraId="1BE150F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2F6245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859B504">
            <w:pPr>
              <w:widowControl/>
              <w:spacing w:line="440" w:lineRule="exact"/>
              <w:jc w:val="center"/>
              <w:textAlignment w:val="center"/>
              <w:rPr>
                <w:color w:val="auto"/>
                <w:sz w:val="21"/>
                <w:szCs w:val="21"/>
                <w:highlight w:val="none"/>
              </w:rPr>
            </w:pPr>
            <w:r>
              <w:rPr>
                <w:color w:val="auto"/>
                <w:kern w:val="0"/>
                <w:sz w:val="21"/>
                <w:szCs w:val="21"/>
                <w:highlight w:val="none"/>
                <w:lang w:bidi="ar"/>
              </w:rPr>
              <w:t>十四</w:t>
            </w:r>
          </w:p>
        </w:tc>
        <w:tc>
          <w:tcPr>
            <w:tcW w:w="704" w:type="dxa"/>
            <w:tcBorders>
              <w:top w:val="nil"/>
              <w:left w:val="nil"/>
              <w:bottom w:val="single" w:color="auto" w:sz="8" w:space="0"/>
              <w:right w:val="single" w:color="auto" w:sz="8" w:space="0"/>
            </w:tcBorders>
            <w:shd w:val="clear" w:color="000000" w:fill="FFFFFF"/>
            <w:vAlign w:val="center"/>
          </w:tcPr>
          <w:p w14:paraId="714850D0">
            <w:pPr>
              <w:widowControl/>
              <w:spacing w:line="440" w:lineRule="exact"/>
              <w:jc w:val="center"/>
              <w:textAlignment w:val="center"/>
              <w:rPr>
                <w:color w:val="auto"/>
                <w:sz w:val="21"/>
                <w:szCs w:val="21"/>
                <w:highlight w:val="none"/>
              </w:rPr>
            </w:pPr>
            <w:r>
              <w:rPr>
                <w:color w:val="auto"/>
                <w:kern w:val="0"/>
                <w:sz w:val="21"/>
                <w:szCs w:val="21"/>
                <w:highlight w:val="none"/>
                <w:lang w:bidi="ar"/>
              </w:rPr>
              <w:t>32</w:t>
            </w:r>
          </w:p>
        </w:tc>
        <w:tc>
          <w:tcPr>
            <w:tcW w:w="3816" w:type="dxa"/>
            <w:tcBorders>
              <w:top w:val="nil"/>
              <w:left w:val="nil"/>
              <w:bottom w:val="single" w:color="auto" w:sz="8" w:space="0"/>
              <w:right w:val="single" w:color="auto" w:sz="8" w:space="0"/>
            </w:tcBorders>
            <w:shd w:val="clear" w:color="000000" w:fill="FFFFFF"/>
            <w:vAlign w:val="center"/>
          </w:tcPr>
          <w:p w14:paraId="34D90C11">
            <w:pPr>
              <w:widowControl/>
              <w:spacing w:line="440" w:lineRule="exact"/>
              <w:textAlignment w:val="center"/>
              <w:rPr>
                <w:color w:val="auto"/>
                <w:sz w:val="21"/>
                <w:szCs w:val="21"/>
                <w:highlight w:val="none"/>
              </w:rPr>
            </w:pPr>
            <w:r>
              <w:rPr>
                <w:color w:val="auto"/>
                <w:kern w:val="0"/>
                <w:sz w:val="21"/>
                <w:szCs w:val="21"/>
                <w:highlight w:val="none"/>
                <w:lang w:bidi="ar"/>
              </w:rPr>
              <w:t>运营管理房屋</w:t>
            </w:r>
          </w:p>
        </w:tc>
        <w:tc>
          <w:tcPr>
            <w:tcW w:w="1677" w:type="dxa"/>
            <w:tcBorders>
              <w:top w:val="nil"/>
              <w:left w:val="nil"/>
              <w:bottom w:val="single" w:color="auto" w:sz="8" w:space="0"/>
              <w:right w:val="single" w:color="auto" w:sz="8" w:space="0"/>
            </w:tcBorders>
            <w:shd w:val="clear" w:color="000000" w:fill="FFFFFF"/>
            <w:vAlign w:val="center"/>
          </w:tcPr>
          <w:p w14:paraId="1D4792E7">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24E7940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DB8FFF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1B0406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C1489B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0E2929B">
            <w:pPr>
              <w:widowControl/>
              <w:spacing w:line="440" w:lineRule="exact"/>
              <w:textAlignment w:val="center"/>
              <w:rPr>
                <w:color w:val="auto"/>
                <w:sz w:val="21"/>
                <w:szCs w:val="21"/>
                <w:highlight w:val="none"/>
              </w:rPr>
            </w:pPr>
            <w:r>
              <w:rPr>
                <w:color w:val="auto"/>
                <w:kern w:val="0"/>
                <w:sz w:val="21"/>
                <w:szCs w:val="21"/>
                <w:highlight w:val="none"/>
                <w:lang w:bidi="ar"/>
              </w:rPr>
              <w:t>一、运营控制中心</w:t>
            </w:r>
          </w:p>
        </w:tc>
        <w:tc>
          <w:tcPr>
            <w:tcW w:w="1677" w:type="dxa"/>
            <w:tcBorders>
              <w:top w:val="nil"/>
              <w:left w:val="nil"/>
              <w:bottom w:val="single" w:color="auto" w:sz="8" w:space="0"/>
              <w:right w:val="single" w:color="auto" w:sz="8" w:space="0"/>
            </w:tcBorders>
            <w:shd w:val="clear" w:color="000000" w:fill="FFFFFF"/>
            <w:vAlign w:val="center"/>
          </w:tcPr>
          <w:p w14:paraId="2544D79F">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170E5297">
            <w:pPr>
              <w:widowControl/>
              <w:spacing w:line="440" w:lineRule="exact"/>
              <w:textAlignment w:val="center"/>
              <w:rPr>
                <w:color w:val="auto"/>
                <w:sz w:val="21"/>
                <w:szCs w:val="21"/>
                <w:highlight w:val="none"/>
              </w:rPr>
            </w:pPr>
            <w:r>
              <w:rPr>
                <w:color w:val="auto"/>
                <w:kern w:val="0"/>
                <w:sz w:val="21"/>
                <w:szCs w:val="21"/>
                <w:highlight w:val="none"/>
                <w:lang w:bidi="ar"/>
              </w:rPr>
              <w:t>包括运营控制中心房屋建筑与装饰，动力与照明，通风、空调与供暖，给水与排水、消防，楼宇智能化，电梯，室外附属工程等。</w:t>
            </w:r>
          </w:p>
        </w:tc>
      </w:tr>
      <w:tr w14:paraId="0A37A39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4A6C95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FC369B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EEA3DDC">
            <w:pPr>
              <w:widowControl/>
              <w:spacing w:line="440" w:lineRule="exact"/>
              <w:textAlignment w:val="center"/>
              <w:rPr>
                <w:color w:val="auto"/>
                <w:sz w:val="21"/>
                <w:szCs w:val="21"/>
                <w:highlight w:val="none"/>
              </w:rPr>
            </w:pPr>
            <w:r>
              <w:rPr>
                <w:color w:val="auto"/>
                <w:kern w:val="0"/>
                <w:sz w:val="21"/>
                <w:szCs w:val="21"/>
                <w:highlight w:val="none"/>
                <w:lang w:bidi="ar"/>
              </w:rPr>
              <w:t>二、其他</w:t>
            </w:r>
          </w:p>
        </w:tc>
        <w:tc>
          <w:tcPr>
            <w:tcW w:w="1677" w:type="dxa"/>
            <w:tcBorders>
              <w:top w:val="nil"/>
              <w:left w:val="nil"/>
              <w:bottom w:val="single" w:color="auto" w:sz="8" w:space="0"/>
              <w:right w:val="single" w:color="auto" w:sz="8" w:space="0"/>
            </w:tcBorders>
            <w:shd w:val="clear" w:color="000000" w:fill="FFFFFF"/>
            <w:vAlign w:val="center"/>
          </w:tcPr>
          <w:p w14:paraId="4F7C2147">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58B0082A">
            <w:pPr>
              <w:widowControl/>
              <w:spacing w:line="440" w:lineRule="exact"/>
              <w:textAlignment w:val="center"/>
              <w:rPr>
                <w:color w:val="auto"/>
                <w:sz w:val="21"/>
                <w:szCs w:val="21"/>
                <w:highlight w:val="none"/>
              </w:rPr>
            </w:pPr>
            <w:r>
              <w:rPr>
                <w:color w:val="auto"/>
                <w:kern w:val="0"/>
                <w:sz w:val="21"/>
                <w:szCs w:val="21"/>
                <w:highlight w:val="none"/>
                <w:lang w:bidi="ar"/>
              </w:rPr>
              <w:t>除车站、运营控制中心、车辆基地外的公安派出所、消防站、培训房屋等。</w:t>
            </w:r>
          </w:p>
        </w:tc>
      </w:tr>
      <w:tr w14:paraId="5F2B566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8EA01CD">
            <w:pPr>
              <w:widowControl/>
              <w:spacing w:line="440" w:lineRule="exact"/>
              <w:jc w:val="center"/>
              <w:textAlignment w:val="center"/>
              <w:rPr>
                <w:color w:val="auto"/>
                <w:sz w:val="21"/>
                <w:szCs w:val="21"/>
                <w:highlight w:val="none"/>
              </w:rPr>
            </w:pPr>
            <w:r>
              <w:rPr>
                <w:color w:val="auto"/>
                <w:kern w:val="0"/>
                <w:sz w:val="21"/>
                <w:szCs w:val="21"/>
                <w:highlight w:val="none"/>
                <w:lang w:bidi="ar"/>
              </w:rPr>
              <w:t>十五</w:t>
            </w:r>
          </w:p>
        </w:tc>
        <w:tc>
          <w:tcPr>
            <w:tcW w:w="704" w:type="dxa"/>
            <w:tcBorders>
              <w:top w:val="nil"/>
              <w:left w:val="nil"/>
              <w:bottom w:val="single" w:color="auto" w:sz="8" w:space="0"/>
              <w:right w:val="single" w:color="auto" w:sz="8" w:space="0"/>
            </w:tcBorders>
            <w:shd w:val="clear" w:color="000000" w:fill="FFFFFF"/>
            <w:vAlign w:val="center"/>
          </w:tcPr>
          <w:p w14:paraId="37E57A10">
            <w:pPr>
              <w:widowControl/>
              <w:spacing w:line="440" w:lineRule="exact"/>
              <w:jc w:val="center"/>
              <w:textAlignment w:val="center"/>
              <w:rPr>
                <w:color w:val="auto"/>
                <w:sz w:val="21"/>
                <w:szCs w:val="21"/>
                <w:highlight w:val="none"/>
              </w:rPr>
            </w:pPr>
            <w:r>
              <w:rPr>
                <w:color w:val="auto"/>
                <w:kern w:val="0"/>
                <w:sz w:val="21"/>
                <w:szCs w:val="21"/>
                <w:highlight w:val="none"/>
                <w:lang w:bidi="ar"/>
              </w:rPr>
              <w:t>33</w:t>
            </w:r>
          </w:p>
        </w:tc>
        <w:tc>
          <w:tcPr>
            <w:tcW w:w="3816" w:type="dxa"/>
            <w:tcBorders>
              <w:top w:val="nil"/>
              <w:left w:val="nil"/>
              <w:bottom w:val="single" w:color="auto" w:sz="8" w:space="0"/>
              <w:right w:val="single" w:color="auto" w:sz="8" w:space="0"/>
            </w:tcBorders>
            <w:shd w:val="clear" w:color="000000" w:fill="FFFFFF"/>
            <w:vAlign w:val="center"/>
          </w:tcPr>
          <w:p w14:paraId="03B2599E">
            <w:pPr>
              <w:widowControl/>
              <w:spacing w:line="440" w:lineRule="exact"/>
              <w:textAlignment w:val="center"/>
              <w:rPr>
                <w:color w:val="auto"/>
                <w:sz w:val="21"/>
                <w:szCs w:val="21"/>
                <w:highlight w:val="none"/>
              </w:rPr>
            </w:pPr>
            <w:r>
              <w:rPr>
                <w:color w:val="auto"/>
                <w:kern w:val="0"/>
                <w:sz w:val="21"/>
                <w:szCs w:val="21"/>
                <w:highlight w:val="none"/>
                <w:lang w:bidi="ar"/>
              </w:rPr>
              <w:t>车辆基地</w:t>
            </w:r>
          </w:p>
        </w:tc>
        <w:tc>
          <w:tcPr>
            <w:tcW w:w="1677" w:type="dxa"/>
            <w:tcBorders>
              <w:top w:val="nil"/>
              <w:left w:val="nil"/>
              <w:bottom w:val="single" w:color="auto" w:sz="8" w:space="0"/>
              <w:right w:val="single" w:color="auto" w:sz="8" w:space="0"/>
            </w:tcBorders>
            <w:shd w:val="clear" w:color="000000" w:fill="FFFFFF"/>
            <w:vAlign w:val="center"/>
          </w:tcPr>
          <w:p w14:paraId="2277E1EA">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7BCBDAC7">
            <w:pPr>
              <w:widowControl/>
              <w:spacing w:line="440" w:lineRule="exact"/>
              <w:textAlignment w:val="center"/>
              <w:rPr>
                <w:color w:val="auto"/>
                <w:sz w:val="21"/>
                <w:szCs w:val="21"/>
                <w:highlight w:val="none"/>
              </w:rPr>
            </w:pPr>
            <w:r>
              <w:rPr>
                <w:color w:val="auto"/>
                <w:kern w:val="0"/>
                <w:sz w:val="21"/>
                <w:szCs w:val="21"/>
                <w:highlight w:val="none"/>
                <w:lang w:bidi="ar"/>
              </w:rPr>
              <w:t>包括生产及办公房屋、运营生产设备及建筑附属设施，车辆段和停车场分列。</w:t>
            </w:r>
          </w:p>
        </w:tc>
      </w:tr>
      <w:tr w14:paraId="243D588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6FE281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F3D5FB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13BD2D1">
            <w:pPr>
              <w:widowControl/>
              <w:spacing w:line="440" w:lineRule="exact"/>
              <w:textAlignment w:val="center"/>
              <w:rPr>
                <w:color w:val="auto"/>
                <w:sz w:val="21"/>
                <w:szCs w:val="21"/>
                <w:highlight w:val="none"/>
              </w:rPr>
            </w:pPr>
            <w:r>
              <w:rPr>
                <w:color w:val="auto"/>
                <w:kern w:val="0"/>
                <w:sz w:val="21"/>
                <w:szCs w:val="21"/>
                <w:highlight w:val="none"/>
                <w:lang w:bidi="ar"/>
              </w:rPr>
              <w:t>一、车辆段</w:t>
            </w:r>
          </w:p>
        </w:tc>
        <w:tc>
          <w:tcPr>
            <w:tcW w:w="1677" w:type="dxa"/>
            <w:tcBorders>
              <w:top w:val="nil"/>
              <w:left w:val="nil"/>
              <w:bottom w:val="single" w:color="auto" w:sz="8" w:space="0"/>
              <w:right w:val="single" w:color="auto" w:sz="8" w:space="0"/>
            </w:tcBorders>
            <w:shd w:val="clear" w:color="000000" w:fill="FFFFFF"/>
            <w:vAlign w:val="center"/>
          </w:tcPr>
          <w:p w14:paraId="74E1BF91">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2E0E1444">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1F6714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1A17C2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9C7233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65CC7E9">
            <w:pPr>
              <w:widowControl/>
              <w:spacing w:line="440" w:lineRule="exact"/>
              <w:textAlignment w:val="center"/>
              <w:rPr>
                <w:color w:val="auto"/>
                <w:sz w:val="21"/>
                <w:szCs w:val="21"/>
                <w:highlight w:val="none"/>
              </w:rPr>
            </w:pPr>
            <w:r>
              <w:rPr>
                <w:color w:val="auto"/>
                <w:kern w:val="0"/>
                <w:sz w:val="21"/>
                <w:szCs w:val="21"/>
                <w:highlight w:val="none"/>
                <w:lang w:bidi="ar"/>
              </w:rPr>
              <w:t>（一）生产及办公房屋</w:t>
            </w:r>
          </w:p>
        </w:tc>
        <w:tc>
          <w:tcPr>
            <w:tcW w:w="1677" w:type="dxa"/>
            <w:tcBorders>
              <w:top w:val="nil"/>
              <w:left w:val="nil"/>
              <w:bottom w:val="single" w:color="auto" w:sz="8" w:space="0"/>
              <w:right w:val="single" w:color="auto" w:sz="8" w:space="0"/>
            </w:tcBorders>
            <w:shd w:val="clear" w:color="000000" w:fill="FFFFFF"/>
            <w:vAlign w:val="center"/>
          </w:tcPr>
          <w:p w14:paraId="43F23344">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314434B">
            <w:pPr>
              <w:widowControl/>
              <w:spacing w:line="440" w:lineRule="exact"/>
              <w:textAlignment w:val="center"/>
              <w:rPr>
                <w:color w:val="auto"/>
                <w:sz w:val="21"/>
                <w:szCs w:val="21"/>
                <w:highlight w:val="none"/>
              </w:rPr>
            </w:pPr>
            <w:r>
              <w:rPr>
                <w:color w:val="auto"/>
                <w:kern w:val="0"/>
                <w:sz w:val="21"/>
                <w:szCs w:val="21"/>
                <w:highlight w:val="none"/>
                <w:lang w:bidi="ar"/>
              </w:rPr>
              <w:t>包括生产及办公房屋建筑与装饰，室内动力与照明，通风、空调与供暖，给水与排水、消防，电梯等。</w:t>
            </w:r>
          </w:p>
        </w:tc>
      </w:tr>
      <w:tr w14:paraId="69A881D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7504F4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DFA86A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447854A">
            <w:pPr>
              <w:widowControl/>
              <w:spacing w:line="440" w:lineRule="exact"/>
              <w:textAlignment w:val="center"/>
              <w:rPr>
                <w:color w:val="auto"/>
                <w:sz w:val="21"/>
                <w:szCs w:val="21"/>
                <w:highlight w:val="none"/>
              </w:rPr>
            </w:pPr>
            <w:r>
              <w:rPr>
                <w:color w:val="auto"/>
                <w:kern w:val="0"/>
                <w:sz w:val="21"/>
                <w:szCs w:val="21"/>
                <w:highlight w:val="none"/>
                <w:lang w:bidi="ar"/>
              </w:rPr>
              <w:t>1.建筑与装饰</w:t>
            </w:r>
          </w:p>
        </w:tc>
        <w:tc>
          <w:tcPr>
            <w:tcW w:w="1677" w:type="dxa"/>
            <w:tcBorders>
              <w:top w:val="nil"/>
              <w:left w:val="nil"/>
              <w:bottom w:val="single" w:color="auto" w:sz="8" w:space="0"/>
              <w:right w:val="single" w:color="auto" w:sz="8" w:space="0"/>
            </w:tcBorders>
            <w:shd w:val="clear" w:color="000000" w:fill="FFFFFF"/>
            <w:vAlign w:val="center"/>
          </w:tcPr>
          <w:p w14:paraId="0A598746">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2B10D03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7AD6AA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59D86A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23001E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5107BF7">
            <w:pPr>
              <w:widowControl/>
              <w:spacing w:line="440" w:lineRule="exact"/>
              <w:textAlignment w:val="center"/>
              <w:rPr>
                <w:color w:val="auto"/>
                <w:sz w:val="21"/>
                <w:szCs w:val="21"/>
                <w:highlight w:val="none"/>
              </w:rPr>
            </w:pPr>
            <w:r>
              <w:rPr>
                <w:color w:val="auto"/>
                <w:kern w:val="0"/>
                <w:sz w:val="21"/>
                <w:szCs w:val="21"/>
                <w:highlight w:val="none"/>
                <w:lang w:bidi="ar"/>
              </w:rPr>
              <w:t>2. 动力与照明</w:t>
            </w:r>
          </w:p>
        </w:tc>
        <w:tc>
          <w:tcPr>
            <w:tcW w:w="1677" w:type="dxa"/>
            <w:tcBorders>
              <w:top w:val="nil"/>
              <w:left w:val="nil"/>
              <w:bottom w:val="single" w:color="auto" w:sz="8" w:space="0"/>
              <w:right w:val="single" w:color="auto" w:sz="8" w:space="0"/>
            </w:tcBorders>
            <w:shd w:val="clear" w:color="000000" w:fill="FFFFFF"/>
            <w:vAlign w:val="center"/>
          </w:tcPr>
          <w:p w14:paraId="75063066">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15CCE3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39A65A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06BBF2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E64800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D345C60">
            <w:pPr>
              <w:widowControl/>
              <w:spacing w:line="440" w:lineRule="exact"/>
              <w:textAlignment w:val="center"/>
              <w:rPr>
                <w:color w:val="auto"/>
                <w:sz w:val="21"/>
                <w:szCs w:val="21"/>
                <w:highlight w:val="none"/>
              </w:rPr>
            </w:pPr>
            <w:r>
              <w:rPr>
                <w:color w:val="auto"/>
                <w:kern w:val="0"/>
                <w:sz w:val="21"/>
                <w:szCs w:val="21"/>
                <w:highlight w:val="none"/>
                <w:lang w:bidi="ar"/>
              </w:rPr>
              <w:t>3. 通风、空调与供暖</w:t>
            </w:r>
          </w:p>
        </w:tc>
        <w:tc>
          <w:tcPr>
            <w:tcW w:w="1677" w:type="dxa"/>
            <w:tcBorders>
              <w:top w:val="nil"/>
              <w:left w:val="nil"/>
              <w:bottom w:val="single" w:color="auto" w:sz="8" w:space="0"/>
              <w:right w:val="single" w:color="auto" w:sz="8" w:space="0"/>
            </w:tcBorders>
            <w:shd w:val="clear" w:color="000000" w:fill="FFFFFF"/>
            <w:vAlign w:val="center"/>
          </w:tcPr>
          <w:p w14:paraId="560913C7">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42AB7B8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F48569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330BFC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3C3E15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FB90DD8">
            <w:pPr>
              <w:widowControl/>
              <w:spacing w:line="440" w:lineRule="exact"/>
              <w:textAlignment w:val="center"/>
              <w:rPr>
                <w:color w:val="auto"/>
                <w:sz w:val="21"/>
                <w:szCs w:val="21"/>
                <w:highlight w:val="none"/>
              </w:rPr>
            </w:pPr>
            <w:r>
              <w:rPr>
                <w:color w:val="auto"/>
                <w:kern w:val="0"/>
                <w:sz w:val="21"/>
                <w:szCs w:val="21"/>
                <w:highlight w:val="none"/>
                <w:lang w:bidi="ar"/>
              </w:rPr>
              <w:t>4. 给水与排水、消防</w:t>
            </w:r>
          </w:p>
        </w:tc>
        <w:tc>
          <w:tcPr>
            <w:tcW w:w="1677" w:type="dxa"/>
            <w:tcBorders>
              <w:top w:val="nil"/>
              <w:left w:val="nil"/>
              <w:bottom w:val="single" w:color="auto" w:sz="8" w:space="0"/>
              <w:right w:val="single" w:color="auto" w:sz="8" w:space="0"/>
            </w:tcBorders>
            <w:shd w:val="clear" w:color="000000" w:fill="FFFFFF"/>
            <w:vAlign w:val="center"/>
          </w:tcPr>
          <w:p w14:paraId="212BB066">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1F826BC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D56D0C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3A498C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2C183C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2177A25">
            <w:pPr>
              <w:widowControl/>
              <w:spacing w:line="440" w:lineRule="exact"/>
              <w:textAlignment w:val="center"/>
              <w:rPr>
                <w:color w:val="auto"/>
                <w:sz w:val="21"/>
                <w:szCs w:val="21"/>
                <w:highlight w:val="none"/>
              </w:rPr>
            </w:pPr>
            <w:r>
              <w:rPr>
                <w:color w:val="auto"/>
                <w:kern w:val="0"/>
                <w:sz w:val="21"/>
                <w:szCs w:val="21"/>
                <w:highlight w:val="none"/>
                <w:lang w:bidi="ar"/>
              </w:rPr>
              <w:t>5. 电梯</w:t>
            </w:r>
          </w:p>
        </w:tc>
        <w:tc>
          <w:tcPr>
            <w:tcW w:w="1677" w:type="dxa"/>
            <w:tcBorders>
              <w:top w:val="nil"/>
              <w:left w:val="nil"/>
              <w:bottom w:val="single" w:color="auto" w:sz="8" w:space="0"/>
              <w:right w:val="single" w:color="auto" w:sz="8" w:space="0"/>
            </w:tcBorders>
            <w:shd w:val="clear" w:color="000000" w:fill="FFFFFF"/>
            <w:vAlign w:val="center"/>
          </w:tcPr>
          <w:p w14:paraId="377100D6">
            <w:pPr>
              <w:widowControl/>
              <w:spacing w:line="440" w:lineRule="exact"/>
              <w:jc w:val="center"/>
              <w:textAlignment w:val="center"/>
              <w:rPr>
                <w:color w:val="auto"/>
                <w:sz w:val="21"/>
                <w:szCs w:val="21"/>
                <w:highlight w:val="none"/>
              </w:rPr>
            </w:pPr>
            <w:r>
              <w:rPr>
                <w:color w:val="auto"/>
                <w:kern w:val="0"/>
                <w:sz w:val="21"/>
                <w:szCs w:val="21"/>
                <w:highlight w:val="none"/>
                <w:lang w:bidi="ar"/>
              </w:rPr>
              <w:t>部</w:t>
            </w:r>
          </w:p>
        </w:tc>
        <w:tc>
          <w:tcPr>
            <w:tcW w:w="6704" w:type="dxa"/>
            <w:tcBorders>
              <w:top w:val="nil"/>
              <w:left w:val="nil"/>
              <w:bottom w:val="single" w:color="auto" w:sz="8" w:space="0"/>
              <w:right w:val="single" w:color="auto" w:sz="8" w:space="0"/>
            </w:tcBorders>
            <w:shd w:val="clear" w:color="000000" w:fill="FFFFFF"/>
            <w:vAlign w:val="center"/>
          </w:tcPr>
          <w:p w14:paraId="6E40FC3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47B029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88CD5E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C5C2B4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0133BB9">
            <w:pPr>
              <w:widowControl/>
              <w:spacing w:line="440" w:lineRule="exact"/>
              <w:textAlignment w:val="center"/>
              <w:rPr>
                <w:color w:val="auto"/>
                <w:sz w:val="21"/>
                <w:szCs w:val="21"/>
                <w:highlight w:val="none"/>
              </w:rPr>
            </w:pPr>
            <w:r>
              <w:rPr>
                <w:color w:val="auto"/>
                <w:kern w:val="0"/>
                <w:sz w:val="21"/>
                <w:szCs w:val="21"/>
                <w:highlight w:val="none"/>
                <w:lang w:bidi="ar"/>
              </w:rPr>
              <w:t>（二）工艺设备</w:t>
            </w:r>
          </w:p>
        </w:tc>
        <w:tc>
          <w:tcPr>
            <w:tcW w:w="1677" w:type="dxa"/>
            <w:tcBorders>
              <w:top w:val="nil"/>
              <w:left w:val="nil"/>
              <w:bottom w:val="single" w:color="auto" w:sz="8" w:space="0"/>
              <w:right w:val="single" w:color="auto" w:sz="8" w:space="0"/>
            </w:tcBorders>
            <w:shd w:val="clear" w:color="000000" w:fill="FFFFFF"/>
            <w:vAlign w:val="center"/>
          </w:tcPr>
          <w:p w14:paraId="0FB1B6CF">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1D48B37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8A6208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1A60DF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6165F3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6C05846">
            <w:pPr>
              <w:widowControl/>
              <w:spacing w:line="440" w:lineRule="exact"/>
              <w:textAlignment w:val="center"/>
              <w:rPr>
                <w:color w:val="auto"/>
                <w:sz w:val="21"/>
                <w:szCs w:val="21"/>
                <w:highlight w:val="none"/>
              </w:rPr>
            </w:pPr>
            <w:r>
              <w:rPr>
                <w:color w:val="auto"/>
                <w:kern w:val="0"/>
                <w:sz w:val="21"/>
                <w:szCs w:val="21"/>
                <w:highlight w:val="none"/>
                <w:lang w:bidi="ar"/>
              </w:rPr>
              <w:t>（三）附属工程</w:t>
            </w:r>
          </w:p>
        </w:tc>
        <w:tc>
          <w:tcPr>
            <w:tcW w:w="1677" w:type="dxa"/>
            <w:tcBorders>
              <w:top w:val="nil"/>
              <w:left w:val="nil"/>
              <w:bottom w:val="single" w:color="auto" w:sz="8" w:space="0"/>
              <w:right w:val="single" w:color="auto" w:sz="8" w:space="0"/>
            </w:tcBorders>
            <w:shd w:val="clear" w:color="000000" w:fill="FFFFFF"/>
            <w:vAlign w:val="center"/>
          </w:tcPr>
          <w:p w14:paraId="4A9473B1">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26F734C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132448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498F9E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374DC4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3E1805E">
            <w:pPr>
              <w:widowControl/>
              <w:spacing w:line="440" w:lineRule="exact"/>
              <w:textAlignment w:val="center"/>
              <w:rPr>
                <w:color w:val="auto"/>
                <w:sz w:val="21"/>
                <w:szCs w:val="21"/>
                <w:highlight w:val="none"/>
              </w:rPr>
            </w:pPr>
            <w:r>
              <w:rPr>
                <w:color w:val="auto"/>
                <w:kern w:val="0"/>
                <w:sz w:val="21"/>
                <w:szCs w:val="21"/>
                <w:highlight w:val="none"/>
                <w:lang w:bidi="ar"/>
              </w:rPr>
              <w:t>1.检查坑</w:t>
            </w:r>
          </w:p>
        </w:tc>
        <w:tc>
          <w:tcPr>
            <w:tcW w:w="1677" w:type="dxa"/>
            <w:tcBorders>
              <w:top w:val="nil"/>
              <w:left w:val="nil"/>
              <w:bottom w:val="single" w:color="auto" w:sz="8" w:space="0"/>
              <w:right w:val="single" w:color="auto" w:sz="8" w:space="0"/>
            </w:tcBorders>
            <w:shd w:val="clear" w:color="000000" w:fill="FFFFFF"/>
            <w:vAlign w:val="center"/>
          </w:tcPr>
          <w:p w14:paraId="3AE1E6D1">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F413EB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F3A09B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2448EC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D91880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9268E4B">
            <w:pPr>
              <w:widowControl/>
              <w:spacing w:line="440" w:lineRule="exact"/>
              <w:textAlignment w:val="center"/>
              <w:rPr>
                <w:color w:val="auto"/>
                <w:sz w:val="21"/>
                <w:szCs w:val="21"/>
                <w:highlight w:val="none"/>
              </w:rPr>
            </w:pPr>
            <w:r>
              <w:rPr>
                <w:color w:val="auto"/>
                <w:kern w:val="0"/>
                <w:sz w:val="21"/>
                <w:szCs w:val="21"/>
                <w:highlight w:val="none"/>
                <w:lang w:bidi="ar"/>
              </w:rPr>
              <w:t>2.地基处理</w:t>
            </w:r>
          </w:p>
        </w:tc>
        <w:tc>
          <w:tcPr>
            <w:tcW w:w="1677" w:type="dxa"/>
            <w:tcBorders>
              <w:top w:val="nil"/>
              <w:left w:val="nil"/>
              <w:bottom w:val="single" w:color="auto" w:sz="8" w:space="0"/>
              <w:right w:val="single" w:color="auto" w:sz="8" w:space="0"/>
            </w:tcBorders>
            <w:shd w:val="clear" w:color="000000" w:fill="FFFFFF"/>
            <w:vAlign w:val="center"/>
          </w:tcPr>
          <w:p w14:paraId="4F91178D">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3EB1F7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913CE0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67F306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165417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EBAD058">
            <w:pPr>
              <w:widowControl/>
              <w:spacing w:line="440" w:lineRule="exact"/>
              <w:textAlignment w:val="center"/>
              <w:rPr>
                <w:color w:val="auto"/>
                <w:sz w:val="21"/>
                <w:szCs w:val="21"/>
                <w:highlight w:val="none"/>
              </w:rPr>
            </w:pPr>
            <w:r>
              <w:rPr>
                <w:color w:val="auto"/>
                <w:kern w:val="0"/>
                <w:sz w:val="21"/>
                <w:szCs w:val="21"/>
                <w:highlight w:val="none"/>
                <w:lang w:bidi="ar"/>
              </w:rPr>
              <w:t>3.边坡加固及防护</w:t>
            </w:r>
          </w:p>
        </w:tc>
        <w:tc>
          <w:tcPr>
            <w:tcW w:w="1677" w:type="dxa"/>
            <w:tcBorders>
              <w:top w:val="nil"/>
              <w:left w:val="nil"/>
              <w:bottom w:val="single" w:color="auto" w:sz="8" w:space="0"/>
              <w:right w:val="single" w:color="auto" w:sz="8" w:space="0"/>
            </w:tcBorders>
            <w:shd w:val="clear" w:color="000000" w:fill="FFFFFF"/>
            <w:vAlign w:val="center"/>
          </w:tcPr>
          <w:p w14:paraId="5AF9BF5F">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F5C6DA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7FD501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39CE20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C5C3C5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17679C8">
            <w:pPr>
              <w:widowControl/>
              <w:spacing w:line="440" w:lineRule="exact"/>
              <w:textAlignment w:val="center"/>
              <w:rPr>
                <w:color w:val="auto"/>
                <w:sz w:val="21"/>
                <w:szCs w:val="21"/>
                <w:highlight w:val="none"/>
              </w:rPr>
            </w:pPr>
            <w:r>
              <w:rPr>
                <w:color w:val="auto"/>
                <w:kern w:val="0"/>
                <w:sz w:val="21"/>
                <w:szCs w:val="21"/>
                <w:highlight w:val="none"/>
                <w:lang w:bidi="ar"/>
              </w:rPr>
              <w:t>4.土石方</w:t>
            </w:r>
          </w:p>
        </w:tc>
        <w:tc>
          <w:tcPr>
            <w:tcW w:w="1677" w:type="dxa"/>
            <w:tcBorders>
              <w:top w:val="nil"/>
              <w:left w:val="nil"/>
              <w:bottom w:val="single" w:color="auto" w:sz="8" w:space="0"/>
              <w:right w:val="single" w:color="auto" w:sz="8" w:space="0"/>
            </w:tcBorders>
            <w:shd w:val="clear" w:color="000000" w:fill="FFFFFF"/>
            <w:vAlign w:val="center"/>
          </w:tcPr>
          <w:p w14:paraId="265B6EBD">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3</w:t>
            </w:r>
          </w:p>
        </w:tc>
        <w:tc>
          <w:tcPr>
            <w:tcW w:w="6704" w:type="dxa"/>
            <w:tcBorders>
              <w:top w:val="nil"/>
              <w:left w:val="nil"/>
              <w:bottom w:val="single" w:color="auto" w:sz="8" w:space="0"/>
              <w:right w:val="single" w:color="auto" w:sz="8" w:space="0"/>
            </w:tcBorders>
            <w:shd w:val="clear" w:color="000000" w:fill="FFFFFF"/>
            <w:vAlign w:val="center"/>
          </w:tcPr>
          <w:p w14:paraId="76A62593">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EBF215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E34D64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7FEF50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BF44416">
            <w:pPr>
              <w:widowControl/>
              <w:spacing w:line="440" w:lineRule="exact"/>
              <w:textAlignment w:val="center"/>
              <w:rPr>
                <w:color w:val="auto"/>
                <w:sz w:val="21"/>
                <w:szCs w:val="21"/>
                <w:highlight w:val="none"/>
              </w:rPr>
            </w:pPr>
            <w:r>
              <w:rPr>
                <w:color w:val="auto"/>
                <w:kern w:val="0"/>
                <w:sz w:val="21"/>
                <w:szCs w:val="21"/>
                <w:highlight w:val="none"/>
                <w:lang w:bidi="ar"/>
              </w:rPr>
              <w:t>（1）挖方</w:t>
            </w:r>
          </w:p>
        </w:tc>
        <w:tc>
          <w:tcPr>
            <w:tcW w:w="1677" w:type="dxa"/>
            <w:tcBorders>
              <w:top w:val="nil"/>
              <w:left w:val="nil"/>
              <w:bottom w:val="single" w:color="auto" w:sz="8" w:space="0"/>
              <w:right w:val="single" w:color="auto" w:sz="8" w:space="0"/>
            </w:tcBorders>
            <w:shd w:val="clear" w:color="000000" w:fill="FFFFFF"/>
            <w:vAlign w:val="center"/>
          </w:tcPr>
          <w:p w14:paraId="0ABA512A">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3</w:t>
            </w:r>
          </w:p>
        </w:tc>
        <w:tc>
          <w:tcPr>
            <w:tcW w:w="6704" w:type="dxa"/>
            <w:tcBorders>
              <w:top w:val="nil"/>
              <w:left w:val="nil"/>
              <w:bottom w:val="single" w:color="auto" w:sz="8" w:space="0"/>
              <w:right w:val="single" w:color="auto" w:sz="8" w:space="0"/>
            </w:tcBorders>
            <w:shd w:val="clear" w:color="000000" w:fill="FFFFFF"/>
            <w:vAlign w:val="center"/>
          </w:tcPr>
          <w:p w14:paraId="07ACA641">
            <w:pPr>
              <w:widowControl/>
              <w:spacing w:line="440" w:lineRule="exact"/>
              <w:textAlignment w:val="center"/>
              <w:rPr>
                <w:color w:val="auto"/>
                <w:sz w:val="21"/>
                <w:szCs w:val="21"/>
                <w:highlight w:val="none"/>
              </w:rPr>
            </w:pPr>
            <w:r>
              <w:rPr>
                <w:color w:val="auto"/>
                <w:kern w:val="0"/>
                <w:sz w:val="21"/>
                <w:szCs w:val="21"/>
                <w:highlight w:val="none"/>
                <w:lang w:bidi="ar"/>
              </w:rPr>
              <w:t>按土、石分列。</w:t>
            </w:r>
          </w:p>
        </w:tc>
      </w:tr>
      <w:tr w14:paraId="6ADF04E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502C50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483972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9B9D873">
            <w:pPr>
              <w:widowControl/>
              <w:spacing w:line="440" w:lineRule="exact"/>
              <w:textAlignment w:val="center"/>
              <w:rPr>
                <w:color w:val="auto"/>
                <w:sz w:val="21"/>
                <w:szCs w:val="21"/>
                <w:highlight w:val="none"/>
              </w:rPr>
            </w:pPr>
            <w:r>
              <w:rPr>
                <w:color w:val="auto"/>
                <w:kern w:val="0"/>
                <w:sz w:val="21"/>
                <w:szCs w:val="21"/>
                <w:highlight w:val="none"/>
                <w:lang w:bidi="ar"/>
              </w:rPr>
              <w:t>（2）填方</w:t>
            </w:r>
          </w:p>
        </w:tc>
        <w:tc>
          <w:tcPr>
            <w:tcW w:w="1677" w:type="dxa"/>
            <w:tcBorders>
              <w:top w:val="nil"/>
              <w:left w:val="nil"/>
              <w:bottom w:val="single" w:color="auto" w:sz="8" w:space="0"/>
              <w:right w:val="single" w:color="auto" w:sz="8" w:space="0"/>
            </w:tcBorders>
            <w:shd w:val="clear" w:color="000000" w:fill="FFFFFF"/>
            <w:vAlign w:val="center"/>
          </w:tcPr>
          <w:p w14:paraId="5DC4C4D7">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3</w:t>
            </w:r>
          </w:p>
        </w:tc>
        <w:tc>
          <w:tcPr>
            <w:tcW w:w="6704" w:type="dxa"/>
            <w:tcBorders>
              <w:top w:val="nil"/>
              <w:left w:val="nil"/>
              <w:bottom w:val="single" w:color="auto" w:sz="8" w:space="0"/>
              <w:right w:val="single" w:color="auto" w:sz="8" w:space="0"/>
            </w:tcBorders>
            <w:shd w:val="clear" w:color="000000" w:fill="FFFFFF"/>
            <w:vAlign w:val="center"/>
          </w:tcPr>
          <w:p w14:paraId="174BD43A">
            <w:pPr>
              <w:widowControl/>
              <w:spacing w:line="440" w:lineRule="exact"/>
              <w:textAlignment w:val="center"/>
              <w:rPr>
                <w:color w:val="auto"/>
                <w:sz w:val="21"/>
                <w:szCs w:val="21"/>
                <w:highlight w:val="none"/>
              </w:rPr>
            </w:pPr>
            <w:r>
              <w:rPr>
                <w:color w:val="auto"/>
                <w:kern w:val="0"/>
                <w:sz w:val="21"/>
                <w:szCs w:val="21"/>
                <w:highlight w:val="none"/>
                <w:lang w:bidi="ar"/>
              </w:rPr>
              <w:t>按土、石分列。</w:t>
            </w:r>
          </w:p>
        </w:tc>
      </w:tr>
      <w:tr w14:paraId="2C35EA9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AFE609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A97AC4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AD9DA90">
            <w:pPr>
              <w:widowControl/>
              <w:spacing w:line="440" w:lineRule="exact"/>
              <w:textAlignment w:val="center"/>
              <w:rPr>
                <w:color w:val="auto"/>
                <w:sz w:val="21"/>
                <w:szCs w:val="21"/>
                <w:highlight w:val="none"/>
              </w:rPr>
            </w:pPr>
            <w:r>
              <w:rPr>
                <w:color w:val="auto"/>
                <w:kern w:val="0"/>
                <w:sz w:val="21"/>
                <w:szCs w:val="21"/>
                <w:highlight w:val="none"/>
                <w:lang w:bidi="ar"/>
              </w:rPr>
              <w:t>5.场区道路</w:t>
            </w:r>
          </w:p>
        </w:tc>
        <w:tc>
          <w:tcPr>
            <w:tcW w:w="1677" w:type="dxa"/>
            <w:tcBorders>
              <w:top w:val="nil"/>
              <w:left w:val="nil"/>
              <w:bottom w:val="single" w:color="auto" w:sz="8" w:space="0"/>
              <w:right w:val="single" w:color="auto" w:sz="8" w:space="0"/>
            </w:tcBorders>
            <w:shd w:val="clear" w:color="000000" w:fill="FFFFFF"/>
            <w:vAlign w:val="center"/>
          </w:tcPr>
          <w:p w14:paraId="1BEA4719">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5DC24D2">
            <w:pPr>
              <w:widowControl/>
              <w:spacing w:line="440" w:lineRule="exact"/>
              <w:textAlignment w:val="center"/>
              <w:rPr>
                <w:color w:val="auto"/>
                <w:sz w:val="21"/>
                <w:szCs w:val="21"/>
                <w:highlight w:val="none"/>
              </w:rPr>
            </w:pPr>
            <w:r>
              <w:rPr>
                <w:color w:val="auto"/>
                <w:kern w:val="0"/>
                <w:sz w:val="21"/>
                <w:szCs w:val="21"/>
                <w:highlight w:val="none"/>
                <w:lang w:bidi="ar"/>
              </w:rPr>
              <w:t>包括车辆基地内及进出段道路。</w:t>
            </w:r>
          </w:p>
        </w:tc>
      </w:tr>
      <w:tr w14:paraId="75C02EE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0C01C9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BA04C1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CE948B2">
            <w:pPr>
              <w:widowControl/>
              <w:spacing w:line="440" w:lineRule="exact"/>
              <w:textAlignment w:val="center"/>
              <w:rPr>
                <w:color w:val="auto"/>
                <w:sz w:val="21"/>
                <w:szCs w:val="21"/>
                <w:highlight w:val="none"/>
              </w:rPr>
            </w:pPr>
            <w:r>
              <w:rPr>
                <w:color w:val="auto"/>
                <w:kern w:val="0"/>
                <w:sz w:val="21"/>
                <w:szCs w:val="21"/>
                <w:highlight w:val="none"/>
                <w:lang w:bidi="ar"/>
              </w:rPr>
              <w:t>6.桥梁</w:t>
            </w:r>
          </w:p>
        </w:tc>
        <w:tc>
          <w:tcPr>
            <w:tcW w:w="1677" w:type="dxa"/>
            <w:tcBorders>
              <w:top w:val="nil"/>
              <w:left w:val="nil"/>
              <w:bottom w:val="single" w:color="auto" w:sz="8" w:space="0"/>
              <w:right w:val="single" w:color="auto" w:sz="8" w:space="0"/>
            </w:tcBorders>
            <w:shd w:val="clear" w:color="000000" w:fill="FFFFFF"/>
            <w:vAlign w:val="center"/>
          </w:tcPr>
          <w:p w14:paraId="3704BD67">
            <w:pPr>
              <w:widowControl/>
              <w:spacing w:line="440" w:lineRule="exact"/>
              <w:jc w:val="center"/>
              <w:textAlignment w:val="center"/>
              <w:rPr>
                <w:color w:val="auto"/>
                <w:sz w:val="21"/>
                <w:szCs w:val="21"/>
                <w:highlight w:val="none"/>
              </w:rPr>
            </w:pPr>
            <w:r>
              <w:rPr>
                <w:color w:val="auto"/>
                <w:kern w:val="0"/>
                <w:sz w:val="21"/>
                <w:szCs w:val="21"/>
                <w:highlight w:val="none"/>
                <w:lang w:bidi="ar"/>
              </w:rPr>
              <w:t>延长米/m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2567D74">
            <w:pPr>
              <w:widowControl/>
              <w:spacing w:line="440" w:lineRule="exact"/>
              <w:textAlignment w:val="center"/>
              <w:rPr>
                <w:color w:val="auto"/>
                <w:sz w:val="21"/>
                <w:szCs w:val="21"/>
                <w:highlight w:val="none"/>
              </w:rPr>
            </w:pPr>
            <w:r>
              <w:rPr>
                <w:color w:val="auto"/>
                <w:kern w:val="0"/>
                <w:sz w:val="21"/>
                <w:szCs w:val="21"/>
                <w:highlight w:val="none"/>
                <w:lang w:bidi="ar"/>
              </w:rPr>
              <w:t>按不同桥梁分列。</w:t>
            </w:r>
          </w:p>
        </w:tc>
      </w:tr>
      <w:tr w14:paraId="20D24708">
        <w:tblPrEx>
          <w:tblCellMar>
            <w:top w:w="0" w:type="dxa"/>
            <w:left w:w="108" w:type="dxa"/>
            <w:bottom w:w="0" w:type="dxa"/>
            <w:right w:w="108" w:type="dxa"/>
          </w:tblCellMar>
        </w:tblPrEx>
        <w:trPr>
          <w:trHeight w:val="90"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29441E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02F6EA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F802C9D">
            <w:pPr>
              <w:widowControl/>
              <w:spacing w:line="440" w:lineRule="exact"/>
              <w:textAlignment w:val="center"/>
              <w:rPr>
                <w:color w:val="auto"/>
                <w:sz w:val="21"/>
                <w:szCs w:val="21"/>
                <w:highlight w:val="none"/>
              </w:rPr>
            </w:pPr>
            <w:r>
              <w:rPr>
                <w:color w:val="auto"/>
                <w:kern w:val="0"/>
                <w:sz w:val="21"/>
                <w:szCs w:val="21"/>
                <w:highlight w:val="none"/>
                <w:lang w:bidi="ar"/>
              </w:rPr>
              <w:t>7.涵洞</w:t>
            </w:r>
          </w:p>
        </w:tc>
        <w:tc>
          <w:tcPr>
            <w:tcW w:w="1677" w:type="dxa"/>
            <w:tcBorders>
              <w:top w:val="nil"/>
              <w:left w:val="nil"/>
              <w:bottom w:val="single" w:color="auto" w:sz="8" w:space="0"/>
              <w:right w:val="single" w:color="auto" w:sz="8" w:space="0"/>
            </w:tcBorders>
            <w:shd w:val="clear" w:color="000000" w:fill="FFFFFF"/>
            <w:vAlign w:val="center"/>
          </w:tcPr>
          <w:p w14:paraId="7D5B1071">
            <w:pPr>
              <w:widowControl/>
              <w:spacing w:line="440" w:lineRule="exact"/>
              <w:jc w:val="center"/>
              <w:textAlignment w:val="center"/>
              <w:rPr>
                <w:color w:val="auto"/>
                <w:sz w:val="21"/>
                <w:szCs w:val="21"/>
                <w:highlight w:val="none"/>
              </w:rPr>
            </w:pPr>
            <w:r>
              <w:rPr>
                <w:color w:val="auto"/>
                <w:kern w:val="0"/>
                <w:sz w:val="21"/>
                <w:szCs w:val="21"/>
                <w:highlight w:val="none"/>
                <w:lang w:bidi="ar"/>
              </w:rPr>
              <w:t>横延米/m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3DD2E89F">
            <w:pPr>
              <w:widowControl/>
              <w:spacing w:line="440" w:lineRule="exact"/>
              <w:textAlignment w:val="center"/>
              <w:rPr>
                <w:color w:val="auto"/>
                <w:sz w:val="21"/>
                <w:szCs w:val="21"/>
                <w:highlight w:val="none"/>
              </w:rPr>
            </w:pPr>
            <w:r>
              <w:rPr>
                <w:color w:val="auto"/>
                <w:kern w:val="0"/>
                <w:sz w:val="21"/>
                <w:szCs w:val="21"/>
                <w:highlight w:val="none"/>
                <w:lang w:bidi="ar"/>
              </w:rPr>
              <w:t>按不同涵洞分列。</w:t>
            </w:r>
          </w:p>
        </w:tc>
      </w:tr>
      <w:tr w14:paraId="12E011A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74A5F1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037998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6E68E89">
            <w:pPr>
              <w:widowControl/>
              <w:spacing w:line="440" w:lineRule="exact"/>
              <w:textAlignment w:val="center"/>
              <w:rPr>
                <w:color w:val="auto"/>
                <w:sz w:val="21"/>
                <w:szCs w:val="21"/>
                <w:highlight w:val="none"/>
              </w:rPr>
            </w:pPr>
            <w:r>
              <w:rPr>
                <w:color w:val="auto"/>
                <w:kern w:val="0"/>
                <w:sz w:val="21"/>
                <w:szCs w:val="21"/>
                <w:highlight w:val="none"/>
                <w:lang w:bidi="ar"/>
              </w:rPr>
              <w:t>8.室外综合管线</w:t>
            </w:r>
          </w:p>
        </w:tc>
        <w:tc>
          <w:tcPr>
            <w:tcW w:w="1677" w:type="dxa"/>
            <w:tcBorders>
              <w:top w:val="nil"/>
              <w:left w:val="nil"/>
              <w:bottom w:val="single" w:color="auto" w:sz="8" w:space="0"/>
              <w:right w:val="single" w:color="auto" w:sz="8" w:space="0"/>
            </w:tcBorders>
            <w:shd w:val="clear" w:color="000000" w:fill="FFFFFF"/>
            <w:vAlign w:val="center"/>
          </w:tcPr>
          <w:p w14:paraId="72DAE4D8">
            <w:pPr>
              <w:widowControl/>
              <w:spacing w:line="440" w:lineRule="exact"/>
              <w:jc w:val="center"/>
              <w:textAlignment w:val="center"/>
              <w:rPr>
                <w:color w:val="auto"/>
                <w:sz w:val="21"/>
                <w:szCs w:val="21"/>
                <w:highlight w:val="none"/>
              </w:rPr>
            </w:pPr>
            <w:r>
              <w:rPr>
                <w:color w:val="auto"/>
                <w:kern w:val="0"/>
                <w:sz w:val="21"/>
                <w:szCs w:val="21"/>
                <w:highlight w:val="none"/>
                <w:lang w:bidi="ar"/>
              </w:rPr>
              <w:t>m</w:t>
            </w:r>
          </w:p>
        </w:tc>
        <w:tc>
          <w:tcPr>
            <w:tcW w:w="6704" w:type="dxa"/>
            <w:tcBorders>
              <w:top w:val="nil"/>
              <w:left w:val="nil"/>
              <w:bottom w:val="single" w:color="auto" w:sz="8" w:space="0"/>
              <w:right w:val="single" w:color="auto" w:sz="8" w:space="0"/>
            </w:tcBorders>
            <w:shd w:val="clear" w:color="000000" w:fill="FFFFFF"/>
            <w:vAlign w:val="center"/>
          </w:tcPr>
          <w:p w14:paraId="5C3465C5">
            <w:pPr>
              <w:widowControl/>
              <w:spacing w:line="440" w:lineRule="exact"/>
              <w:textAlignment w:val="center"/>
              <w:rPr>
                <w:color w:val="auto"/>
                <w:sz w:val="21"/>
                <w:szCs w:val="21"/>
                <w:highlight w:val="none"/>
              </w:rPr>
            </w:pPr>
            <w:r>
              <w:rPr>
                <w:color w:val="auto"/>
                <w:kern w:val="0"/>
                <w:sz w:val="21"/>
                <w:szCs w:val="21"/>
                <w:highlight w:val="none"/>
                <w:lang w:bidi="ar"/>
              </w:rPr>
              <w:t>包括室外动力与照明、给水与排水、采暖、煤气管线、强弱电综合管沟等。</w:t>
            </w:r>
          </w:p>
        </w:tc>
      </w:tr>
      <w:tr w14:paraId="462413F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86525E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56A72C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5BCCD77">
            <w:pPr>
              <w:widowControl/>
              <w:spacing w:line="440" w:lineRule="exact"/>
              <w:textAlignment w:val="center"/>
              <w:rPr>
                <w:color w:val="auto"/>
                <w:sz w:val="21"/>
                <w:szCs w:val="21"/>
                <w:highlight w:val="none"/>
              </w:rPr>
            </w:pPr>
            <w:r>
              <w:rPr>
                <w:color w:val="auto"/>
                <w:kern w:val="0"/>
                <w:sz w:val="21"/>
                <w:szCs w:val="21"/>
                <w:highlight w:val="none"/>
                <w:lang w:bidi="ar"/>
              </w:rPr>
              <w:t>9.场区绿化</w:t>
            </w:r>
          </w:p>
        </w:tc>
        <w:tc>
          <w:tcPr>
            <w:tcW w:w="1677" w:type="dxa"/>
            <w:tcBorders>
              <w:top w:val="nil"/>
              <w:left w:val="nil"/>
              <w:bottom w:val="single" w:color="auto" w:sz="8" w:space="0"/>
              <w:right w:val="single" w:color="auto" w:sz="8" w:space="0"/>
            </w:tcBorders>
            <w:shd w:val="clear" w:color="000000" w:fill="FFFFFF"/>
            <w:vAlign w:val="center"/>
          </w:tcPr>
          <w:p w14:paraId="6AE05C77">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241B8CD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CD01A2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9CAAAF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0E5B39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E77C597">
            <w:pPr>
              <w:widowControl/>
              <w:spacing w:line="440" w:lineRule="exact"/>
              <w:textAlignment w:val="center"/>
              <w:rPr>
                <w:color w:val="auto"/>
                <w:sz w:val="21"/>
                <w:szCs w:val="21"/>
                <w:highlight w:val="none"/>
              </w:rPr>
            </w:pPr>
            <w:r>
              <w:rPr>
                <w:color w:val="auto"/>
                <w:kern w:val="0"/>
                <w:sz w:val="21"/>
                <w:szCs w:val="21"/>
                <w:highlight w:val="none"/>
                <w:lang w:bidi="ar"/>
              </w:rPr>
              <w:t>10.海绵城市</w:t>
            </w:r>
          </w:p>
        </w:tc>
        <w:tc>
          <w:tcPr>
            <w:tcW w:w="1677" w:type="dxa"/>
            <w:tcBorders>
              <w:top w:val="nil"/>
              <w:left w:val="nil"/>
              <w:bottom w:val="single" w:color="auto" w:sz="8" w:space="0"/>
              <w:right w:val="single" w:color="auto" w:sz="8" w:space="0"/>
            </w:tcBorders>
            <w:shd w:val="clear" w:color="000000" w:fill="FFFFFF"/>
            <w:vAlign w:val="center"/>
          </w:tcPr>
          <w:p w14:paraId="7D920CEF">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5983B38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FBE010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0A2711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6CB849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70D1730">
            <w:pPr>
              <w:widowControl/>
              <w:spacing w:line="440" w:lineRule="exact"/>
              <w:textAlignment w:val="center"/>
              <w:rPr>
                <w:color w:val="auto"/>
                <w:sz w:val="21"/>
                <w:szCs w:val="21"/>
                <w:highlight w:val="none"/>
              </w:rPr>
            </w:pPr>
            <w:r>
              <w:rPr>
                <w:color w:val="auto"/>
                <w:kern w:val="0"/>
                <w:sz w:val="21"/>
                <w:szCs w:val="21"/>
                <w:highlight w:val="none"/>
                <w:lang w:bidi="ar"/>
              </w:rPr>
              <w:t>11.其他</w:t>
            </w:r>
          </w:p>
        </w:tc>
        <w:tc>
          <w:tcPr>
            <w:tcW w:w="1677" w:type="dxa"/>
            <w:tcBorders>
              <w:top w:val="nil"/>
              <w:left w:val="nil"/>
              <w:bottom w:val="single" w:color="auto" w:sz="8" w:space="0"/>
              <w:right w:val="single" w:color="auto" w:sz="8" w:space="0"/>
            </w:tcBorders>
            <w:shd w:val="clear" w:color="000000" w:fill="FFFFFF"/>
            <w:vAlign w:val="center"/>
          </w:tcPr>
          <w:p w14:paraId="375BC6AD">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174E4EB1">
            <w:pPr>
              <w:widowControl/>
              <w:spacing w:line="440" w:lineRule="exact"/>
              <w:textAlignment w:val="center"/>
              <w:rPr>
                <w:color w:val="auto"/>
                <w:sz w:val="21"/>
                <w:szCs w:val="21"/>
                <w:highlight w:val="none"/>
              </w:rPr>
            </w:pPr>
            <w:r>
              <w:rPr>
                <w:color w:val="auto"/>
                <w:kern w:val="0"/>
                <w:sz w:val="21"/>
                <w:szCs w:val="21"/>
                <w:highlight w:val="none"/>
                <w:lang w:bidi="ar"/>
              </w:rPr>
              <w:t>包括围墙、大门、排水沟、市政管网接驳、标识导向等。</w:t>
            </w:r>
          </w:p>
        </w:tc>
      </w:tr>
      <w:tr w14:paraId="1BBC368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0DED32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9FE35D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20BBE14">
            <w:pPr>
              <w:widowControl/>
              <w:spacing w:line="440" w:lineRule="exact"/>
              <w:textAlignment w:val="center"/>
              <w:rPr>
                <w:color w:val="auto"/>
                <w:sz w:val="21"/>
                <w:szCs w:val="21"/>
                <w:highlight w:val="none"/>
              </w:rPr>
            </w:pPr>
            <w:r>
              <w:rPr>
                <w:color w:val="auto"/>
                <w:kern w:val="0"/>
                <w:sz w:val="21"/>
                <w:szCs w:val="21"/>
                <w:highlight w:val="none"/>
                <w:lang w:bidi="ar"/>
              </w:rPr>
              <w:t>二、停车场</w:t>
            </w:r>
          </w:p>
        </w:tc>
        <w:tc>
          <w:tcPr>
            <w:tcW w:w="1677" w:type="dxa"/>
            <w:tcBorders>
              <w:top w:val="nil"/>
              <w:left w:val="nil"/>
              <w:bottom w:val="single" w:color="auto" w:sz="8" w:space="0"/>
              <w:right w:val="single" w:color="auto" w:sz="8" w:space="0"/>
            </w:tcBorders>
            <w:shd w:val="clear" w:color="000000" w:fill="FFFFFF"/>
            <w:vAlign w:val="center"/>
          </w:tcPr>
          <w:p w14:paraId="7623CBC3">
            <w:pPr>
              <w:widowControl/>
              <w:spacing w:line="440" w:lineRule="exact"/>
              <w:jc w:val="center"/>
              <w:textAlignment w:val="center"/>
              <w:rPr>
                <w:color w:val="auto"/>
                <w:sz w:val="21"/>
                <w:szCs w:val="21"/>
                <w:highlight w:val="none"/>
              </w:rPr>
            </w:pPr>
            <w:r>
              <w:rPr>
                <w:color w:val="auto"/>
                <w:kern w:val="0"/>
                <w:sz w:val="21"/>
                <w:szCs w:val="21"/>
                <w:highlight w:val="none"/>
                <w:lang w:bidi="ar"/>
              </w:rPr>
              <w:t>座</w:t>
            </w:r>
          </w:p>
        </w:tc>
        <w:tc>
          <w:tcPr>
            <w:tcW w:w="6704" w:type="dxa"/>
            <w:tcBorders>
              <w:top w:val="nil"/>
              <w:left w:val="nil"/>
              <w:bottom w:val="single" w:color="auto" w:sz="8" w:space="0"/>
              <w:right w:val="single" w:color="auto" w:sz="8" w:space="0"/>
            </w:tcBorders>
            <w:shd w:val="clear" w:color="000000" w:fill="FFFFFF"/>
            <w:vAlign w:val="center"/>
          </w:tcPr>
          <w:p w14:paraId="6CA60718">
            <w:pPr>
              <w:widowControl/>
              <w:spacing w:line="440" w:lineRule="exact"/>
              <w:textAlignment w:val="center"/>
              <w:rPr>
                <w:color w:val="auto"/>
                <w:sz w:val="21"/>
                <w:szCs w:val="21"/>
                <w:highlight w:val="none"/>
              </w:rPr>
            </w:pPr>
            <w:r>
              <w:rPr>
                <w:color w:val="auto"/>
                <w:kern w:val="0"/>
                <w:sz w:val="21"/>
                <w:szCs w:val="21"/>
                <w:highlight w:val="none"/>
                <w:lang w:bidi="ar"/>
              </w:rPr>
              <w:t>内容参照车辆段。</w:t>
            </w:r>
          </w:p>
        </w:tc>
      </w:tr>
      <w:tr w14:paraId="32CA3D9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E3998C2">
            <w:pPr>
              <w:widowControl/>
              <w:spacing w:line="440" w:lineRule="exact"/>
              <w:jc w:val="center"/>
              <w:textAlignment w:val="center"/>
              <w:rPr>
                <w:color w:val="auto"/>
                <w:sz w:val="21"/>
                <w:szCs w:val="21"/>
                <w:highlight w:val="none"/>
              </w:rPr>
            </w:pPr>
            <w:r>
              <w:rPr>
                <w:color w:val="auto"/>
                <w:kern w:val="0"/>
                <w:sz w:val="21"/>
                <w:szCs w:val="21"/>
                <w:highlight w:val="none"/>
                <w:lang w:bidi="ar"/>
              </w:rPr>
              <w:t>十六</w:t>
            </w:r>
          </w:p>
        </w:tc>
        <w:tc>
          <w:tcPr>
            <w:tcW w:w="704" w:type="dxa"/>
            <w:tcBorders>
              <w:top w:val="nil"/>
              <w:left w:val="nil"/>
              <w:bottom w:val="single" w:color="auto" w:sz="8" w:space="0"/>
              <w:right w:val="single" w:color="auto" w:sz="8" w:space="0"/>
            </w:tcBorders>
            <w:shd w:val="clear" w:color="000000" w:fill="FFFFFF"/>
            <w:vAlign w:val="center"/>
          </w:tcPr>
          <w:p w14:paraId="41F2E4A4">
            <w:pPr>
              <w:widowControl/>
              <w:spacing w:line="440" w:lineRule="exact"/>
              <w:jc w:val="center"/>
              <w:textAlignment w:val="center"/>
              <w:rPr>
                <w:color w:val="auto"/>
                <w:sz w:val="21"/>
                <w:szCs w:val="21"/>
                <w:highlight w:val="none"/>
              </w:rPr>
            </w:pPr>
            <w:r>
              <w:rPr>
                <w:color w:val="auto"/>
                <w:kern w:val="0"/>
                <w:sz w:val="21"/>
                <w:szCs w:val="21"/>
                <w:highlight w:val="none"/>
                <w:lang w:bidi="ar"/>
              </w:rPr>
              <w:t>34</w:t>
            </w:r>
          </w:p>
        </w:tc>
        <w:tc>
          <w:tcPr>
            <w:tcW w:w="3816" w:type="dxa"/>
            <w:tcBorders>
              <w:top w:val="nil"/>
              <w:left w:val="nil"/>
              <w:bottom w:val="single" w:color="auto" w:sz="8" w:space="0"/>
              <w:right w:val="single" w:color="auto" w:sz="8" w:space="0"/>
            </w:tcBorders>
            <w:shd w:val="clear" w:color="000000" w:fill="FFFFFF"/>
            <w:vAlign w:val="center"/>
          </w:tcPr>
          <w:p w14:paraId="4C04B14C">
            <w:pPr>
              <w:widowControl/>
              <w:spacing w:line="440" w:lineRule="exact"/>
              <w:textAlignment w:val="center"/>
              <w:rPr>
                <w:color w:val="auto"/>
                <w:sz w:val="21"/>
                <w:szCs w:val="21"/>
                <w:highlight w:val="none"/>
              </w:rPr>
            </w:pPr>
            <w:r>
              <w:rPr>
                <w:color w:val="auto"/>
                <w:kern w:val="0"/>
                <w:sz w:val="21"/>
                <w:szCs w:val="21"/>
                <w:highlight w:val="none"/>
                <w:lang w:bidi="ar"/>
              </w:rPr>
              <w:t>人防</w:t>
            </w:r>
          </w:p>
        </w:tc>
        <w:tc>
          <w:tcPr>
            <w:tcW w:w="1677" w:type="dxa"/>
            <w:tcBorders>
              <w:top w:val="nil"/>
              <w:left w:val="nil"/>
              <w:bottom w:val="single" w:color="auto" w:sz="8" w:space="0"/>
              <w:right w:val="single" w:color="auto" w:sz="8" w:space="0"/>
            </w:tcBorders>
            <w:shd w:val="clear" w:color="000000" w:fill="FFFFFF"/>
            <w:vAlign w:val="center"/>
          </w:tcPr>
          <w:p w14:paraId="57F5BD28">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6C8FC543">
            <w:pPr>
              <w:widowControl/>
              <w:spacing w:line="440" w:lineRule="exact"/>
              <w:textAlignment w:val="center"/>
              <w:rPr>
                <w:color w:val="auto"/>
                <w:sz w:val="21"/>
                <w:szCs w:val="21"/>
                <w:highlight w:val="none"/>
              </w:rPr>
            </w:pPr>
            <w:r>
              <w:rPr>
                <w:color w:val="auto"/>
                <w:kern w:val="0"/>
                <w:sz w:val="21"/>
                <w:szCs w:val="21"/>
                <w:highlight w:val="none"/>
                <w:lang w:bidi="ar"/>
              </w:rPr>
              <w:t>包括人防防护设备及其配套设施。</w:t>
            </w:r>
          </w:p>
        </w:tc>
      </w:tr>
      <w:tr w14:paraId="492E35B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1169BC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C4BB7E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C51A8B2">
            <w:pPr>
              <w:widowControl/>
              <w:spacing w:line="440" w:lineRule="exact"/>
              <w:textAlignment w:val="center"/>
              <w:rPr>
                <w:color w:val="auto"/>
                <w:sz w:val="21"/>
                <w:szCs w:val="21"/>
                <w:highlight w:val="none"/>
              </w:rPr>
            </w:pPr>
            <w:r>
              <w:rPr>
                <w:color w:val="auto"/>
                <w:kern w:val="0"/>
                <w:sz w:val="21"/>
                <w:szCs w:val="21"/>
                <w:highlight w:val="none"/>
                <w:lang w:bidi="ar"/>
              </w:rPr>
              <w:t>一、人防门</w:t>
            </w:r>
          </w:p>
        </w:tc>
        <w:tc>
          <w:tcPr>
            <w:tcW w:w="1677" w:type="dxa"/>
            <w:tcBorders>
              <w:top w:val="nil"/>
              <w:left w:val="nil"/>
              <w:bottom w:val="single" w:color="auto" w:sz="8" w:space="0"/>
              <w:right w:val="single" w:color="auto" w:sz="8" w:space="0"/>
            </w:tcBorders>
            <w:shd w:val="clear" w:color="000000" w:fill="FFFFFF"/>
            <w:vAlign w:val="center"/>
          </w:tcPr>
          <w:p w14:paraId="09E34A4C">
            <w:pPr>
              <w:widowControl/>
              <w:spacing w:line="440" w:lineRule="exact"/>
              <w:jc w:val="center"/>
              <w:textAlignment w:val="center"/>
              <w:rPr>
                <w:color w:val="auto"/>
                <w:sz w:val="21"/>
                <w:szCs w:val="21"/>
                <w:highlight w:val="none"/>
              </w:rPr>
            </w:pPr>
            <w:r>
              <w:rPr>
                <w:color w:val="auto"/>
                <w:kern w:val="0"/>
                <w:sz w:val="21"/>
                <w:szCs w:val="21"/>
                <w:highlight w:val="none"/>
                <w:lang w:bidi="ar"/>
              </w:rPr>
              <w:t>项</w:t>
            </w:r>
          </w:p>
        </w:tc>
        <w:tc>
          <w:tcPr>
            <w:tcW w:w="6704" w:type="dxa"/>
            <w:tcBorders>
              <w:top w:val="nil"/>
              <w:left w:val="nil"/>
              <w:bottom w:val="single" w:color="auto" w:sz="8" w:space="0"/>
              <w:right w:val="single" w:color="auto" w:sz="8" w:space="0"/>
            </w:tcBorders>
            <w:shd w:val="clear" w:color="000000" w:fill="FFFFFF"/>
            <w:vAlign w:val="center"/>
          </w:tcPr>
          <w:p w14:paraId="3AA35F6E">
            <w:pPr>
              <w:widowControl/>
              <w:spacing w:line="440" w:lineRule="exact"/>
              <w:textAlignment w:val="center"/>
              <w:rPr>
                <w:color w:val="auto"/>
                <w:sz w:val="21"/>
                <w:szCs w:val="21"/>
                <w:highlight w:val="none"/>
              </w:rPr>
            </w:pPr>
            <w:r>
              <w:rPr>
                <w:color w:val="auto"/>
                <w:kern w:val="0"/>
                <w:sz w:val="21"/>
                <w:szCs w:val="21"/>
                <w:highlight w:val="none"/>
                <w:lang w:bidi="ar"/>
              </w:rPr>
              <w:t>按车站、区间、车辆基地分列。</w:t>
            </w:r>
          </w:p>
        </w:tc>
      </w:tr>
      <w:tr w14:paraId="03BE5E6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DFF8F1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C1349B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4B8AD55">
            <w:pPr>
              <w:widowControl/>
              <w:spacing w:line="440" w:lineRule="exact"/>
              <w:textAlignment w:val="center"/>
              <w:rPr>
                <w:color w:val="auto"/>
                <w:sz w:val="21"/>
                <w:szCs w:val="21"/>
                <w:highlight w:val="none"/>
              </w:rPr>
            </w:pPr>
            <w:r>
              <w:rPr>
                <w:color w:val="auto"/>
                <w:kern w:val="0"/>
                <w:sz w:val="21"/>
                <w:szCs w:val="21"/>
                <w:highlight w:val="none"/>
                <w:lang w:bidi="ar"/>
              </w:rPr>
              <w:t>1.车站</w:t>
            </w:r>
          </w:p>
        </w:tc>
        <w:tc>
          <w:tcPr>
            <w:tcW w:w="1677" w:type="dxa"/>
            <w:tcBorders>
              <w:top w:val="nil"/>
              <w:left w:val="nil"/>
              <w:bottom w:val="single" w:color="auto" w:sz="8" w:space="0"/>
              <w:right w:val="single" w:color="auto" w:sz="8" w:space="0"/>
            </w:tcBorders>
            <w:shd w:val="clear" w:color="000000" w:fill="FFFFFF"/>
            <w:vAlign w:val="center"/>
          </w:tcPr>
          <w:p w14:paraId="5C016F48">
            <w:pPr>
              <w:widowControl/>
              <w:spacing w:line="440" w:lineRule="exact"/>
              <w:jc w:val="center"/>
              <w:textAlignment w:val="center"/>
              <w:rPr>
                <w:color w:val="auto"/>
                <w:sz w:val="21"/>
                <w:szCs w:val="21"/>
                <w:highlight w:val="none"/>
              </w:rPr>
            </w:pPr>
            <w:r>
              <w:rPr>
                <w:color w:val="auto"/>
                <w:kern w:val="0"/>
                <w:sz w:val="21"/>
                <w:szCs w:val="21"/>
                <w:highlight w:val="none"/>
                <w:lang w:bidi="ar"/>
              </w:rPr>
              <w:t>项</w:t>
            </w:r>
          </w:p>
        </w:tc>
        <w:tc>
          <w:tcPr>
            <w:tcW w:w="6704" w:type="dxa"/>
            <w:tcBorders>
              <w:top w:val="nil"/>
              <w:left w:val="nil"/>
              <w:bottom w:val="single" w:color="auto" w:sz="8" w:space="0"/>
              <w:right w:val="single" w:color="auto" w:sz="8" w:space="0"/>
            </w:tcBorders>
            <w:shd w:val="clear" w:color="000000" w:fill="FFFFFF"/>
            <w:vAlign w:val="center"/>
          </w:tcPr>
          <w:p w14:paraId="4B5F76C4">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992DEF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E1B6CE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54EFD9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5A12745">
            <w:pPr>
              <w:widowControl/>
              <w:spacing w:line="440" w:lineRule="exact"/>
              <w:textAlignment w:val="center"/>
              <w:rPr>
                <w:color w:val="auto"/>
                <w:sz w:val="21"/>
                <w:szCs w:val="21"/>
                <w:highlight w:val="none"/>
              </w:rPr>
            </w:pPr>
            <w:r>
              <w:rPr>
                <w:color w:val="auto"/>
                <w:kern w:val="0"/>
                <w:sz w:val="21"/>
                <w:szCs w:val="21"/>
                <w:highlight w:val="none"/>
                <w:lang w:bidi="ar"/>
              </w:rPr>
              <w:t>2.区间</w:t>
            </w:r>
          </w:p>
        </w:tc>
        <w:tc>
          <w:tcPr>
            <w:tcW w:w="1677" w:type="dxa"/>
            <w:tcBorders>
              <w:top w:val="nil"/>
              <w:left w:val="nil"/>
              <w:bottom w:val="single" w:color="auto" w:sz="8" w:space="0"/>
              <w:right w:val="single" w:color="auto" w:sz="8" w:space="0"/>
            </w:tcBorders>
            <w:shd w:val="clear" w:color="000000" w:fill="FFFFFF"/>
            <w:vAlign w:val="center"/>
          </w:tcPr>
          <w:p w14:paraId="60D7C2AF">
            <w:pPr>
              <w:widowControl/>
              <w:spacing w:line="440" w:lineRule="exact"/>
              <w:jc w:val="center"/>
              <w:textAlignment w:val="center"/>
              <w:rPr>
                <w:color w:val="auto"/>
                <w:sz w:val="21"/>
                <w:szCs w:val="21"/>
                <w:highlight w:val="none"/>
              </w:rPr>
            </w:pPr>
            <w:r>
              <w:rPr>
                <w:color w:val="auto"/>
                <w:kern w:val="0"/>
                <w:sz w:val="21"/>
                <w:szCs w:val="21"/>
                <w:highlight w:val="none"/>
                <w:lang w:bidi="ar"/>
              </w:rPr>
              <w:t>项</w:t>
            </w:r>
          </w:p>
        </w:tc>
        <w:tc>
          <w:tcPr>
            <w:tcW w:w="6704" w:type="dxa"/>
            <w:tcBorders>
              <w:top w:val="nil"/>
              <w:left w:val="nil"/>
              <w:bottom w:val="single" w:color="auto" w:sz="8" w:space="0"/>
              <w:right w:val="single" w:color="auto" w:sz="8" w:space="0"/>
            </w:tcBorders>
            <w:shd w:val="clear" w:color="000000" w:fill="FFFFFF"/>
            <w:vAlign w:val="center"/>
          </w:tcPr>
          <w:p w14:paraId="5C32D93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9B7820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7A92E1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167595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FE1CB7A">
            <w:pPr>
              <w:widowControl/>
              <w:spacing w:line="440" w:lineRule="exact"/>
              <w:textAlignment w:val="center"/>
              <w:rPr>
                <w:color w:val="auto"/>
                <w:sz w:val="21"/>
                <w:szCs w:val="21"/>
                <w:highlight w:val="none"/>
              </w:rPr>
            </w:pPr>
            <w:r>
              <w:rPr>
                <w:color w:val="auto"/>
                <w:kern w:val="0"/>
                <w:sz w:val="21"/>
                <w:szCs w:val="21"/>
                <w:highlight w:val="none"/>
                <w:lang w:bidi="ar"/>
              </w:rPr>
              <w:t>3.车辆基地</w:t>
            </w:r>
          </w:p>
        </w:tc>
        <w:tc>
          <w:tcPr>
            <w:tcW w:w="1677" w:type="dxa"/>
            <w:tcBorders>
              <w:top w:val="nil"/>
              <w:left w:val="nil"/>
              <w:bottom w:val="single" w:color="auto" w:sz="8" w:space="0"/>
              <w:right w:val="single" w:color="auto" w:sz="8" w:space="0"/>
            </w:tcBorders>
            <w:shd w:val="clear" w:color="000000" w:fill="FFFFFF"/>
            <w:vAlign w:val="center"/>
          </w:tcPr>
          <w:p w14:paraId="72CC93E4">
            <w:pPr>
              <w:widowControl/>
              <w:spacing w:line="440" w:lineRule="exact"/>
              <w:jc w:val="center"/>
              <w:textAlignment w:val="center"/>
              <w:rPr>
                <w:color w:val="auto"/>
                <w:sz w:val="21"/>
                <w:szCs w:val="21"/>
                <w:highlight w:val="none"/>
              </w:rPr>
            </w:pPr>
            <w:r>
              <w:rPr>
                <w:color w:val="auto"/>
                <w:kern w:val="0"/>
                <w:sz w:val="21"/>
                <w:szCs w:val="21"/>
                <w:highlight w:val="none"/>
                <w:lang w:bidi="ar"/>
              </w:rPr>
              <w:t>项</w:t>
            </w:r>
          </w:p>
        </w:tc>
        <w:tc>
          <w:tcPr>
            <w:tcW w:w="6704" w:type="dxa"/>
            <w:tcBorders>
              <w:top w:val="nil"/>
              <w:left w:val="nil"/>
              <w:bottom w:val="single" w:color="auto" w:sz="8" w:space="0"/>
              <w:right w:val="single" w:color="auto" w:sz="8" w:space="0"/>
            </w:tcBorders>
            <w:shd w:val="clear" w:color="000000" w:fill="FFFFFF"/>
            <w:vAlign w:val="center"/>
          </w:tcPr>
          <w:p w14:paraId="5B55F20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335733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CB120A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C8651B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EA0DDF5">
            <w:pPr>
              <w:widowControl/>
              <w:spacing w:line="440" w:lineRule="exact"/>
              <w:textAlignment w:val="center"/>
              <w:rPr>
                <w:color w:val="auto"/>
                <w:sz w:val="21"/>
                <w:szCs w:val="21"/>
                <w:highlight w:val="none"/>
              </w:rPr>
            </w:pPr>
            <w:r>
              <w:rPr>
                <w:color w:val="auto"/>
                <w:kern w:val="0"/>
                <w:sz w:val="21"/>
                <w:szCs w:val="21"/>
                <w:highlight w:val="none"/>
                <w:lang w:bidi="ar"/>
              </w:rPr>
              <w:t>二、防淹门</w:t>
            </w:r>
          </w:p>
        </w:tc>
        <w:tc>
          <w:tcPr>
            <w:tcW w:w="1677" w:type="dxa"/>
            <w:tcBorders>
              <w:top w:val="nil"/>
              <w:left w:val="nil"/>
              <w:bottom w:val="single" w:color="auto" w:sz="8" w:space="0"/>
              <w:right w:val="single" w:color="auto" w:sz="8" w:space="0"/>
            </w:tcBorders>
            <w:shd w:val="clear" w:color="000000" w:fill="FFFFFF"/>
            <w:vAlign w:val="center"/>
          </w:tcPr>
          <w:p w14:paraId="0D44E84E">
            <w:pPr>
              <w:widowControl/>
              <w:spacing w:line="440" w:lineRule="exact"/>
              <w:jc w:val="center"/>
              <w:textAlignment w:val="center"/>
              <w:rPr>
                <w:color w:val="auto"/>
                <w:sz w:val="21"/>
                <w:szCs w:val="21"/>
                <w:highlight w:val="none"/>
              </w:rPr>
            </w:pPr>
            <w:r>
              <w:rPr>
                <w:color w:val="auto"/>
                <w:kern w:val="0"/>
                <w:sz w:val="21"/>
                <w:szCs w:val="21"/>
                <w:highlight w:val="none"/>
                <w:lang w:bidi="ar"/>
              </w:rPr>
              <w:t>项</w:t>
            </w:r>
          </w:p>
        </w:tc>
        <w:tc>
          <w:tcPr>
            <w:tcW w:w="6704" w:type="dxa"/>
            <w:tcBorders>
              <w:top w:val="nil"/>
              <w:left w:val="nil"/>
              <w:bottom w:val="single" w:color="auto" w:sz="8" w:space="0"/>
              <w:right w:val="single" w:color="auto" w:sz="8" w:space="0"/>
            </w:tcBorders>
            <w:shd w:val="clear" w:color="000000" w:fill="FFFFFF"/>
            <w:vAlign w:val="center"/>
          </w:tcPr>
          <w:p w14:paraId="57A256C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3205DCE">
        <w:tblPrEx>
          <w:tblCellMar>
            <w:top w:w="0" w:type="dxa"/>
            <w:left w:w="108" w:type="dxa"/>
            <w:bottom w:w="0" w:type="dxa"/>
            <w:right w:w="108" w:type="dxa"/>
          </w:tblCellMar>
        </w:tblPrEx>
        <w:trPr>
          <w:trHeight w:val="23" w:hRule="atLeast"/>
          <w:jc w:val="center"/>
        </w:trPr>
        <w:tc>
          <w:tcPr>
            <w:tcW w:w="5207" w:type="dxa"/>
            <w:gridSpan w:val="3"/>
            <w:tcBorders>
              <w:top w:val="single" w:color="auto" w:sz="8" w:space="0"/>
              <w:left w:val="single" w:color="auto" w:sz="8" w:space="0"/>
              <w:bottom w:val="single" w:color="auto" w:sz="8" w:space="0"/>
              <w:right w:val="single" w:color="000000" w:sz="8" w:space="0"/>
            </w:tcBorders>
            <w:shd w:val="clear" w:color="000000" w:fill="FFFFFF"/>
            <w:vAlign w:val="center"/>
          </w:tcPr>
          <w:p w14:paraId="48F35783">
            <w:pPr>
              <w:widowControl/>
              <w:spacing w:line="440" w:lineRule="exact"/>
              <w:jc w:val="center"/>
              <w:textAlignment w:val="center"/>
              <w:rPr>
                <w:color w:val="auto"/>
                <w:sz w:val="21"/>
                <w:szCs w:val="21"/>
                <w:highlight w:val="none"/>
              </w:rPr>
            </w:pPr>
            <w:r>
              <w:rPr>
                <w:color w:val="auto"/>
                <w:kern w:val="0"/>
                <w:sz w:val="21"/>
                <w:szCs w:val="21"/>
                <w:highlight w:val="none"/>
                <w:lang w:bidi="ar"/>
              </w:rPr>
              <w:t>第二部分 工程建设其他费用</w:t>
            </w:r>
          </w:p>
        </w:tc>
        <w:tc>
          <w:tcPr>
            <w:tcW w:w="1677" w:type="dxa"/>
            <w:tcBorders>
              <w:top w:val="nil"/>
              <w:left w:val="nil"/>
              <w:bottom w:val="single" w:color="auto" w:sz="8" w:space="0"/>
              <w:right w:val="single" w:color="auto" w:sz="8" w:space="0"/>
            </w:tcBorders>
            <w:shd w:val="clear" w:color="000000" w:fill="FFFFFF"/>
            <w:vAlign w:val="center"/>
          </w:tcPr>
          <w:p w14:paraId="3A8735B3">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521D4CF9">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E010658">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71AC628">
            <w:pPr>
              <w:widowControl/>
              <w:spacing w:line="440" w:lineRule="exact"/>
              <w:jc w:val="center"/>
              <w:textAlignment w:val="center"/>
              <w:rPr>
                <w:color w:val="auto"/>
                <w:sz w:val="21"/>
                <w:szCs w:val="21"/>
                <w:highlight w:val="none"/>
              </w:rPr>
            </w:pPr>
            <w:r>
              <w:rPr>
                <w:color w:val="auto"/>
                <w:kern w:val="0"/>
                <w:sz w:val="21"/>
                <w:szCs w:val="21"/>
                <w:highlight w:val="none"/>
                <w:lang w:bidi="ar"/>
              </w:rPr>
              <w:t>十七</w:t>
            </w:r>
          </w:p>
        </w:tc>
        <w:tc>
          <w:tcPr>
            <w:tcW w:w="704" w:type="dxa"/>
            <w:tcBorders>
              <w:top w:val="nil"/>
              <w:left w:val="nil"/>
              <w:bottom w:val="single" w:color="auto" w:sz="8" w:space="0"/>
              <w:right w:val="single" w:color="auto" w:sz="8" w:space="0"/>
            </w:tcBorders>
            <w:shd w:val="clear" w:color="000000" w:fill="FFFFFF"/>
            <w:vAlign w:val="center"/>
          </w:tcPr>
          <w:p w14:paraId="3025112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31A1334">
            <w:pPr>
              <w:widowControl/>
              <w:spacing w:line="440" w:lineRule="exact"/>
              <w:textAlignment w:val="center"/>
              <w:rPr>
                <w:color w:val="auto"/>
                <w:sz w:val="21"/>
                <w:szCs w:val="21"/>
                <w:highlight w:val="none"/>
              </w:rPr>
            </w:pPr>
            <w:r>
              <w:rPr>
                <w:color w:val="auto"/>
                <w:kern w:val="0"/>
                <w:sz w:val="21"/>
                <w:szCs w:val="21"/>
                <w:highlight w:val="none"/>
                <w:lang w:bidi="ar"/>
              </w:rPr>
              <w:t>工程建设其他费用</w:t>
            </w:r>
          </w:p>
        </w:tc>
        <w:tc>
          <w:tcPr>
            <w:tcW w:w="1677" w:type="dxa"/>
            <w:tcBorders>
              <w:top w:val="nil"/>
              <w:left w:val="nil"/>
              <w:bottom w:val="single" w:color="auto" w:sz="8" w:space="0"/>
              <w:right w:val="single" w:color="auto" w:sz="8" w:space="0"/>
            </w:tcBorders>
            <w:shd w:val="clear" w:color="000000" w:fill="FFFFFF"/>
            <w:vAlign w:val="center"/>
          </w:tcPr>
          <w:p w14:paraId="26CC8505">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0CFE002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44A61D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916D15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813AD17">
            <w:pPr>
              <w:widowControl/>
              <w:spacing w:line="440" w:lineRule="exact"/>
              <w:jc w:val="center"/>
              <w:textAlignment w:val="center"/>
              <w:rPr>
                <w:color w:val="auto"/>
                <w:sz w:val="21"/>
                <w:szCs w:val="21"/>
                <w:highlight w:val="none"/>
              </w:rPr>
            </w:pPr>
            <w:r>
              <w:rPr>
                <w:color w:val="auto"/>
                <w:kern w:val="0"/>
                <w:sz w:val="21"/>
                <w:szCs w:val="21"/>
                <w:highlight w:val="none"/>
                <w:lang w:bidi="ar"/>
              </w:rPr>
              <w:t>35</w:t>
            </w:r>
          </w:p>
        </w:tc>
        <w:tc>
          <w:tcPr>
            <w:tcW w:w="3816" w:type="dxa"/>
            <w:tcBorders>
              <w:top w:val="nil"/>
              <w:left w:val="nil"/>
              <w:bottom w:val="single" w:color="auto" w:sz="8" w:space="0"/>
              <w:right w:val="single" w:color="auto" w:sz="8" w:space="0"/>
            </w:tcBorders>
            <w:shd w:val="clear" w:color="000000" w:fill="FFFFFF"/>
            <w:vAlign w:val="center"/>
          </w:tcPr>
          <w:p w14:paraId="74E34DC6">
            <w:pPr>
              <w:widowControl/>
              <w:spacing w:line="440" w:lineRule="exact"/>
              <w:textAlignment w:val="center"/>
              <w:rPr>
                <w:color w:val="auto"/>
                <w:sz w:val="21"/>
                <w:szCs w:val="21"/>
                <w:highlight w:val="none"/>
              </w:rPr>
            </w:pPr>
            <w:r>
              <w:rPr>
                <w:color w:val="auto"/>
                <w:kern w:val="0"/>
                <w:sz w:val="21"/>
                <w:szCs w:val="21"/>
                <w:highlight w:val="none"/>
                <w:lang w:bidi="ar"/>
              </w:rPr>
              <w:t>前期工程费</w:t>
            </w:r>
          </w:p>
        </w:tc>
        <w:tc>
          <w:tcPr>
            <w:tcW w:w="1677" w:type="dxa"/>
            <w:tcBorders>
              <w:top w:val="nil"/>
              <w:left w:val="nil"/>
              <w:bottom w:val="single" w:color="auto" w:sz="8" w:space="0"/>
              <w:right w:val="single" w:color="auto" w:sz="8" w:space="0"/>
            </w:tcBorders>
            <w:shd w:val="clear" w:color="000000" w:fill="FFFFFF"/>
            <w:vAlign w:val="center"/>
          </w:tcPr>
          <w:p w14:paraId="28445611">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64A916F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1FCEB0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EFCAD6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05EA5C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2AB6B46">
            <w:pPr>
              <w:widowControl/>
              <w:spacing w:line="440" w:lineRule="exact"/>
              <w:textAlignment w:val="center"/>
              <w:rPr>
                <w:color w:val="auto"/>
                <w:sz w:val="21"/>
                <w:szCs w:val="21"/>
                <w:highlight w:val="none"/>
              </w:rPr>
            </w:pPr>
            <w:r>
              <w:rPr>
                <w:color w:val="auto"/>
                <w:kern w:val="0"/>
                <w:sz w:val="21"/>
                <w:szCs w:val="21"/>
                <w:highlight w:val="none"/>
                <w:lang w:bidi="ar"/>
              </w:rPr>
              <w:t>一、土地征用及补偿费</w:t>
            </w:r>
          </w:p>
        </w:tc>
        <w:tc>
          <w:tcPr>
            <w:tcW w:w="1677" w:type="dxa"/>
            <w:tcBorders>
              <w:top w:val="nil"/>
              <w:left w:val="nil"/>
              <w:bottom w:val="single" w:color="auto" w:sz="8" w:space="0"/>
              <w:right w:val="single" w:color="auto" w:sz="8" w:space="0"/>
            </w:tcBorders>
            <w:shd w:val="clear" w:color="000000" w:fill="FFFFFF"/>
            <w:vAlign w:val="center"/>
          </w:tcPr>
          <w:p w14:paraId="44FC4ACE">
            <w:pPr>
              <w:widowControl/>
              <w:spacing w:line="440" w:lineRule="exact"/>
              <w:jc w:val="center"/>
              <w:textAlignment w:val="center"/>
              <w:rPr>
                <w:color w:val="auto"/>
                <w:sz w:val="21"/>
                <w:szCs w:val="21"/>
                <w:highlight w:val="none"/>
              </w:rPr>
            </w:pPr>
            <w:r>
              <w:rPr>
                <w:color w:val="auto"/>
                <w:kern w:val="0"/>
                <w:sz w:val="21"/>
                <w:szCs w:val="21"/>
                <w:highlight w:val="none"/>
                <w:lang w:bidi="ar"/>
              </w:rPr>
              <w:t>亩</w:t>
            </w:r>
          </w:p>
        </w:tc>
        <w:tc>
          <w:tcPr>
            <w:tcW w:w="6704" w:type="dxa"/>
            <w:tcBorders>
              <w:top w:val="nil"/>
              <w:left w:val="nil"/>
              <w:bottom w:val="single" w:color="auto" w:sz="8" w:space="0"/>
              <w:right w:val="single" w:color="auto" w:sz="8" w:space="0"/>
            </w:tcBorders>
            <w:shd w:val="clear" w:color="000000" w:fill="FFFFFF"/>
            <w:vAlign w:val="center"/>
          </w:tcPr>
          <w:p w14:paraId="072D67E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8A7A14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A8BD8C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AD58BB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D122659">
            <w:pPr>
              <w:widowControl/>
              <w:spacing w:line="440" w:lineRule="exact"/>
              <w:textAlignment w:val="center"/>
              <w:rPr>
                <w:color w:val="auto"/>
                <w:sz w:val="21"/>
                <w:szCs w:val="21"/>
                <w:highlight w:val="none"/>
              </w:rPr>
            </w:pPr>
            <w:r>
              <w:rPr>
                <w:color w:val="auto"/>
                <w:kern w:val="0"/>
                <w:sz w:val="21"/>
                <w:szCs w:val="21"/>
                <w:highlight w:val="none"/>
                <w:lang w:bidi="ar"/>
              </w:rPr>
              <w:t>二、临时占地费</w:t>
            </w:r>
          </w:p>
        </w:tc>
        <w:tc>
          <w:tcPr>
            <w:tcW w:w="1677" w:type="dxa"/>
            <w:tcBorders>
              <w:top w:val="nil"/>
              <w:left w:val="nil"/>
              <w:bottom w:val="single" w:color="auto" w:sz="8" w:space="0"/>
              <w:right w:val="single" w:color="auto" w:sz="8" w:space="0"/>
            </w:tcBorders>
            <w:shd w:val="clear" w:color="000000" w:fill="FFFFFF"/>
            <w:vAlign w:val="center"/>
          </w:tcPr>
          <w:p w14:paraId="63E1A4AB">
            <w:pPr>
              <w:widowControl/>
              <w:spacing w:line="440" w:lineRule="exact"/>
              <w:jc w:val="center"/>
              <w:textAlignment w:val="center"/>
              <w:rPr>
                <w:color w:val="auto"/>
                <w:sz w:val="21"/>
                <w:szCs w:val="21"/>
                <w:highlight w:val="none"/>
              </w:rPr>
            </w:pPr>
            <w:r>
              <w:rPr>
                <w:color w:val="auto"/>
                <w:kern w:val="0"/>
                <w:sz w:val="21"/>
                <w:szCs w:val="21"/>
                <w:highlight w:val="none"/>
                <w:lang w:bidi="ar"/>
              </w:rPr>
              <w:t>亩</w:t>
            </w:r>
          </w:p>
        </w:tc>
        <w:tc>
          <w:tcPr>
            <w:tcW w:w="6704" w:type="dxa"/>
            <w:tcBorders>
              <w:top w:val="nil"/>
              <w:left w:val="nil"/>
              <w:bottom w:val="single" w:color="auto" w:sz="8" w:space="0"/>
              <w:right w:val="single" w:color="auto" w:sz="8" w:space="0"/>
            </w:tcBorders>
            <w:shd w:val="clear" w:color="000000" w:fill="FFFFFF"/>
            <w:vAlign w:val="center"/>
          </w:tcPr>
          <w:p w14:paraId="6D6C5C9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A9C574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F5611C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1F20AA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4793FB9">
            <w:pPr>
              <w:widowControl/>
              <w:spacing w:line="440" w:lineRule="exact"/>
              <w:textAlignment w:val="center"/>
              <w:rPr>
                <w:color w:val="auto"/>
                <w:sz w:val="21"/>
                <w:szCs w:val="21"/>
                <w:highlight w:val="none"/>
              </w:rPr>
            </w:pPr>
            <w:r>
              <w:rPr>
                <w:color w:val="auto"/>
                <w:kern w:val="0"/>
                <w:sz w:val="21"/>
                <w:szCs w:val="21"/>
                <w:highlight w:val="none"/>
                <w:lang w:bidi="ar"/>
              </w:rPr>
              <w:t>三、建（构）筑物拆迁补偿费</w:t>
            </w:r>
          </w:p>
        </w:tc>
        <w:tc>
          <w:tcPr>
            <w:tcW w:w="1677" w:type="dxa"/>
            <w:tcBorders>
              <w:top w:val="nil"/>
              <w:left w:val="nil"/>
              <w:bottom w:val="single" w:color="auto" w:sz="8" w:space="0"/>
              <w:right w:val="single" w:color="auto" w:sz="8" w:space="0"/>
            </w:tcBorders>
            <w:shd w:val="clear" w:color="000000" w:fill="FFFFFF"/>
            <w:vAlign w:val="center"/>
          </w:tcPr>
          <w:p w14:paraId="79F06448">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6A25CA4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D96B98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2E713B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4C2E24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874EBA9">
            <w:pPr>
              <w:widowControl/>
              <w:spacing w:line="440" w:lineRule="exact"/>
              <w:textAlignment w:val="center"/>
              <w:rPr>
                <w:color w:val="auto"/>
                <w:sz w:val="21"/>
                <w:szCs w:val="21"/>
                <w:highlight w:val="none"/>
              </w:rPr>
            </w:pPr>
            <w:r>
              <w:rPr>
                <w:color w:val="auto"/>
                <w:kern w:val="0"/>
                <w:sz w:val="21"/>
                <w:szCs w:val="21"/>
                <w:highlight w:val="none"/>
                <w:lang w:bidi="ar"/>
              </w:rPr>
              <w:t>（一）房屋补偿费</w:t>
            </w:r>
          </w:p>
        </w:tc>
        <w:tc>
          <w:tcPr>
            <w:tcW w:w="1677" w:type="dxa"/>
            <w:tcBorders>
              <w:top w:val="nil"/>
              <w:left w:val="nil"/>
              <w:bottom w:val="single" w:color="auto" w:sz="8" w:space="0"/>
              <w:right w:val="single" w:color="auto" w:sz="8" w:space="0"/>
            </w:tcBorders>
            <w:shd w:val="clear" w:color="000000" w:fill="FFFFFF"/>
            <w:vAlign w:val="center"/>
          </w:tcPr>
          <w:p w14:paraId="5C3B3356">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77B906A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62723A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35353D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A9E845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72B14E8">
            <w:pPr>
              <w:widowControl/>
              <w:spacing w:line="440" w:lineRule="exact"/>
              <w:textAlignment w:val="center"/>
              <w:rPr>
                <w:color w:val="auto"/>
                <w:sz w:val="21"/>
                <w:szCs w:val="21"/>
                <w:highlight w:val="none"/>
              </w:rPr>
            </w:pPr>
            <w:r>
              <w:rPr>
                <w:color w:val="auto"/>
                <w:kern w:val="0"/>
                <w:sz w:val="21"/>
                <w:szCs w:val="21"/>
                <w:highlight w:val="none"/>
                <w:lang w:bidi="ar"/>
              </w:rPr>
              <w:t>（二）商业补偿费</w:t>
            </w:r>
          </w:p>
        </w:tc>
        <w:tc>
          <w:tcPr>
            <w:tcW w:w="1677" w:type="dxa"/>
            <w:tcBorders>
              <w:top w:val="nil"/>
              <w:left w:val="nil"/>
              <w:bottom w:val="single" w:color="auto" w:sz="8" w:space="0"/>
              <w:right w:val="single" w:color="auto" w:sz="8" w:space="0"/>
            </w:tcBorders>
            <w:shd w:val="clear" w:color="000000" w:fill="FFFFFF"/>
            <w:vAlign w:val="center"/>
          </w:tcPr>
          <w:p w14:paraId="035ADC5B">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0324E51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E8E834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902274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F56883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9682089">
            <w:pPr>
              <w:widowControl/>
              <w:spacing w:line="440" w:lineRule="exact"/>
              <w:textAlignment w:val="center"/>
              <w:rPr>
                <w:color w:val="auto"/>
                <w:sz w:val="21"/>
                <w:szCs w:val="21"/>
                <w:highlight w:val="none"/>
              </w:rPr>
            </w:pPr>
            <w:r>
              <w:rPr>
                <w:color w:val="auto"/>
                <w:kern w:val="0"/>
                <w:sz w:val="21"/>
                <w:szCs w:val="21"/>
                <w:highlight w:val="none"/>
                <w:lang w:bidi="ar"/>
              </w:rPr>
              <w:t>（三）构筑物补偿费</w:t>
            </w:r>
          </w:p>
        </w:tc>
        <w:tc>
          <w:tcPr>
            <w:tcW w:w="1677" w:type="dxa"/>
            <w:tcBorders>
              <w:top w:val="nil"/>
              <w:left w:val="nil"/>
              <w:bottom w:val="single" w:color="auto" w:sz="8" w:space="0"/>
              <w:right w:val="single" w:color="auto" w:sz="8" w:space="0"/>
            </w:tcBorders>
            <w:shd w:val="clear" w:color="000000" w:fill="FFFFFF"/>
            <w:vAlign w:val="center"/>
          </w:tcPr>
          <w:p w14:paraId="0D85EE2F">
            <w:pPr>
              <w:widowControl/>
              <w:spacing w:line="440" w:lineRule="exact"/>
              <w:jc w:val="center"/>
              <w:textAlignment w:val="center"/>
              <w:rPr>
                <w:color w:val="auto"/>
                <w:sz w:val="21"/>
                <w:szCs w:val="21"/>
                <w:highlight w:val="none"/>
              </w:rPr>
            </w:pPr>
            <w:r>
              <w:rPr>
                <w:color w:val="auto"/>
                <w:kern w:val="0"/>
                <w:sz w:val="21"/>
                <w:szCs w:val="21"/>
                <w:highlight w:val="none"/>
                <w:lang w:bidi="ar"/>
              </w:rPr>
              <w:t>m</w:t>
            </w:r>
            <w:r>
              <w:rPr>
                <w:color w:val="auto"/>
                <w:kern w:val="0"/>
                <w:sz w:val="21"/>
                <w:szCs w:val="21"/>
                <w:highlight w:val="none"/>
                <w:vertAlign w:val="superscript"/>
                <w:lang w:bidi="ar"/>
              </w:rPr>
              <w:t>2</w:t>
            </w:r>
          </w:p>
        </w:tc>
        <w:tc>
          <w:tcPr>
            <w:tcW w:w="6704" w:type="dxa"/>
            <w:tcBorders>
              <w:top w:val="nil"/>
              <w:left w:val="nil"/>
              <w:bottom w:val="single" w:color="auto" w:sz="8" w:space="0"/>
              <w:right w:val="single" w:color="auto" w:sz="8" w:space="0"/>
            </w:tcBorders>
            <w:shd w:val="clear" w:color="000000" w:fill="FFFFFF"/>
            <w:vAlign w:val="center"/>
          </w:tcPr>
          <w:p w14:paraId="6BF4C10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576BFF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2FA145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B7D3ED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BC1056B">
            <w:pPr>
              <w:widowControl/>
              <w:spacing w:line="440" w:lineRule="exact"/>
              <w:textAlignment w:val="center"/>
              <w:rPr>
                <w:color w:val="auto"/>
                <w:sz w:val="21"/>
                <w:szCs w:val="21"/>
                <w:highlight w:val="none"/>
              </w:rPr>
            </w:pPr>
            <w:r>
              <w:rPr>
                <w:color w:val="auto"/>
                <w:kern w:val="0"/>
                <w:sz w:val="21"/>
                <w:szCs w:val="21"/>
                <w:highlight w:val="none"/>
                <w:lang w:bidi="ar"/>
              </w:rPr>
              <w:t>四、树木及绿化赔偿费</w:t>
            </w:r>
          </w:p>
        </w:tc>
        <w:tc>
          <w:tcPr>
            <w:tcW w:w="1677" w:type="dxa"/>
            <w:tcBorders>
              <w:top w:val="nil"/>
              <w:left w:val="nil"/>
              <w:bottom w:val="single" w:color="auto" w:sz="8" w:space="0"/>
              <w:right w:val="single" w:color="auto" w:sz="8" w:space="0"/>
            </w:tcBorders>
            <w:shd w:val="clear" w:color="000000" w:fill="FFFFFF"/>
            <w:vAlign w:val="center"/>
          </w:tcPr>
          <w:p w14:paraId="488AD23A">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532D493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BFA519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BF79C6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54F474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9218C62">
            <w:pPr>
              <w:widowControl/>
              <w:spacing w:line="440" w:lineRule="exact"/>
              <w:textAlignment w:val="center"/>
              <w:rPr>
                <w:color w:val="auto"/>
                <w:sz w:val="21"/>
                <w:szCs w:val="21"/>
                <w:highlight w:val="none"/>
              </w:rPr>
            </w:pPr>
            <w:r>
              <w:rPr>
                <w:color w:val="auto"/>
                <w:kern w:val="0"/>
                <w:sz w:val="21"/>
                <w:szCs w:val="21"/>
                <w:highlight w:val="none"/>
                <w:lang w:bidi="ar"/>
              </w:rPr>
              <w:t>五、道路恢复费</w:t>
            </w:r>
          </w:p>
        </w:tc>
        <w:tc>
          <w:tcPr>
            <w:tcW w:w="1677" w:type="dxa"/>
            <w:tcBorders>
              <w:top w:val="nil"/>
              <w:left w:val="nil"/>
              <w:bottom w:val="single" w:color="auto" w:sz="8" w:space="0"/>
              <w:right w:val="single" w:color="auto" w:sz="8" w:space="0"/>
            </w:tcBorders>
            <w:shd w:val="clear" w:color="000000" w:fill="FFFFFF"/>
            <w:vAlign w:val="center"/>
          </w:tcPr>
          <w:p w14:paraId="4A0E3B2D">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65AA912D">
            <w:pPr>
              <w:widowControl/>
              <w:spacing w:line="440" w:lineRule="exact"/>
              <w:textAlignment w:val="center"/>
              <w:rPr>
                <w:color w:val="auto"/>
                <w:sz w:val="21"/>
                <w:szCs w:val="21"/>
                <w:highlight w:val="none"/>
              </w:rPr>
            </w:pPr>
            <w:r>
              <w:rPr>
                <w:color w:val="auto"/>
                <w:kern w:val="0"/>
                <w:sz w:val="21"/>
                <w:szCs w:val="21"/>
                <w:highlight w:val="none"/>
                <w:lang w:bidi="ar"/>
              </w:rPr>
              <w:t>是指设计围挡范围内的道路恢复费用，相应凿除路面费用纳入主体工程费用中。</w:t>
            </w:r>
          </w:p>
        </w:tc>
      </w:tr>
      <w:tr w14:paraId="3D089EE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701A96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51D4FC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33C10D1">
            <w:pPr>
              <w:widowControl/>
              <w:spacing w:line="440" w:lineRule="exact"/>
              <w:textAlignment w:val="center"/>
              <w:rPr>
                <w:color w:val="auto"/>
                <w:sz w:val="21"/>
                <w:szCs w:val="21"/>
                <w:highlight w:val="none"/>
              </w:rPr>
            </w:pPr>
            <w:r>
              <w:rPr>
                <w:rFonts w:hint="eastAsia"/>
                <w:color w:val="auto"/>
                <w:kern w:val="0"/>
                <w:sz w:val="21"/>
                <w:szCs w:val="21"/>
                <w:highlight w:val="none"/>
                <w:lang w:bidi="ar"/>
              </w:rPr>
              <w:t>六</w:t>
            </w:r>
            <w:r>
              <w:rPr>
                <w:color w:val="auto"/>
                <w:kern w:val="0"/>
                <w:sz w:val="21"/>
                <w:szCs w:val="21"/>
                <w:highlight w:val="none"/>
                <w:lang w:bidi="ar"/>
              </w:rPr>
              <w:t>、管线迁改费</w:t>
            </w:r>
          </w:p>
        </w:tc>
        <w:tc>
          <w:tcPr>
            <w:tcW w:w="1677" w:type="dxa"/>
            <w:tcBorders>
              <w:top w:val="nil"/>
              <w:left w:val="nil"/>
              <w:bottom w:val="single" w:color="auto" w:sz="8" w:space="0"/>
              <w:right w:val="single" w:color="auto" w:sz="8" w:space="0"/>
            </w:tcBorders>
            <w:shd w:val="clear" w:color="000000" w:fill="FFFFFF"/>
            <w:vAlign w:val="center"/>
          </w:tcPr>
          <w:p w14:paraId="2E0E9A70">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483F7369">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7E98E8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7057AF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AD243A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C047D21">
            <w:pPr>
              <w:widowControl/>
              <w:spacing w:line="440" w:lineRule="exact"/>
              <w:textAlignment w:val="center"/>
              <w:rPr>
                <w:color w:val="auto"/>
                <w:sz w:val="21"/>
                <w:szCs w:val="21"/>
                <w:highlight w:val="none"/>
              </w:rPr>
            </w:pPr>
            <w:r>
              <w:rPr>
                <w:rFonts w:hint="eastAsia"/>
                <w:color w:val="auto"/>
                <w:kern w:val="0"/>
                <w:sz w:val="21"/>
                <w:szCs w:val="21"/>
                <w:highlight w:val="none"/>
                <w:lang w:bidi="ar"/>
              </w:rPr>
              <w:t>七</w:t>
            </w:r>
            <w:r>
              <w:rPr>
                <w:color w:val="auto"/>
                <w:kern w:val="0"/>
                <w:sz w:val="21"/>
                <w:szCs w:val="21"/>
                <w:highlight w:val="none"/>
                <w:lang w:bidi="ar"/>
              </w:rPr>
              <w:t>、交通疏解费</w:t>
            </w:r>
            <w:r>
              <w:rPr>
                <w:rFonts w:hint="eastAsia"/>
                <w:color w:val="auto"/>
                <w:kern w:val="0"/>
                <w:sz w:val="21"/>
                <w:szCs w:val="21"/>
                <w:highlight w:val="none"/>
                <w:lang w:bidi="ar"/>
              </w:rPr>
              <w:t xml:space="preserve"> </w:t>
            </w:r>
          </w:p>
        </w:tc>
        <w:tc>
          <w:tcPr>
            <w:tcW w:w="1677" w:type="dxa"/>
            <w:tcBorders>
              <w:top w:val="nil"/>
              <w:left w:val="nil"/>
              <w:bottom w:val="single" w:color="auto" w:sz="8" w:space="0"/>
              <w:right w:val="single" w:color="auto" w:sz="8" w:space="0"/>
            </w:tcBorders>
            <w:shd w:val="clear" w:color="000000" w:fill="FFFFFF"/>
            <w:vAlign w:val="center"/>
          </w:tcPr>
          <w:p w14:paraId="372395E0">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58FFC0F">
            <w:pPr>
              <w:widowControl/>
              <w:spacing w:line="440" w:lineRule="exact"/>
              <w:textAlignment w:val="center"/>
              <w:rPr>
                <w:color w:val="auto"/>
                <w:sz w:val="21"/>
                <w:szCs w:val="21"/>
                <w:highlight w:val="none"/>
              </w:rPr>
            </w:pPr>
            <w:r>
              <w:rPr>
                <w:color w:val="auto"/>
                <w:kern w:val="0"/>
                <w:sz w:val="21"/>
                <w:szCs w:val="21"/>
                <w:highlight w:val="none"/>
                <w:lang w:bidi="ar"/>
              </w:rPr>
              <w:t>是指依据交通疏解设计方案，为保证工程实施而采取的对疏解工程进行建设及拆除恢复原状的费用。</w:t>
            </w:r>
          </w:p>
        </w:tc>
      </w:tr>
      <w:tr w14:paraId="3632B3E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643C27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27155F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0E7C8E5">
            <w:pPr>
              <w:widowControl/>
              <w:spacing w:line="440" w:lineRule="exact"/>
              <w:textAlignment w:val="center"/>
              <w:rPr>
                <w:color w:val="auto"/>
                <w:sz w:val="21"/>
                <w:szCs w:val="21"/>
                <w:highlight w:val="none"/>
              </w:rPr>
            </w:pPr>
            <w:r>
              <w:rPr>
                <w:rFonts w:hint="eastAsia"/>
                <w:color w:val="auto"/>
                <w:kern w:val="0"/>
                <w:sz w:val="21"/>
                <w:szCs w:val="21"/>
                <w:highlight w:val="none"/>
                <w:lang w:bidi="ar"/>
              </w:rPr>
              <w:t>八</w:t>
            </w:r>
            <w:r>
              <w:rPr>
                <w:color w:val="auto"/>
                <w:kern w:val="0"/>
                <w:sz w:val="21"/>
                <w:szCs w:val="21"/>
                <w:highlight w:val="none"/>
                <w:lang w:bidi="ar"/>
              </w:rPr>
              <w:t>、河道改移费</w:t>
            </w:r>
          </w:p>
        </w:tc>
        <w:tc>
          <w:tcPr>
            <w:tcW w:w="1677" w:type="dxa"/>
            <w:tcBorders>
              <w:top w:val="nil"/>
              <w:left w:val="nil"/>
              <w:bottom w:val="single" w:color="auto" w:sz="8" w:space="0"/>
              <w:right w:val="single" w:color="auto" w:sz="8" w:space="0"/>
            </w:tcBorders>
            <w:shd w:val="clear" w:color="000000" w:fill="FFFFFF"/>
            <w:vAlign w:val="center"/>
          </w:tcPr>
          <w:p w14:paraId="0DD413E9">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04F07C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A0B2B6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06F93D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A0DBEB7">
            <w:pPr>
              <w:widowControl/>
              <w:spacing w:line="440" w:lineRule="exact"/>
              <w:jc w:val="center"/>
              <w:textAlignment w:val="center"/>
              <w:rPr>
                <w:color w:val="auto"/>
                <w:sz w:val="21"/>
                <w:szCs w:val="21"/>
                <w:highlight w:val="none"/>
              </w:rPr>
            </w:pPr>
            <w:r>
              <w:rPr>
                <w:color w:val="auto"/>
                <w:kern w:val="0"/>
                <w:sz w:val="21"/>
                <w:szCs w:val="21"/>
                <w:highlight w:val="none"/>
                <w:lang w:bidi="ar"/>
              </w:rPr>
              <w:t>36</w:t>
            </w:r>
          </w:p>
        </w:tc>
        <w:tc>
          <w:tcPr>
            <w:tcW w:w="3816" w:type="dxa"/>
            <w:tcBorders>
              <w:top w:val="nil"/>
              <w:left w:val="nil"/>
              <w:bottom w:val="single" w:color="auto" w:sz="8" w:space="0"/>
              <w:right w:val="single" w:color="auto" w:sz="8" w:space="0"/>
            </w:tcBorders>
            <w:shd w:val="clear" w:color="000000" w:fill="FFFFFF"/>
            <w:vAlign w:val="center"/>
          </w:tcPr>
          <w:p w14:paraId="51468A92">
            <w:pPr>
              <w:widowControl/>
              <w:spacing w:line="440" w:lineRule="exact"/>
              <w:textAlignment w:val="center"/>
              <w:rPr>
                <w:color w:val="auto"/>
                <w:sz w:val="21"/>
                <w:szCs w:val="21"/>
                <w:highlight w:val="none"/>
              </w:rPr>
            </w:pPr>
            <w:r>
              <w:rPr>
                <w:color w:val="auto"/>
                <w:kern w:val="0"/>
                <w:sz w:val="21"/>
                <w:szCs w:val="21"/>
                <w:highlight w:val="none"/>
                <w:lang w:bidi="ar"/>
              </w:rPr>
              <w:t>其他费用</w:t>
            </w:r>
          </w:p>
        </w:tc>
        <w:tc>
          <w:tcPr>
            <w:tcW w:w="1677" w:type="dxa"/>
            <w:tcBorders>
              <w:top w:val="nil"/>
              <w:left w:val="nil"/>
              <w:bottom w:val="single" w:color="auto" w:sz="8" w:space="0"/>
              <w:right w:val="single" w:color="auto" w:sz="8" w:space="0"/>
            </w:tcBorders>
            <w:shd w:val="clear" w:color="000000" w:fill="FFFFFF"/>
            <w:vAlign w:val="center"/>
          </w:tcPr>
          <w:p w14:paraId="7B2AE350">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5372F2F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AA3384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4088DE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83EB3E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369F4AC">
            <w:pPr>
              <w:widowControl/>
              <w:spacing w:line="440" w:lineRule="exact"/>
              <w:textAlignment w:val="center"/>
              <w:rPr>
                <w:color w:val="auto"/>
                <w:sz w:val="21"/>
                <w:szCs w:val="21"/>
                <w:highlight w:val="none"/>
              </w:rPr>
            </w:pPr>
            <w:r>
              <w:rPr>
                <w:color w:val="auto"/>
                <w:kern w:val="0"/>
                <w:sz w:val="21"/>
                <w:szCs w:val="21"/>
                <w:highlight w:val="none"/>
                <w:lang w:bidi="ar"/>
              </w:rPr>
              <w:t>一、场地准备费</w:t>
            </w:r>
          </w:p>
        </w:tc>
        <w:tc>
          <w:tcPr>
            <w:tcW w:w="1677" w:type="dxa"/>
            <w:tcBorders>
              <w:top w:val="nil"/>
              <w:left w:val="nil"/>
              <w:bottom w:val="single" w:color="auto" w:sz="8" w:space="0"/>
              <w:right w:val="single" w:color="auto" w:sz="8" w:space="0"/>
            </w:tcBorders>
            <w:shd w:val="clear" w:color="000000" w:fill="FFFFFF"/>
            <w:vAlign w:val="center"/>
          </w:tcPr>
          <w:p w14:paraId="406CA85B">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3193BE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CB9505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3C5CCA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156B65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13FED5A">
            <w:pPr>
              <w:widowControl/>
              <w:spacing w:line="440" w:lineRule="exact"/>
              <w:textAlignment w:val="center"/>
              <w:rPr>
                <w:color w:val="auto"/>
                <w:sz w:val="21"/>
                <w:szCs w:val="21"/>
                <w:highlight w:val="none"/>
              </w:rPr>
            </w:pPr>
            <w:r>
              <w:rPr>
                <w:color w:val="auto"/>
                <w:kern w:val="0"/>
                <w:sz w:val="21"/>
                <w:szCs w:val="21"/>
                <w:highlight w:val="none"/>
                <w:lang w:bidi="ar"/>
              </w:rPr>
              <w:t>二、项目建设管理费</w:t>
            </w:r>
          </w:p>
        </w:tc>
        <w:tc>
          <w:tcPr>
            <w:tcW w:w="1677" w:type="dxa"/>
            <w:tcBorders>
              <w:top w:val="nil"/>
              <w:left w:val="nil"/>
              <w:bottom w:val="single" w:color="auto" w:sz="8" w:space="0"/>
              <w:right w:val="single" w:color="auto" w:sz="8" w:space="0"/>
            </w:tcBorders>
            <w:shd w:val="clear" w:color="000000" w:fill="FFFFFF"/>
            <w:vAlign w:val="center"/>
          </w:tcPr>
          <w:p w14:paraId="6711F3D9">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7767DAD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BBFE8A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D4A8A9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116F6D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56C3261">
            <w:pPr>
              <w:widowControl/>
              <w:spacing w:line="440" w:lineRule="exact"/>
              <w:textAlignment w:val="center"/>
              <w:rPr>
                <w:color w:val="auto"/>
                <w:sz w:val="21"/>
                <w:szCs w:val="21"/>
                <w:highlight w:val="none"/>
              </w:rPr>
            </w:pPr>
            <w:r>
              <w:rPr>
                <w:color w:val="auto"/>
                <w:kern w:val="0"/>
                <w:sz w:val="21"/>
                <w:szCs w:val="21"/>
                <w:highlight w:val="none"/>
                <w:lang w:bidi="ar"/>
              </w:rPr>
              <w:t>三、建设工程监理与相关服务费</w:t>
            </w:r>
          </w:p>
        </w:tc>
        <w:tc>
          <w:tcPr>
            <w:tcW w:w="1677" w:type="dxa"/>
            <w:tcBorders>
              <w:top w:val="nil"/>
              <w:left w:val="nil"/>
              <w:bottom w:val="single" w:color="auto" w:sz="8" w:space="0"/>
              <w:right w:val="single" w:color="auto" w:sz="8" w:space="0"/>
            </w:tcBorders>
            <w:shd w:val="clear" w:color="000000" w:fill="FFFFFF"/>
            <w:vAlign w:val="center"/>
          </w:tcPr>
          <w:p w14:paraId="4B6129D0">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7EB151D9">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E8717B1">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C6B3A4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890402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CE49D38">
            <w:pPr>
              <w:widowControl/>
              <w:spacing w:line="440" w:lineRule="exact"/>
              <w:textAlignment w:val="center"/>
              <w:rPr>
                <w:color w:val="auto"/>
                <w:sz w:val="21"/>
                <w:szCs w:val="21"/>
                <w:highlight w:val="none"/>
              </w:rPr>
            </w:pPr>
            <w:r>
              <w:rPr>
                <w:color w:val="auto"/>
                <w:kern w:val="0"/>
                <w:sz w:val="21"/>
                <w:szCs w:val="21"/>
                <w:highlight w:val="none"/>
                <w:lang w:bidi="ar"/>
              </w:rPr>
              <w:t>四、招标代理服务费</w:t>
            </w:r>
          </w:p>
        </w:tc>
        <w:tc>
          <w:tcPr>
            <w:tcW w:w="1677" w:type="dxa"/>
            <w:tcBorders>
              <w:top w:val="nil"/>
              <w:left w:val="nil"/>
              <w:bottom w:val="single" w:color="auto" w:sz="8" w:space="0"/>
              <w:right w:val="single" w:color="auto" w:sz="8" w:space="0"/>
            </w:tcBorders>
            <w:shd w:val="clear" w:color="000000" w:fill="FFFFFF"/>
            <w:vAlign w:val="center"/>
          </w:tcPr>
          <w:p w14:paraId="7EEA2CD7">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03F29AF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CDD6CA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B480FE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523213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E9214D5">
            <w:pPr>
              <w:widowControl/>
              <w:spacing w:line="440" w:lineRule="exact"/>
              <w:textAlignment w:val="center"/>
              <w:rPr>
                <w:color w:val="auto"/>
                <w:sz w:val="21"/>
                <w:szCs w:val="21"/>
                <w:highlight w:val="none"/>
              </w:rPr>
            </w:pPr>
            <w:r>
              <w:rPr>
                <w:color w:val="auto"/>
                <w:kern w:val="0"/>
                <w:sz w:val="21"/>
                <w:szCs w:val="21"/>
                <w:highlight w:val="none"/>
                <w:lang w:bidi="ar"/>
              </w:rPr>
              <w:t>五、招标交易服务费</w:t>
            </w:r>
          </w:p>
        </w:tc>
        <w:tc>
          <w:tcPr>
            <w:tcW w:w="1677" w:type="dxa"/>
            <w:tcBorders>
              <w:top w:val="nil"/>
              <w:left w:val="nil"/>
              <w:bottom w:val="single" w:color="auto" w:sz="8" w:space="0"/>
              <w:right w:val="single" w:color="auto" w:sz="8" w:space="0"/>
            </w:tcBorders>
            <w:shd w:val="clear" w:color="000000" w:fill="FFFFFF"/>
            <w:vAlign w:val="center"/>
          </w:tcPr>
          <w:p w14:paraId="2B4E6CA9">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F85C3D3">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479C1A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7DE3DF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B45D3B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AFA388D">
            <w:pPr>
              <w:widowControl/>
              <w:spacing w:line="440" w:lineRule="exact"/>
              <w:textAlignment w:val="center"/>
              <w:rPr>
                <w:color w:val="auto"/>
                <w:sz w:val="21"/>
                <w:szCs w:val="21"/>
                <w:highlight w:val="none"/>
              </w:rPr>
            </w:pPr>
            <w:r>
              <w:rPr>
                <w:color w:val="auto"/>
                <w:kern w:val="0"/>
                <w:sz w:val="21"/>
                <w:szCs w:val="21"/>
                <w:highlight w:val="none"/>
                <w:lang w:bidi="ar"/>
              </w:rPr>
              <w:t>六、前期工作费</w:t>
            </w:r>
          </w:p>
        </w:tc>
        <w:tc>
          <w:tcPr>
            <w:tcW w:w="1677" w:type="dxa"/>
            <w:tcBorders>
              <w:top w:val="nil"/>
              <w:left w:val="nil"/>
              <w:bottom w:val="single" w:color="auto" w:sz="8" w:space="0"/>
              <w:right w:val="single" w:color="auto" w:sz="8" w:space="0"/>
            </w:tcBorders>
            <w:shd w:val="clear" w:color="000000" w:fill="FFFFFF"/>
            <w:vAlign w:val="center"/>
          </w:tcPr>
          <w:p w14:paraId="38AD082E">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A0D422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CED5AE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258805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E7F3BF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2955420">
            <w:pPr>
              <w:widowControl/>
              <w:spacing w:line="440" w:lineRule="exact"/>
              <w:textAlignment w:val="center"/>
              <w:rPr>
                <w:color w:val="auto"/>
                <w:sz w:val="21"/>
                <w:szCs w:val="21"/>
                <w:highlight w:val="none"/>
              </w:rPr>
            </w:pPr>
            <w:r>
              <w:rPr>
                <w:color w:val="auto"/>
                <w:kern w:val="0"/>
                <w:sz w:val="21"/>
                <w:szCs w:val="21"/>
                <w:highlight w:val="none"/>
                <w:lang w:bidi="ar"/>
              </w:rPr>
              <w:t>（一）可行性研究费</w:t>
            </w:r>
          </w:p>
        </w:tc>
        <w:tc>
          <w:tcPr>
            <w:tcW w:w="1677" w:type="dxa"/>
            <w:tcBorders>
              <w:top w:val="nil"/>
              <w:left w:val="nil"/>
              <w:bottom w:val="single" w:color="auto" w:sz="8" w:space="0"/>
              <w:right w:val="single" w:color="auto" w:sz="8" w:space="0"/>
            </w:tcBorders>
            <w:shd w:val="clear" w:color="000000" w:fill="FFFFFF"/>
            <w:vAlign w:val="center"/>
          </w:tcPr>
          <w:p w14:paraId="78D520C0">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21FF4FB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CED2BD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263312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1741B0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815E8C3">
            <w:pPr>
              <w:widowControl/>
              <w:spacing w:line="440" w:lineRule="exact"/>
              <w:textAlignment w:val="center"/>
              <w:rPr>
                <w:color w:val="auto"/>
                <w:sz w:val="21"/>
                <w:szCs w:val="21"/>
                <w:highlight w:val="none"/>
              </w:rPr>
            </w:pPr>
            <w:r>
              <w:rPr>
                <w:color w:val="auto"/>
                <w:kern w:val="0"/>
                <w:sz w:val="21"/>
                <w:szCs w:val="21"/>
                <w:highlight w:val="none"/>
                <w:lang w:bidi="ar"/>
              </w:rPr>
              <w:t>（二）环境影响评价费</w:t>
            </w:r>
          </w:p>
        </w:tc>
        <w:tc>
          <w:tcPr>
            <w:tcW w:w="1677" w:type="dxa"/>
            <w:tcBorders>
              <w:top w:val="nil"/>
              <w:left w:val="nil"/>
              <w:bottom w:val="single" w:color="auto" w:sz="8" w:space="0"/>
              <w:right w:val="single" w:color="auto" w:sz="8" w:space="0"/>
            </w:tcBorders>
            <w:shd w:val="clear" w:color="000000" w:fill="FFFFFF"/>
            <w:vAlign w:val="center"/>
          </w:tcPr>
          <w:p w14:paraId="31D7CD15">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6FF38DF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C8C7BB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042AB7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454639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5E3EC8A">
            <w:pPr>
              <w:widowControl/>
              <w:spacing w:line="440" w:lineRule="exact"/>
              <w:textAlignment w:val="center"/>
              <w:rPr>
                <w:color w:val="auto"/>
                <w:sz w:val="21"/>
                <w:szCs w:val="21"/>
                <w:highlight w:val="none"/>
              </w:rPr>
            </w:pPr>
            <w:r>
              <w:rPr>
                <w:color w:val="auto"/>
                <w:kern w:val="0"/>
                <w:sz w:val="21"/>
                <w:szCs w:val="21"/>
                <w:highlight w:val="none"/>
                <w:lang w:bidi="ar"/>
              </w:rPr>
              <w:t>（三）客流预测报告费</w:t>
            </w:r>
          </w:p>
        </w:tc>
        <w:tc>
          <w:tcPr>
            <w:tcW w:w="1677" w:type="dxa"/>
            <w:tcBorders>
              <w:top w:val="nil"/>
              <w:left w:val="nil"/>
              <w:bottom w:val="single" w:color="auto" w:sz="8" w:space="0"/>
              <w:right w:val="single" w:color="auto" w:sz="8" w:space="0"/>
            </w:tcBorders>
            <w:shd w:val="clear" w:color="000000" w:fill="FFFFFF"/>
            <w:vAlign w:val="center"/>
          </w:tcPr>
          <w:p w14:paraId="02424E34">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5809D31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7F935D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7700B6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37AD72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F314C07">
            <w:pPr>
              <w:widowControl/>
              <w:spacing w:line="440" w:lineRule="exact"/>
              <w:textAlignment w:val="center"/>
              <w:rPr>
                <w:color w:val="auto"/>
                <w:sz w:val="21"/>
                <w:szCs w:val="21"/>
                <w:highlight w:val="none"/>
              </w:rPr>
            </w:pPr>
            <w:r>
              <w:rPr>
                <w:color w:val="auto"/>
                <w:kern w:val="0"/>
                <w:sz w:val="21"/>
                <w:szCs w:val="21"/>
                <w:highlight w:val="none"/>
                <w:lang w:bidi="ar"/>
              </w:rPr>
              <w:t>（四）地震安全性评价费</w:t>
            </w:r>
          </w:p>
        </w:tc>
        <w:tc>
          <w:tcPr>
            <w:tcW w:w="1677" w:type="dxa"/>
            <w:tcBorders>
              <w:top w:val="nil"/>
              <w:left w:val="nil"/>
              <w:bottom w:val="single" w:color="auto" w:sz="8" w:space="0"/>
              <w:right w:val="single" w:color="auto" w:sz="8" w:space="0"/>
            </w:tcBorders>
            <w:shd w:val="clear" w:color="000000" w:fill="FFFFFF"/>
            <w:vAlign w:val="center"/>
          </w:tcPr>
          <w:p w14:paraId="5D89B7A4">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533A29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CBB4EE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ECDC65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93210F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86FF135">
            <w:pPr>
              <w:widowControl/>
              <w:spacing w:line="440" w:lineRule="exact"/>
              <w:textAlignment w:val="center"/>
              <w:rPr>
                <w:color w:val="auto"/>
                <w:sz w:val="21"/>
                <w:szCs w:val="21"/>
                <w:highlight w:val="none"/>
              </w:rPr>
            </w:pPr>
            <w:r>
              <w:rPr>
                <w:color w:val="auto"/>
                <w:kern w:val="0"/>
                <w:sz w:val="21"/>
                <w:szCs w:val="21"/>
                <w:highlight w:val="none"/>
                <w:lang w:bidi="ar"/>
              </w:rPr>
              <w:t>（五）地质灾害危险性评估费</w:t>
            </w:r>
          </w:p>
        </w:tc>
        <w:tc>
          <w:tcPr>
            <w:tcW w:w="1677" w:type="dxa"/>
            <w:tcBorders>
              <w:top w:val="nil"/>
              <w:left w:val="nil"/>
              <w:bottom w:val="single" w:color="auto" w:sz="8" w:space="0"/>
              <w:right w:val="single" w:color="auto" w:sz="8" w:space="0"/>
            </w:tcBorders>
            <w:shd w:val="clear" w:color="000000" w:fill="FFFFFF"/>
            <w:vAlign w:val="center"/>
          </w:tcPr>
          <w:p w14:paraId="3D2E2B0D">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6D46B46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E7496D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00CFFA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DA41E6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37E8E47">
            <w:pPr>
              <w:widowControl/>
              <w:spacing w:line="440" w:lineRule="exact"/>
              <w:textAlignment w:val="center"/>
              <w:rPr>
                <w:color w:val="auto"/>
                <w:sz w:val="21"/>
                <w:szCs w:val="21"/>
                <w:highlight w:val="none"/>
              </w:rPr>
            </w:pPr>
            <w:r>
              <w:rPr>
                <w:color w:val="auto"/>
                <w:kern w:val="0"/>
                <w:sz w:val="21"/>
                <w:szCs w:val="21"/>
                <w:highlight w:val="none"/>
                <w:lang w:bidi="ar"/>
              </w:rPr>
              <w:t>（六）节能评估费</w:t>
            </w:r>
          </w:p>
        </w:tc>
        <w:tc>
          <w:tcPr>
            <w:tcW w:w="1677" w:type="dxa"/>
            <w:tcBorders>
              <w:top w:val="nil"/>
              <w:left w:val="nil"/>
              <w:bottom w:val="single" w:color="auto" w:sz="8" w:space="0"/>
              <w:right w:val="single" w:color="auto" w:sz="8" w:space="0"/>
            </w:tcBorders>
            <w:shd w:val="clear" w:color="000000" w:fill="FFFFFF"/>
            <w:vAlign w:val="center"/>
          </w:tcPr>
          <w:p w14:paraId="42BED225">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75F8F98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1E2CD7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40A698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4FDBEB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987AD60">
            <w:pPr>
              <w:widowControl/>
              <w:spacing w:line="440" w:lineRule="exact"/>
              <w:textAlignment w:val="center"/>
              <w:rPr>
                <w:color w:val="auto"/>
                <w:sz w:val="21"/>
                <w:szCs w:val="21"/>
                <w:highlight w:val="none"/>
              </w:rPr>
            </w:pPr>
            <w:r>
              <w:rPr>
                <w:color w:val="auto"/>
                <w:kern w:val="0"/>
                <w:sz w:val="21"/>
                <w:szCs w:val="21"/>
                <w:highlight w:val="none"/>
                <w:lang w:bidi="ar"/>
              </w:rPr>
              <w:t>（七）社会稳定风险评估费</w:t>
            </w:r>
          </w:p>
        </w:tc>
        <w:tc>
          <w:tcPr>
            <w:tcW w:w="1677" w:type="dxa"/>
            <w:tcBorders>
              <w:top w:val="nil"/>
              <w:left w:val="nil"/>
              <w:bottom w:val="single" w:color="auto" w:sz="8" w:space="0"/>
              <w:right w:val="single" w:color="auto" w:sz="8" w:space="0"/>
            </w:tcBorders>
            <w:shd w:val="clear" w:color="000000" w:fill="FFFFFF"/>
            <w:vAlign w:val="center"/>
          </w:tcPr>
          <w:p w14:paraId="7A6E5534">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4256A9E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070D34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823CAD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2D231D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4580844">
            <w:pPr>
              <w:widowControl/>
              <w:spacing w:line="440" w:lineRule="exact"/>
              <w:textAlignment w:val="center"/>
              <w:rPr>
                <w:color w:val="auto"/>
                <w:sz w:val="21"/>
                <w:szCs w:val="21"/>
                <w:highlight w:val="none"/>
              </w:rPr>
            </w:pPr>
            <w:r>
              <w:rPr>
                <w:color w:val="auto"/>
                <w:kern w:val="0"/>
                <w:sz w:val="21"/>
                <w:szCs w:val="21"/>
                <w:highlight w:val="none"/>
                <w:lang w:bidi="ar"/>
              </w:rPr>
              <w:t>（八）防洪评价费</w:t>
            </w:r>
          </w:p>
        </w:tc>
        <w:tc>
          <w:tcPr>
            <w:tcW w:w="1677" w:type="dxa"/>
            <w:tcBorders>
              <w:top w:val="nil"/>
              <w:left w:val="nil"/>
              <w:bottom w:val="single" w:color="auto" w:sz="8" w:space="0"/>
              <w:right w:val="single" w:color="auto" w:sz="8" w:space="0"/>
            </w:tcBorders>
            <w:shd w:val="clear" w:color="000000" w:fill="FFFFFF"/>
            <w:vAlign w:val="center"/>
          </w:tcPr>
          <w:p w14:paraId="61F3563C">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7DBF110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2110C6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1E5F07D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17DBD6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0E5D52F">
            <w:pPr>
              <w:widowControl/>
              <w:spacing w:line="440" w:lineRule="exact"/>
              <w:textAlignment w:val="center"/>
              <w:rPr>
                <w:color w:val="auto"/>
                <w:sz w:val="21"/>
                <w:szCs w:val="21"/>
                <w:highlight w:val="none"/>
              </w:rPr>
            </w:pPr>
            <w:r>
              <w:rPr>
                <w:color w:val="auto"/>
                <w:kern w:val="0"/>
                <w:sz w:val="21"/>
                <w:szCs w:val="21"/>
                <w:highlight w:val="none"/>
                <w:lang w:bidi="ar"/>
              </w:rPr>
              <w:t>（九）文物勘探及保护费</w:t>
            </w:r>
          </w:p>
        </w:tc>
        <w:tc>
          <w:tcPr>
            <w:tcW w:w="1677" w:type="dxa"/>
            <w:tcBorders>
              <w:top w:val="nil"/>
              <w:left w:val="nil"/>
              <w:bottom w:val="single" w:color="auto" w:sz="8" w:space="0"/>
              <w:right w:val="single" w:color="auto" w:sz="8" w:space="0"/>
            </w:tcBorders>
            <w:shd w:val="clear" w:color="000000" w:fill="FFFFFF"/>
            <w:vAlign w:val="center"/>
          </w:tcPr>
          <w:p w14:paraId="2FCA9D74">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1FCF9DA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48AE03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2282A9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5F20A8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9A9121D">
            <w:pPr>
              <w:widowControl/>
              <w:spacing w:line="440" w:lineRule="exact"/>
              <w:textAlignment w:val="center"/>
              <w:rPr>
                <w:color w:val="auto"/>
                <w:sz w:val="21"/>
                <w:szCs w:val="21"/>
                <w:highlight w:val="none"/>
              </w:rPr>
            </w:pPr>
            <w:r>
              <w:rPr>
                <w:color w:val="auto"/>
                <w:kern w:val="0"/>
                <w:sz w:val="21"/>
                <w:szCs w:val="21"/>
                <w:highlight w:val="none"/>
                <w:lang w:bidi="ar"/>
              </w:rPr>
              <w:t>（十）其他前期工作费用</w:t>
            </w:r>
          </w:p>
        </w:tc>
        <w:tc>
          <w:tcPr>
            <w:tcW w:w="1677" w:type="dxa"/>
            <w:tcBorders>
              <w:top w:val="nil"/>
              <w:left w:val="nil"/>
              <w:bottom w:val="single" w:color="auto" w:sz="8" w:space="0"/>
              <w:right w:val="single" w:color="auto" w:sz="8" w:space="0"/>
            </w:tcBorders>
            <w:shd w:val="clear" w:color="000000" w:fill="FFFFFF"/>
            <w:vAlign w:val="center"/>
          </w:tcPr>
          <w:p w14:paraId="5D32EE5A">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55D65328">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6BA44CD">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7A6DC3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F9FC2B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C32C443">
            <w:pPr>
              <w:widowControl/>
              <w:spacing w:line="440" w:lineRule="exact"/>
              <w:textAlignment w:val="center"/>
              <w:rPr>
                <w:color w:val="auto"/>
                <w:sz w:val="21"/>
                <w:szCs w:val="21"/>
                <w:highlight w:val="none"/>
              </w:rPr>
            </w:pPr>
            <w:r>
              <w:rPr>
                <w:color w:val="auto"/>
                <w:kern w:val="0"/>
                <w:sz w:val="21"/>
                <w:szCs w:val="21"/>
                <w:highlight w:val="none"/>
                <w:lang w:bidi="ar"/>
              </w:rPr>
              <w:t>七、研究试验费</w:t>
            </w:r>
          </w:p>
        </w:tc>
        <w:tc>
          <w:tcPr>
            <w:tcW w:w="1677" w:type="dxa"/>
            <w:tcBorders>
              <w:top w:val="nil"/>
              <w:left w:val="nil"/>
              <w:bottom w:val="single" w:color="auto" w:sz="8" w:space="0"/>
              <w:right w:val="single" w:color="auto" w:sz="8" w:space="0"/>
            </w:tcBorders>
            <w:shd w:val="clear" w:color="000000" w:fill="FFFFFF"/>
            <w:vAlign w:val="center"/>
          </w:tcPr>
          <w:p w14:paraId="35A2DC75">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5AD863C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1DEC92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302FB6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84DB3A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AE2D1F7">
            <w:pPr>
              <w:widowControl/>
              <w:spacing w:line="440" w:lineRule="exact"/>
              <w:textAlignment w:val="center"/>
              <w:rPr>
                <w:color w:val="auto"/>
                <w:sz w:val="21"/>
                <w:szCs w:val="21"/>
                <w:highlight w:val="none"/>
              </w:rPr>
            </w:pPr>
            <w:r>
              <w:rPr>
                <w:color w:val="auto"/>
                <w:kern w:val="0"/>
                <w:sz w:val="21"/>
                <w:szCs w:val="21"/>
                <w:highlight w:val="none"/>
                <w:lang w:bidi="ar"/>
              </w:rPr>
              <w:t>八、勘察设计费</w:t>
            </w:r>
          </w:p>
        </w:tc>
        <w:tc>
          <w:tcPr>
            <w:tcW w:w="1677" w:type="dxa"/>
            <w:tcBorders>
              <w:top w:val="nil"/>
              <w:left w:val="nil"/>
              <w:bottom w:val="single" w:color="auto" w:sz="8" w:space="0"/>
              <w:right w:val="single" w:color="auto" w:sz="8" w:space="0"/>
            </w:tcBorders>
            <w:shd w:val="clear" w:color="000000" w:fill="FFFFFF"/>
            <w:vAlign w:val="center"/>
          </w:tcPr>
          <w:p w14:paraId="30A9BC87">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4C8090C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63A8AB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381A66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5E5DD5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3016508">
            <w:pPr>
              <w:widowControl/>
              <w:spacing w:line="440" w:lineRule="exact"/>
              <w:textAlignment w:val="center"/>
              <w:rPr>
                <w:color w:val="auto"/>
                <w:sz w:val="21"/>
                <w:szCs w:val="21"/>
                <w:highlight w:val="none"/>
              </w:rPr>
            </w:pPr>
            <w:r>
              <w:rPr>
                <w:color w:val="auto"/>
                <w:kern w:val="0"/>
                <w:sz w:val="21"/>
                <w:szCs w:val="21"/>
                <w:highlight w:val="none"/>
                <w:lang w:bidi="ar"/>
              </w:rPr>
              <w:t>（一）勘察费</w:t>
            </w:r>
          </w:p>
        </w:tc>
        <w:tc>
          <w:tcPr>
            <w:tcW w:w="1677" w:type="dxa"/>
            <w:tcBorders>
              <w:top w:val="nil"/>
              <w:left w:val="nil"/>
              <w:bottom w:val="single" w:color="auto" w:sz="8" w:space="0"/>
              <w:right w:val="single" w:color="auto" w:sz="8" w:space="0"/>
            </w:tcBorders>
            <w:shd w:val="clear" w:color="000000" w:fill="FFFFFF"/>
            <w:vAlign w:val="center"/>
          </w:tcPr>
          <w:p w14:paraId="5816A34C">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518651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6AD9C6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381016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F61F82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65E6E8A8">
            <w:pPr>
              <w:widowControl/>
              <w:spacing w:line="440" w:lineRule="exact"/>
              <w:textAlignment w:val="center"/>
              <w:rPr>
                <w:color w:val="auto"/>
                <w:sz w:val="21"/>
                <w:szCs w:val="21"/>
                <w:highlight w:val="none"/>
              </w:rPr>
            </w:pPr>
            <w:r>
              <w:rPr>
                <w:color w:val="auto"/>
                <w:kern w:val="0"/>
                <w:sz w:val="21"/>
                <w:szCs w:val="21"/>
                <w:highlight w:val="none"/>
                <w:lang w:bidi="ar"/>
              </w:rPr>
              <w:t>（二）设计费</w:t>
            </w:r>
          </w:p>
        </w:tc>
        <w:tc>
          <w:tcPr>
            <w:tcW w:w="1677" w:type="dxa"/>
            <w:tcBorders>
              <w:top w:val="nil"/>
              <w:left w:val="nil"/>
              <w:bottom w:val="single" w:color="auto" w:sz="8" w:space="0"/>
              <w:right w:val="single" w:color="auto" w:sz="8" w:space="0"/>
            </w:tcBorders>
            <w:shd w:val="clear" w:color="000000" w:fill="FFFFFF"/>
            <w:vAlign w:val="center"/>
          </w:tcPr>
          <w:p w14:paraId="11C101DD">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1B6136A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60A0B9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53BBD1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18E488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AA2DA2A">
            <w:pPr>
              <w:widowControl/>
              <w:spacing w:line="440" w:lineRule="exact"/>
              <w:textAlignment w:val="center"/>
              <w:rPr>
                <w:color w:val="auto"/>
                <w:sz w:val="21"/>
                <w:szCs w:val="21"/>
                <w:highlight w:val="none"/>
              </w:rPr>
            </w:pPr>
            <w:r>
              <w:rPr>
                <w:color w:val="auto"/>
                <w:kern w:val="0"/>
                <w:sz w:val="21"/>
                <w:szCs w:val="21"/>
                <w:highlight w:val="none"/>
                <w:lang w:bidi="ar"/>
              </w:rPr>
              <w:t>九、咨询费</w:t>
            </w:r>
          </w:p>
        </w:tc>
        <w:tc>
          <w:tcPr>
            <w:tcW w:w="1677" w:type="dxa"/>
            <w:tcBorders>
              <w:top w:val="nil"/>
              <w:left w:val="nil"/>
              <w:bottom w:val="single" w:color="auto" w:sz="8" w:space="0"/>
              <w:right w:val="single" w:color="auto" w:sz="8" w:space="0"/>
            </w:tcBorders>
            <w:shd w:val="clear" w:color="000000" w:fill="FFFFFF"/>
            <w:vAlign w:val="center"/>
          </w:tcPr>
          <w:p w14:paraId="50B58871">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036E67D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758754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13CAB4B">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567B8B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0ECF805">
            <w:pPr>
              <w:widowControl/>
              <w:spacing w:line="440" w:lineRule="exact"/>
              <w:textAlignment w:val="center"/>
              <w:rPr>
                <w:color w:val="auto"/>
                <w:sz w:val="21"/>
                <w:szCs w:val="21"/>
                <w:highlight w:val="none"/>
              </w:rPr>
            </w:pPr>
            <w:r>
              <w:rPr>
                <w:color w:val="auto"/>
                <w:kern w:val="0"/>
                <w:sz w:val="21"/>
                <w:szCs w:val="21"/>
                <w:highlight w:val="none"/>
                <w:lang w:bidi="ar"/>
              </w:rPr>
              <w:t>（一）设计咨询费</w:t>
            </w:r>
          </w:p>
        </w:tc>
        <w:tc>
          <w:tcPr>
            <w:tcW w:w="1677" w:type="dxa"/>
            <w:tcBorders>
              <w:top w:val="nil"/>
              <w:left w:val="nil"/>
              <w:bottom w:val="single" w:color="auto" w:sz="8" w:space="0"/>
              <w:right w:val="single" w:color="auto" w:sz="8" w:space="0"/>
            </w:tcBorders>
            <w:shd w:val="clear" w:color="000000" w:fill="FFFFFF"/>
            <w:vAlign w:val="center"/>
          </w:tcPr>
          <w:p w14:paraId="7BFA992B">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14ADBA3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9E5C96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4A9743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3F87B57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85B910E">
            <w:pPr>
              <w:widowControl/>
              <w:spacing w:line="440" w:lineRule="exact"/>
              <w:textAlignment w:val="center"/>
              <w:rPr>
                <w:color w:val="auto"/>
                <w:sz w:val="21"/>
                <w:szCs w:val="21"/>
                <w:highlight w:val="none"/>
              </w:rPr>
            </w:pPr>
            <w:r>
              <w:rPr>
                <w:color w:val="auto"/>
                <w:kern w:val="0"/>
                <w:sz w:val="21"/>
                <w:szCs w:val="21"/>
                <w:highlight w:val="none"/>
                <w:lang w:bidi="ar"/>
              </w:rPr>
              <w:t>（二）工程造价咨询费</w:t>
            </w:r>
          </w:p>
        </w:tc>
        <w:tc>
          <w:tcPr>
            <w:tcW w:w="1677" w:type="dxa"/>
            <w:tcBorders>
              <w:top w:val="nil"/>
              <w:left w:val="nil"/>
              <w:bottom w:val="single" w:color="auto" w:sz="8" w:space="0"/>
              <w:right w:val="single" w:color="auto" w:sz="8" w:space="0"/>
            </w:tcBorders>
            <w:shd w:val="clear" w:color="000000" w:fill="FFFFFF"/>
            <w:vAlign w:val="center"/>
          </w:tcPr>
          <w:p w14:paraId="071EAA5D">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2DED3D7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352B1AB">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B45EF5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1D26239">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8259C6E">
            <w:pPr>
              <w:widowControl/>
              <w:spacing w:line="440" w:lineRule="exact"/>
              <w:textAlignment w:val="center"/>
              <w:rPr>
                <w:color w:val="auto"/>
                <w:sz w:val="21"/>
                <w:szCs w:val="21"/>
                <w:highlight w:val="none"/>
              </w:rPr>
            </w:pPr>
            <w:r>
              <w:rPr>
                <w:color w:val="auto"/>
                <w:kern w:val="0"/>
                <w:sz w:val="21"/>
                <w:szCs w:val="21"/>
                <w:highlight w:val="none"/>
                <w:lang w:bidi="ar"/>
              </w:rPr>
              <w:t>（三）其他咨询费</w:t>
            </w:r>
          </w:p>
        </w:tc>
        <w:tc>
          <w:tcPr>
            <w:tcW w:w="1677" w:type="dxa"/>
            <w:tcBorders>
              <w:top w:val="nil"/>
              <w:left w:val="nil"/>
              <w:bottom w:val="single" w:color="auto" w:sz="8" w:space="0"/>
              <w:right w:val="single" w:color="auto" w:sz="8" w:space="0"/>
            </w:tcBorders>
            <w:shd w:val="clear" w:color="000000" w:fill="FFFFFF"/>
            <w:vAlign w:val="center"/>
          </w:tcPr>
          <w:p w14:paraId="6C9F11D4">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4E1DC24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B1DD48C">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75CE070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81B0B9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D0D4264">
            <w:pPr>
              <w:widowControl/>
              <w:spacing w:line="440" w:lineRule="exact"/>
              <w:textAlignment w:val="center"/>
              <w:rPr>
                <w:color w:val="auto"/>
                <w:sz w:val="21"/>
                <w:szCs w:val="21"/>
                <w:highlight w:val="none"/>
              </w:rPr>
            </w:pPr>
            <w:r>
              <w:rPr>
                <w:color w:val="auto"/>
                <w:kern w:val="0"/>
                <w:sz w:val="21"/>
                <w:szCs w:val="21"/>
                <w:highlight w:val="none"/>
                <w:lang w:bidi="ar"/>
              </w:rPr>
              <w:t>十、引进技术和设备其他费</w:t>
            </w:r>
          </w:p>
        </w:tc>
        <w:tc>
          <w:tcPr>
            <w:tcW w:w="1677" w:type="dxa"/>
            <w:tcBorders>
              <w:top w:val="nil"/>
              <w:left w:val="nil"/>
              <w:bottom w:val="single" w:color="auto" w:sz="8" w:space="0"/>
              <w:right w:val="single" w:color="auto" w:sz="8" w:space="0"/>
            </w:tcBorders>
            <w:shd w:val="clear" w:color="000000" w:fill="FFFFFF"/>
            <w:vAlign w:val="center"/>
          </w:tcPr>
          <w:p w14:paraId="1DBF7F51">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5C43DBBF">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928CFC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8CEC7C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DD38F3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79AF5CE">
            <w:pPr>
              <w:widowControl/>
              <w:spacing w:line="440" w:lineRule="exact"/>
              <w:textAlignment w:val="center"/>
              <w:rPr>
                <w:color w:val="auto"/>
                <w:sz w:val="21"/>
                <w:szCs w:val="21"/>
                <w:highlight w:val="none"/>
              </w:rPr>
            </w:pPr>
            <w:r>
              <w:rPr>
                <w:color w:val="auto"/>
                <w:kern w:val="0"/>
                <w:sz w:val="21"/>
                <w:szCs w:val="21"/>
                <w:highlight w:val="none"/>
                <w:lang w:bidi="ar"/>
              </w:rPr>
              <w:t>十一、综合联调及试运行费</w:t>
            </w:r>
          </w:p>
        </w:tc>
        <w:tc>
          <w:tcPr>
            <w:tcW w:w="1677" w:type="dxa"/>
            <w:tcBorders>
              <w:top w:val="nil"/>
              <w:left w:val="nil"/>
              <w:bottom w:val="single" w:color="auto" w:sz="8" w:space="0"/>
              <w:right w:val="single" w:color="auto" w:sz="8" w:space="0"/>
            </w:tcBorders>
            <w:shd w:val="clear" w:color="000000" w:fill="FFFFFF"/>
            <w:vAlign w:val="center"/>
          </w:tcPr>
          <w:p w14:paraId="69A38928">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1A66DCE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656B9C5">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712C13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90D567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5D52D22">
            <w:pPr>
              <w:widowControl/>
              <w:spacing w:line="440" w:lineRule="exact"/>
              <w:textAlignment w:val="center"/>
              <w:rPr>
                <w:color w:val="auto"/>
                <w:sz w:val="21"/>
                <w:szCs w:val="21"/>
                <w:highlight w:val="none"/>
              </w:rPr>
            </w:pPr>
            <w:r>
              <w:rPr>
                <w:color w:val="auto"/>
                <w:kern w:val="0"/>
                <w:sz w:val="21"/>
                <w:szCs w:val="21"/>
                <w:highlight w:val="none"/>
                <w:lang w:bidi="ar"/>
              </w:rPr>
              <w:t>（一）综合联调费</w:t>
            </w:r>
          </w:p>
        </w:tc>
        <w:tc>
          <w:tcPr>
            <w:tcW w:w="1677" w:type="dxa"/>
            <w:tcBorders>
              <w:top w:val="nil"/>
              <w:left w:val="nil"/>
              <w:bottom w:val="single" w:color="auto" w:sz="8" w:space="0"/>
              <w:right w:val="single" w:color="auto" w:sz="8" w:space="0"/>
            </w:tcBorders>
            <w:shd w:val="clear" w:color="000000" w:fill="FFFFFF"/>
            <w:vAlign w:val="center"/>
          </w:tcPr>
          <w:p w14:paraId="606D4A06">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28A1042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23ADDA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F468FD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72BC03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2B9D9FF9">
            <w:pPr>
              <w:widowControl/>
              <w:spacing w:line="440" w:lineRule="exact"/>
              <w:textAlignment w:val="center"/>
              <w:rPr>
                <w:color w:val="auto"/>
                <w:sz w:val="21"/>
                <w:szCs w:val="21"/>
                <w:highlight w:val="none"/>
              </w:rPr>
            </w:pPr>
            <w:r>
              <w:rPr>
                <w:color w:val="auto"/>
                <w:kern w:val="0"/>
                <w:sz w:val="21"/>
                <w:szCs w:val="21"/>
                <w:highlight w:val="none"/>
                <w:lang w:bidi="ar"/>
              </w:rPr>
              <w:t>（二）试运行费</w:t>
            </w:r>
          </w:p>
        </w:tc>
        <w:tc>
          <w:tcPr>
            <w:tcW w:w="1677" w:type="dxa"/>
            <w:tcBorders>
              <w:top w:val="nil"/>
              <w:left w:val="nil"/>
              <w:bottom w:val="single" w:color="auto" w:sz="8" w:space="0"/>
              <w:right w:val="single" w:color="auto" w:sz="8" w:space="0"/>
            </w:tcBorders>
            <w:shd w:val="clear" w:color="000000" w:fill="FFFFFF"/>
            <w:vAlign w:val="center"/>
          </w:tcPr>
          <w:p w14:paraId="09992062">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0B2814A4">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1770ED13">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A6EAEA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73D1C08">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47485ED">
            <w:pPr>
              <w:widowControl/>
              <w:spacing w:line="440" w:lineRule="exact"/>
              <w:textAlignment w:val="center"/>
              <w:rPr>
                <w:color w:val="auto"/>
                <w:sz w:val="21"/>
                <w:szCs w:val="21"/>
                <w:highlight w:val="none"/>
              </w:rPr>
            </w:pPr>
            <w:r>
              <w:rPr>
                <w:color w:val="auto"/>
                <w:kern w:val="0"/>
                <w:sz w:val="21"/>
                <w:szCs w:val="21"/>
                <w:highlight w:val="none"/>
                <w:lang w:bidi="ar"/>
              </w:rPr>
              <w:t>十二、专利及专有技术使用费</w:t>
            </w:r>
          </w:p>
        </w:tc>
        <w:tc>
          <w:tcPr>
            <w:tcW w:w="1677" w:type="dxa"/>
            <w:tcBorders>
              <w:top w:val="nil"/>
              <w:left w:val="nil"/>
              <w:bottom w:val="single" w:color="auto" w:sz="8" w:space="0"/>
              <w:right w:val="single" w:color="auto" w:sz="8" w:space="0"/>
            </w:tcBorders>
            <w:shd w:val="clear" w:color="000000" w:fill="FFFFFF"/>
            <w:vAlign w:val="center"/>
          </w:tcPr>
          <w:p w14:paraId="69F3AF78">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07F10C8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A8206DE">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391E6B2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853B39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F17146C">
            <w:pPr>
              <w:widowControl/>
              <w:spacing w:line="440" w:lineRule="exact"/>
              <w:textAlignment w:val="center"/>
              <w:rPr>
                <w:color w:val="auto"/>
                <w:sz w:val="21"/>
                <w:szCs w:val="21"/>
                <w:highlight w:val="none"/>
              </w:rPr>
            </w:pPr>
            <w:r>
              <w:rPr>
                <w:color w:val="auto"/>
                <w:kern w:val="0"/>
                <w:sz w:val="21"/>
                <w:szCs w:val="21"/>
                <w:highlight w:val="none"/>
                <w:lang w:bidi="ar"/>
              </w:rPr>
              <w:t>十三、生产准备及开办费</w:t>
            </w:r>
          </w:p>
        </w:tc>
        <w:tc>
          <w:tcPr>
            <w:tcW w:w="1677" w:type="dxa"/>
            <w:tcBorders>
              <w:top w:val="nil"/>
              <w:left w:val="nil"/>
              <w:bottom w:val="single" w:color="auto" w:sz="8" w:space="0"/>
              <w:right w:val="single" w:color="auto" w:sz="8" w:space="0"/>
            </w:tcBorders>
            <w:shd w:val="clear" w:color="000000" w:fill="FFFFFF"/>
            <w:vAlign w:val="center"/>
          </w:tcPr>
          <w:p w14:paraId="74FE1BDC">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7AB76BF6">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1B85212">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F73DAC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29B91E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72253458">
            <w:pPr>
              <w:widowControl/>
              <w:spacing w:line="440" w:lineRule="exact"/>
              <w:textAlignment w:val="center"/>
              <w:rPr>
                <w:color w:val="auto"/>
                <w:sz w:val="21"/>
                <w:szCs w:val="21"/>
                <w:highlight w:val="none"/>
              </w:rPr>
            </w:pPr>
            <w:r>
              <w:rPr>
                <w:color w:val="auto"/>
                <w:kern w:val="0"/>
                <w:sz w:val="21"/>
                <w:szCs w:val="21"/>
                <w:highlight w:val="none"/>
                <w:lang w:bidi="ar"/>
              </w:rPr>
              <w:t>（一）生产职工培训费</w:t>
            </w:r>
          </w:p>
        </w:tc>
        <w:tc>
          <w:tcPr>
            <w:tcW w:w="1677" w:type="dxa"/>
            <w:tcBorders>
              <w:top w:val="nil"/>
              <w:left w:val="nil"/>
              <w:bottom w:val="single" w:color="auto" w:sz="8" w:space="0"/>
              <w:right w:val="single" w:color="auto" w:sz="8" w:space="0"/>
            </w:tcBorders>
            <w:shd w:val="clear" w:color="000000" w:fill="FFFFFF"/>
            <w:vAlign w:val="center"/>
          </w:tcPr>
          <w:p w14:paraId="4F176649">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01069C3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7FD2E56">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2DE6E3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EBD569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603AD33">
            <w:pPr>
              <w:widowControl/>
              <w:spacing w:line="440" w:lineRule="exact"/>
              <w:textAlignment w:val="center"/>
              <w:rPr>
                <w:color w:val="auto"/>
                <w:sz w:val="21"/>
                <w:szCs w:val="21"/>
                <w:highlight w:val="none"/>
              </w:rPr>
            </w:pPr>
            <w:r>
              <w:rPr>
                <w:color w:val="auto"/>
                <w:kern w:val="0"/>
                <w:sz w:val="21"/>
                <w:szCs w:val="21"/>
                <w:highlight w:val="none"/>
                <w:lang w:bidi="ar"/>
              </w:rPr>
              <w:t>（二）生产办公和生活家具用具购置费</w:t>
            </w:r>
          </w:p>
        </w:tc>
        <w:tc>
          <w:tcPr>
            <w:tcW w:w="1677" w:type="dxa"/>
            <w:tcBorders>
              <w:top w:val="nil"/>
              <w:left w:val="nil"/>
              <w:bottom w:val="single" w:color="auto" w:sz="8" w:space="0"/>
              <w:right w:val="single" w:color="auto" w:sz="8" w:space="0"/>
            </w:tcBorders>
            <w:shd w:val="clear" w:color="000000" w:fill="FFFFFF"/>
            <w:vAlign w:val="center"/>
          </w:tcPr>
          <w:p w14:paraId="1F379E62">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4CA78061">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94EBD69">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0146D4E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7386072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D44FCCC">
            <w:pPr>
              <w:widowControl/>
              <w:spacing w:line="440" w:lineRule="exact"/>
              <w:textAlignment w:val="center"/>
              <w:rPr>
                <w:color w:val="auto"/>
                <w:sz w:val="21"/>
                <w:szCs w:val="21"/>
                <w:highlight w:val="none"/>
              </w:rPr>
            </w:pPr>
            <w:r>
              <w:rPr>
                <w:color w:val="auto"/>
                <w:kern w:val="0"/>
                <w:sz w:val="21"/>
                <w:szCs w:val="21"/>
                <w:highlight w:val="none"/>
                <w:lang w:bidi="ar"/>
              </w:rPr>
              <w:t>（三）工器具购置费</w:t>
            </w:r>
          </w:p>
        </w:tc>
        <w:tc>
          <w:tcPr>
            <w:tcW w:w="1677" w:type="dxa"/>
            <w:tcBorders>
              <w:top w:val="nil"/>
              <w:left w:val="nil"/>
              <w:bottom w:val="single" w:color="auto" w:sz="8" w:space="0"/>
              <w:right w:val="single" w:color="auto" w:sz="8" w:space="0"/>
            </w:tcBorders>
            <w:shd w:val="clear" w:color="000000" w:fill="FFFFFF"/>
            <w:vAlign w:val="center"/>
          </w:tcPr>
          <w:p w14:paraId="00859839">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4DB63834">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AFB7E27">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D8DF20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60D01B45">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8A09CE4">
            <w:pPr>
              <w:widowControl/>
              <w:spacing w:line="440" w:lineRule="exact"/>
              <w:textAlignment w:val="center"/>
              <w:rPr>
                <w:color w:val="auto"/>
                <w:sz w:val="21"/>
                <w:szCs w:val="21"/>
                <w:highlight w:val="none"/>
              </w:rPr>
            </w:pPr>
            <w:r>
              <w:rPr>
                <w:color w:val="auto"/>
                <w:kern w:val="0"/>
                <w:sz w:val="21"/>
                <w:szCs w:val="21"/>
                <w:highlight w:val="none"/>
                <w:lang w:bidi="ar"/>
              </w:rPr>
              <w:t>十四、工程保险费</w:t>
            </w:r>
          </w:p>
        </w:tc>
        <w:tc>
          <w:tcPr>
            <w:tcW w:w="1677" w:type="dxa"/>
            <w:tcBorders>
              <w:top w:val="nil"/>
              <w:left w:val="nil"/>
              <w:bottom w:val="single" w:color="auto" w:sz="8" w:space="0"/>
              <w:right w:val="single" w:color="auto" w:sz="8" w:space="0"/>
            </w:tcBorders>
            <w:shd w:val="clear" w:color="000000" w:fill="FFFFFF"/>
            <w:vAlign w:val="center"/>
          </w:tcPr>
          <w:p w14:paraId="6065B166">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0CE3073B">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6A56F1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1FAD2CD">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B1F5F4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3FD226F8">
            <w:pPr>
              <w:widowControl/>
              <w:spacing w:line="440" w:lineRule="exact"/>
              <w:textAlignment w:val="center"/>
              <w:rPr>
                <w:color w:val="auto"/>
                <w:sz w:val="21"/>
                <w:szCs w:val="21"/>
                <w:highlight w:val="none"/>
              </w:rPr>
            </w:pPr>
            <w:r>
              <w:rPr>
                <w:color w:val="auto"/>
                <w:kern w:val="0"/>
                <w:sz w:val="21"/>
                <w:szCs w:val="21"/>
                <w:highlight w:val="none"/>
                <w:lang w:bidi="ar"/>
              </w:rPr>
              <w:t>十五、特殊设备安全监督检验费</w:t>
            </w:r>
          </w:p>
        </w:tc>
        <w:tc>
          <w:tcPr>
            <w:tcW w:w="1677" w:type="dxa"/>
            <w:tcBorders>
              <w:top w:val="nil"/>
              <w:left w:val="nil"/>
              <w:bottom w:val="single" w:color="auto" w:sz="8" w:space="0"/>
              <w:right w:val="single" w:color="auto" w:sz="8" w:space="0"/>
            </w:tcBorders>
            <w:shd w:val="clear" w:color="000000" w:fill="FFFFFF"/>
            <w:vAlign w:val="center"/>
          </w:tcPr>
          <w:p w14:paraId="137AF774">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643484ED">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2021454">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88095B1">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05ECF792">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1B56C568">
            <w:pPr>
              <w:widowControl/>
              <w:spacing w:line="440" w:lineRule="exact"/>
              <w:textAlignment w:val="center"/>
              <w:rPr>
                <w:color w:val="auto"/>
                <w:sz w:val="21"/>
                <w:szCs w:val="21"/>
                <w:highlight w:val="none"/>
              </w:rPr>
            </w:pPr>
            <w:r>
              <w:rPr>
                <w:color w:val="auto"/>
                <w:kern w:val="0"/>
                <w:sz w:val="21"/>
                <w:szCs w:val="21"/>
                <w:highlight w:val="none"/>
                <w:lang w:bidi="ar"/>
              </w:rPr>
              <w:t>十六、安全生产保障费</w:t>
            </w:r>
          </w:p>
        </w:tc>
        <w:tc>
          <w:tcPr>
            <w:tcW w:w="1677" w:type="dxa"/>
            <w:tcBorders>
              <w:top w:val="nil"/>
              <w:left w:val="nil"/>
              <w:bottom w:val="single" w:color="auto" w:sz="8" w:space="0"/>
              <w:right w:val="single" w:color="auto" w:sz="8" w:space="0"/>
            </w:tcBorders>
            <w:shd w:val="clear" w:color="000000" w:fill="FFFFFF"/>
            <w:vAlign w:val="center"/>
          </w:tcPr>
          <w:p w14:paraId="5A04C0EA">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1DD9CC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DF267D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6A617906">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247E94D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5FD3987B">
            <w:pPr>
              <w:widowControl/>
              <w:spacing w:line="440" w:lineRule="exact"/>
              <w:textAlignment w:val="center"/>
              <w:rPr>
                <w:color w:val="auto"/>
                <w:sz w:val="21"/>
                <w:szCs w:val="21"/>
                <w:highlight w:val="none"/>
              </w:rPr>
            </w:pPr>
            <w:r>
              <w:rPr>
                <w:color w:val="auto"/>
                <w:kern w:val="0"/>
                <w:sz w:val="21"/>
                <w:szCs w:val="21"/>
                <w:highlight w:val="none"/>
                <w:lang w:bidi="ar"/>
              </w:rPr>
              <w:t>十七、建筑信息模型（BIM）技术服务费</w:t>
            </w:r>
          </w:p>
        </w:tc>
        <w:tc>
          <w:tcPr>
            <w:tcW w:w="1677" w:type="dxa"/>
            <w:tcBorders>
              <w:top w:val="nil"/>
              <w:left w:val="nil"/>
              <w:bottom w:val="single" w:color="auto" w:sz="8" w:space="0"/>
              <w:right w:val="single" w:color="auto" w:sz="8" w:space="0"/>
            </w:tcBorders>
            <w:shd w:val="clear" w:color="000000" w:fill="FFFFFF"/>
            <w:vAlign w:val="center"/>
          </w:tcPr>
          <w:p w14:paraId="780917CC">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26732F17">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812F610">
        <w:tblPrEx>
          <w:tblCellMar>
            <w:top w:w="0" w:type="dxa"/>
            <w:left w:w="108" w:type="dxa"/>
            <w:bottom w:w="0" w:type="dxa"/>
            <w:right w:w="108" w:type="dxa"/>
          </w:tblCellMar>
        </w:tblPrEx>
        <w:trPr>
          <w:trHeight w:val="23" w:hRule="atLeast"/>
          <w:jc w:val="center"/>
        </w:trPr>
        <w:tc>
          <w:tcPr>
            <w:tcW w:w="687" w:type="dxa"/>
            <w:tcBorders>
              <w:top w:val="single" w:color="auto" w:sz="8" w:space="0"/>
              <w:left w:val="single" w:color="auto" w:sz="8" w:space="0"/>
              <w:bottom w:val="single" w:color="auto" w:sz="8" w:space="0"/>
              <w:right w:val="single" w:color="000000" w:sz="8" w:space="0"/>
            </w:tcBorders>
            <w:shd w:val="clear" w:color="000000" w:fill="FFFFFF"/>
            <w:vAlign w:val="center"/>
          </w:tcPr>
          <w:p w14:paraId="54C8A33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single" w:color="auto" w:sz="8" w:space="0"/>
              <w:left w:val="single" w:color="auto" w:sz="8" w:space="0"/>
              <w:bottom w:val="single" w:color="auto" w:sz="8" w:space="0"/>
              <w:right w:val="single" w:color="000000" w:sz="8" w:space="0"/>
            </w:tcBorders>
            <w:shd w:val="clear" w:color="000000" w:fill="FFFFFF"/>
            <w:vAlign w:val="center"/>
          </w:tcPr>
          <w:p w14:paraId="51464717">
            <w:pPr>
              <w:widowControl/>
              <w:spacing w:line="440" w:lineRule="exact"/>
              <w:jc w:val="center"/>
              <w:textAlignment w:val="center"/>
              <w:rPr>
                <w:color w:val="auto"/>
                <w:highlight w:val="none"/>
              </w:rPr>
            </w:pPr>
            <w:r>
              <w:rPr>
                <w:color w:val="auto"/>
                <w:kern w:val="0"/>
                <w:sz w:val="21"/>
                <w:szCs w:val="21"/>
                <w:highlight w:val="none"/>
                <w:lang w:bidi="ar"/>
              </w:rPr>
              <w:t>　</w:t>
            </w:r>
          </w:p>
        </w:tc>
        <w:tc>
          <w:tcPr>
            <w:tcW w:w="3816" w:type="dxa"/>
            <w:tcBorders>
              <w:top w:val="single" w:color="auto" w:sz="8" w:space="0"/>
              <w:left w:val="single" w:color="auto" w:sz="8" w:space="0"/>
              <w:bottom w:val="single" w:color="auto" w:sz="8" w:space="0"/>
              <w:right w:val="single" w:color="000000" w:sz="8" w:space="0"/>
            </w:tcBorders>
            <w:shd w:val="clear" w:color="000000" w:fill="FFFFFF"/>
            <w:vAlign w:val="center"/>
          </w:tcPr>
          <w:p w14:paraId="62A9712C">
            <w:pPr>
              <w:widowControl/>
              <w:spacing w:line="440" w:lineRule="exact"/>
              <w:textAlignment w:val="center"/>
              <w:rPr>
                <w:color w:val="auto"/>
                <w:highlight w:val="none"/>
              </w:rPr>
            </w:pPr>
            <w:r>
              <w:rPr>
                <w:color w:val="auto"/>
                <w:kern w:val="0"/>
                <w:sz w:val="21"/>
                <w:szCs w:val="21"/>
                <w:highlight w:val="none"/>
                <w:lang w:bidi="ar"/>
              </w:rPr>
              <w:t>十八、工程配合协调费</w:t>
            </w:r>
          </w:p>
        </w:tc>
        <w:tc>
          <w:tcPr>
            <w:tcW w:w="1677" w:type="dxa"/>
            <w:tcBorders>
              <w:top w:val="nil"/>
              <w:left w:val="nil"/>
              <w:bottom w:val="single" w:color="auto" w:sz="8" w:space="0"/>
              <w:right w:val="single" w:color="auto" w:sz="8" w:space="0"/>
            </w:tcBorders>
            <w:shd w:val="clear" w:color="000000" w:fill="FFFFFF"/>
            <w:vAlign w:val="center"/>
          </w:tcPr>
          <w:p w14:paraId="4D45F678">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2033121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0992696">
        <w:tblPrEx>
          <w:tblCellMar>
            <w:top w:w="0" w:type="dxa"/>
            <w:left w:w="108" w:type="dxa"/>
            <w:bottom w:w="0" w:type="dxa"/>
            <w:right w:w="108" w:type="dxa"/>
          </w:tblCellMar>
        </w:tblPrEx>
        <w:trPr>
          <w:trHeight w:val="23" w:hRule="atLeast"/>
          <w:jc w:val="center"/>
        </w:trPr>
        <w:tc>
          <w:tcPr>
            <w:tcW w:w="687" w:type="dxa"/>
            <w:tcBorders>
              <w:top w:val="single" w:color="auto" w:sz="8" w:space="0"/>
              <w:left w:val="single" w:color="auto" w:sz="8" w:space="0"/>
              <w:bottom w:val="single" w:color="auto" w:sz="8" w:space="0"/>
              <w:right w:val="single" w:color="000000" w:sz="8" w:space="0"/>
            </w:tcBorders>
            <w:shd w:val="clear" w:color="000000" w:fill="FFFFFF"/>
            <w:vAlign w:val="center"/>
          </w:tcPr>
          <w:p w14:paraId="2EEA238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single" w:color="auto" w:sz="8" w:space="0"/>
              <w:left w:val="single" w:color="auto" w:sz="8" w:space="0"/>
              <w:bottom w:val="single" w:color="auto" w:sz="8" w:space="0"/>
              <w:right w:val="single" w:color="000000" w:sz="8" w:space="0"/>
            </w:tcBorders>
            <w:shd w:val="clear" w:color="000000" w:fill="FFFFFF"/>
            <w:vAlign w:val="center"/>
          </w:tcPr>
          <w:p w14:paraId="7231BE7E">
            <w:pPr>
              <w:widowControl/>
              <w:spacing w:line="440" w:lineRule="exact"/>
              <w:jc w:val="center"/>
              <w:textAlignment w:val="center"/>
              <w:rPr>
                <w:color w:val="auto"/>
                <w:highlight w:val="none"/>
              </w:rPr>
            </w:pPr>
            <w:r>
              <w:rPr>
                <w:color w:val="auto"/>
                <w:kern w:val="0"/>
                <w:sz w:val="21"/>
                <w:szCs w:val="21"/>
                <w:highlight w:val="none"/>
                <w:lang w:bidi="ar"/>
              </w:rPr>
              <w:t>　</w:t>
            </w:r>
          </w:p>
        </w:tc>
        <w:tc>
          <w:tcPr>
            <w:tcW w:w="3816" w:type="dxa"/>
            <w:tcBorders>
              <w:top w:val="single" w:color="auto" w:sz="8" w:space="0"/>
              <w:left w:val="single" w:color="auto" w:sz="8" w:space="0"/>
              <w:bottom w:val="single" w:color="auto" w:sz="8" w:space="0"/>
              <w:right w:val="single" w:color="000000" w:sz="8" w:space="0"/>
            </w:tcBorders>
            <w:shd w:val="clear" w:color="000000" w:fill="FFFFFF"/>
            <w:vAlign w:val="center"/>
          </w:tcPr>
          <w:p w14:paraId="04354E91">
            <w:pPr>
              <w:widowControl/>
              <w:spacing w:line="440" w:lineRule="exact"/>
              <w:textAlignment w:val="center"/>
              <w:rPr>
                <w:color w:val="auto"/>
                <w:highlight w:val="none"/>
              </w:rPr>
            </w:pPr>
            <w:r>
              <w:rPr>
                <w:color w:val="auto"/>
                <w:kern w:val="0"/>
                <w:sz w:val="21"/>
                <w:szCs w:val="21"/>
                <w:highlight w:val="none"/>
                <w:lang w:bidi="ar"/>
              </w:rPr>
              <w:t>十九、配合辅助工程费</w:t>
            </w:r>
          </w:p>
        </w:tc>
        <w:tc>
          <w:tcPr>
            <w:tcW w:w="1677" w:type="dxa"/>
            <w:tcBorders>
              <w:top w:val="nil"/>
              <w:left w:val="nil"/>
              <w:bottom w:val="single" w:color="auto" w:sz="8" w:space="0"/>
              <w:right w:val="single" w:color="auto" w:sz="8" w:space="0"/>
            </w:tcBorders>
            <w:shd w:val="clear" w:color="000000" w:fill="FFFFFF"/>
            <w:vAlign w:val="center"/>
          </w:tcPr>
          <w:p w14:paraId="33A7FF5A">
            <w:pPr>
              <w:widowControl/>
              <w:spacing w:line="440" w:lineRule="exact"/>
              <w:jc w:val="center"/>
              <w:textAlignment w:val="center"/>
              <w:rPr>
                <w:color w:val="auto"/>
                <w:sz w:val="21"/>
                <w:szCs w:val="21"/>
                <w:highlight w:val="none"/>
              </w:rPr>
            </w:pPr>
            <w:r>
              <w:rPr>
                <w:color w:val="auto"/>
                <w:kern w:val="0"/>
                <w:sz w:val="21"/>
                <w:szCs w:val="21"/>
                <w:highlight w:val="none"/>
                <w:lang w:bidi="ar"/>
              </w:rPr>
              <w:t>万元　</w:t>
            </w:r>
          </w:p>
        </w:tc>
        <w:tc>
          <w:tcPr>
            <w:tcW w:w="6704" w:type="dxa"/>
            <w:tcBorders>
              <w:top w:val="nil"/>
              <w:left w:val="nil"/>
              <w:bottom w:val="single" w:color="auto" w:sz="8" w:space="0"/>
              <w:right w:val="single" w:color="auto" w:sz="8" w:space="0"/>
            </w:tcBorders>
            <w:shd w:val="clear" w:color="000000" w:fill="FFFFFF"/>
            <w:vAlign w:val="center"/>
          </w:tcPr>
          <w:p w14:paraId="0E21D342">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0327DD40">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5C8898BF">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572CF524">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4D72A13">
            <w:pPr>
              <w:widowControl/>
              <w:spacing w:line="440" w:lineRule="exact"/>
              <w:textAlignment w:val="center"/>
              <w:rPr>
                <w:color w:val="auto"/>
                <w:sz w:val="21"/>
                <w:szCs w:val="21"/>
                <w:highlight w:val="none"/>
              </w:rPr>
            </w:pPr>
            <w:r>
              <w:rPr>
                <w:color w:val="auto"/>
                <w:kern w:val="0"/>
                <w:sz w:val="21"/>
                <w:szCs w:val="21"/>
                <w:highlight w:val="none"/>
                <w:lang w:bidi="ar"/>
              </w:rPr>
              <w:t>二十、其他</w:t>
            </w:r>
          </w:p>
        </w:tc>
        <w:tc>
          <w:tcPr>
            <w:tcW w:w="1677" w:type="dxa"/>
            <w:tcBorders>
              <w:top w:val="nil"/>
              <w:left w:val="nil"/>
              <w:bottom w:val="single" w:color="auto" w:sz="8" w:space="0"/>
              <w:right w:val="single" w:color="auto" w:sz="8" w:space="0"/>
            </w:tcBorders>
            <w:shd w:val="clear" w:color="000000" w:fill="FFFFFF"/>
            <w:vAlign w:val="center"/>
          </w:tcPr>
          <w:p w14:paraId="3BF01721">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3C130E19">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67114080">
        <w:tblPrEx>
          <w:tblCellMar>
            <w:top w:w="0" w:type="dxa"/>
            <w:left w:w="108" w:type="dxa"/>
            <w:bottom w:w="0" w:type="dxa"/>
            <w:right w:w="108" w:type="dxa"/>
          </w:tblCellMar>
        </w:tblPrEx>
        <w:trPr>
          <w:trHeight w:val="23" w:hRule="atLeast"/>
          <w:jc w:val="center"/>
        </w:trPr>
        <w:tc>
          <w:tcPr>
            <w:tcW w:w="5207" w:type="dxa"/>
            <w:gridSpan w:val="3"/>
            <w:tcBorders>
              <w:top w:val="nil"/>
              <w:left w:val="single" w:color="auto" w:sz="8" w:space="0"/>
              <w:bottom w:val="single" w:color="auto" w:sz="8" w:space="0"/>
              <w:right w:val="single" w:color="auto" w:sz="8" w:space="0"/>
            </w:tcBorders>
            <w:shd w:val="clear" w:color="000000" w:fill="FFFFFF"/>
            <w:vAlign w:val="center"/>
          </w:tcPr>
          <w:p w14:paraId="69C0D15C">
            <w:pPr>
              <w:widowControl/>
              <w:spacing w:line="440" w:lineRule="exact"/>
              <w:jc w:val="center"/>
              <w:textAlignment w:val="center"/>
              <w:rPr>
                <w:color w:val="auto"/>
                <w:sz w:val="21"/>
                <w:szCs w:val="21"/>
                <w:highlight w:val="none"/>
              </w:rPr>
            </w:pPr>
            <w:r>
              <w:rPr>
                <w:color w:val="auto"/>
                <w:kern w:val="0"/>
                <w:sz w:val="21"/>
                <w:szCs w:val="21"/>
                <w:highlight w:val="none"/>
                <w:lang w:bidi="ar"/>
              </w:rPr>
              <w:t>以上各章合计</w:t>
            </w:r>
          </w:p>
        </w:tc>
        <w:tc>
          <w:tcPr>
            <w:tcW w:w="1677" w:type="dxa"/>
            <w:tcBorders>
              <w:top w:val="nil"/>
              <w:left w:val="nil"/>
              <w:bottom w:val="single" w:color="auto" w:sz="8" w:space="0"/>
              <w:right w:val="single" w:color="auto" w:sz="8" w:space="0"/>
            </w:tcBorders>
            <w:shd w:val="clear" w:color="000000" w:fill="FFFFFF"/>
            <w:vAlign w:val="center"/>
          </w:tcPr>
          <w:p w14:paraId="743D010A">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57A0B2FE">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AE82E99">
        <w:tblPrEx>
          <w:tblCellMar>
            <w:top w:w="0" w:type="dxa"/>
            <w:left w:w="108" w:type="dxa"/>
            <w:bottom w:w="0" w:type="dxa"/>
            <w:right w:w="108" w:type="dxa"/>
          </w:tblCellMar>
        </w:tblPrEx>
        <w:trPr>
          <w:trHeight w:val="23" w:hRule="atLeast"/>
          <w:jc w:val="center"/>
        </w:trPr>
        <w:tc>
          <w:tcPr>
            <w:tcW w:w="5207" w:type="dxa"/>
            <w:gridSpan w:val="3"/>
            <w:tcBorders>
              <w:top w:val="nil"/>
              <w:left w:val="single" w:color="auto" w:sz="8" w:space="0"/>
              <w:bottom w:val="single" w:color="auto" w:sz="8" w:space="0"/>
              <w:right w:val="single" w:color="auto" w:sz="8" w:space="0"/>
            </w:tcBorders>
            <w:shd w:val="clear" w:color="000000" w:fill="FFFFFF"/>
            <w:vAlign w:val="center"/>
          </w:tcPr>
          <w:p w14:paraId="59A4A32D">
            <w:pPr>
              <w:widowControl/>
              <w:spacing w:line="440" w:lineRule="exact"/>
              <w:jc w:val="center"/>
              <w:textAlignment w:val="center"/>
              <w:rPr>
                <w:color w:val="auto"/>
                <w:sz w:val="21"/>
                <w:szCs w:val="21"/>
                <w:highlight w:val="none"/>
              </w:rPr>
            </w:pPr>
            <w:r>
              <w:rPr>
                <w:color w:val="auto"/>
                <w:kern w:val="0"/>
                <w:sz w:val="21"/>
                <w:szCs w:val="21"/>
                <w:highlight w:val="none"/>
                <w:lang w:bidi="ar"/>
              </w:rPr>
              <w:t>第三部分 预备费</w:t>
            </w:r>
          </w:p>
        </w:tc>
        <w:tc>
          <w:tcPr>
            <w:tcW w:w="1677" w:type="dxa"/>
            <w:tcBorders>
              <w:top w:val="nil"/>
              <w:left w:val="nil"/>
              <w:bottom w:val="single" w:color="auto" w:sz="8" w:space="0"/>
              <w:right w:val="single" w:color="auto" w:sz="8" w:space="0"/>
            </w:tcBorders>
            <w:shd w:val="clear" w:color="000000" w:fill="FFFFFF"/>
            <w:vAlign w:val="center"/>
          </w:tcPr>
          <w:p w14:paraId="5B123A17">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232A644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51BC2AC1">
        <w:tblPrEx>
          <w:tblCellMar>
            <w:top w:w="0" w:type="dxa"/>
            <w:left w:w="108" w:type="dxa"/>
            <w:bottom w:w="0" w:type="dxa"/>
            <w:right w:w="108" w:type="dxa"/>
          </w:tblCellMar>
        </w:tblPrEx>
        <w:trPr>
          <w:trHeight w:val="23" w:hRule="atLeast"/>
          <w:jc w:val="center"/>
        </w:trPr>
        <w:tc>
          <w:tcPr>
            <w:tcW w:w="687" w:type="dxa"/>
            <w:tcBorders>
              <w:top w:val="single" w:color="auto" w:sz="8" w:space="0"/>
              <w:left w:val="single" w:color="auto" w:sz="8" w:space="0"/>
              <w:bottom w:val="single" w:color="auto" w:sz="8" w:space="0"/>
              <w:right w:val="single" w:color="000000" w:sz="8" w:space="0"/>
            </w:tcBorders>
            <w:shd w:val="clear" w:color="000000" w:fill="FFFFFF"/>
            <w:vAlign w:val="center"/>
          </w:tcPr>
          <w:p w14:paraId="75724E2F">
            <w:pPr>
              <w:widowControl/>
              <w:spacing w:line="440" w:lineRule="exact"/>
              <w:jc w:val="center"/>
              <w:textAlignment w:val="center"/>
              <w:rPr>
                <w:color w:val="auto"/>
                <w:sz w:val="21"/>
                <w:szCs w:val="21"/>
                <w:highlight w:val="none"/>
              </w:rPr>
            </w:pPr>
            <w:r>
              <w:rPr>
                <w:color w:val="auto"/>
                <w:kern w:val="0"/>
                <w:sz w:val="21"/>
                <w:szCs w:val="21"/>
                <w:highlight w:val="none"/>
                <w:lang w:bidi="ar"/>
              </w:rPr>
              <w:t>十八</w:t>
            </w:r>
          </w:p>
        </w:tc>
        <w:tc>
          <w:tcPr>
            <w:tcW w:w="704" w:type="dxa"/>
            <w:tcBorders>
              <w:top w:val="single" w:color="auto" w:sz="8" w:space="0"/>
              <w:left w:val="single" w:color="auto" w:sz="8" w:space="0"/>
              <w:bottom w:val="single" w:color="auto" w:sz="8" w:space="0"/>
              <w:right w:val="single" w:color="000000" w:sz="8" w:space="0"/>
            </w:tcBorders>
            <w:shd w:val="clear" w:color="000000" w:fill="FFFFFF"/>
            <w:vAlign w:val="center"/>
          </w:tcPr>
          <w:p w14:paraId="5B8DEA74">
            <w:pPr>
              <w:widowControl/>
              <w:spacing w:line="440" w:lineRule="exact"/>
              <w:jc w:val="center"/>
              <w:textAlignment w:val="center"/>
              <w:rPr>
                <w:color w:val="auto"/>
                <w:highlight w:val="none"/>
              </w:rPr>
            </w:pPr>
            <w:r>
              <w:rPr>
                <w:color w:val="auto"/>
                <w:kern w:val="0"/>
                <w:sz w:val="21"/>
                <w:szCs w:val="21"/>
                <w:highlight w:val="none"/>
                <w:lang w:bidi="ar"/>
              </w:rPr>
              <w:t>37</w:t>
            </w:r>
          </w:p>
        </w:tc>
        <w:tc>
          <w:tcPr>
            <w:tcW w:w="3816" w:type="dxa"/>
            <w:tcBorders>
              <w:top w:val="single" w:color="auto" w:sz="8" w:space="0"/>
              <w:left w:val="single" w:color="auto" w:sz="8" w:space="0"/>
              <w:bottom w:val="single" w:color="auto" w:sz="8" w:space="0"/>
              <w:right w:val="single" w:color="000000" w:sz="8" w:space="0"/>
            </w:tcBorders>
            <w:shd w:val="clear" w:color="000000" w:fill="FFFFFF"/>
            <w:vAlign w:val="center"/>
          </w:tcPr>
          <w:p w14:paraId="24780F4F">
            <w:pPr>
              <w:widowControl/>
              <w:spacing w:line="440" w:lineRule="exact"/>
              <w:textAlignment w:val="center"/>
              <w:rPr>
                <w:color w:val="auto"/>
                <w:highlight w:val="none"/>
              </w:rPr>
            </w:pPr>
            <w:r>
              <w:rPr>
                <w:color w:val="auto"/>
                <w:kern w:val="0"/>
                <w:sz w:val="21"/>
                <w:szCs w:val="21"/>
                <w:highlight w:val="none"/>
                <w:lang w:bidi="ar"/>
              </w:rPr>
              <w:t>预备费</w:t>
            </w:r>
          </w:p>
        </w:tc>
        <w:tc>
          <w:tcPr>
            <w:tcW w:w="1677" w:type="dxa"/>
            <w:tcBorders>
              <w:top w:val="nil"/>
              <w:left w:val="nil"/>
              <w:bottom w:val="single" w:color="auto" w:sz="8" w:space="0"/>
              <w:right w:val="single" w:color="auto" w:sz="8" w:space="0"/>
            </w:tcBorders>
            <w:shd w:val="clear" w:color="000000" w:fill="FFFFFF"/>
            <w:vAlign w:val="center"/>
          </w:tcPr>
          <w:p w14:paraId="2DC89B4B">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8" w:space="0"/>
              <w:right w:val="single" w:color="auto" w:sz="8" w:space="0"/>
            </w:tcBorders>
            <w:shd w:val="clear" w:color="000000" w:fill="FFFFFF"/>
            <w:vAlign w:val="center"/>
          </w:tcPr>
          <w:p w14:paraId="61FD0DB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3D6310F">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2791D167">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42990CCC">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4587C09F">
            <w:pPr>
              <w:widowControl/>
              <w:spacing w:line="440" w:lineRule="exact"/>
              <w:textAlignment w:val="center"/>
              <w:rPr>
                <w:color w:val="auto"/>
                <w:sz w:val="21"/>
                <w:szCs w:val="21"/>
                <w:highlight w:val="none"/>
              </w:rPr>
            </w:pPr>
            <w:r>
              <w:rPr>
                <w:color w:val="auto"/>
                <w:kern w:val="0"/>
                <w:sz w:val="21"/>
                <w:szCs w:val="21"/>
                <w:highlight w:val="none"/>
                <w:lang w:bidi="ar"/>
              </w:rPr>
              <w:t>一、基本预备费</w:t>
            </w:r>
          </w:p>
        </w:tc>
        <w:tc>
          <w:tcPr>
            <w:tcW w:w="1677" w:type="dxa"/>
            <w:tcBorders>
              <w:top w:val="nil"/>
              <w:left w:val="nil"/>
              <w:bottom w:val="single" w:color="auto" w:sz="8" w:space="0"/>
              <w:right w:val="single" w:color="auto" w:sz="8" w:space="0"/>
            </w:tcBorders>
            <w:shd w:val="clear" w:color="000000" w:fill="FFFFFF"/>
            <w:vAlign w:val="center"/>
          </w:tcPr>
          <w:p w14:paraId="648606E3">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691EEDA5">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3CB01D7A">
        <w:tblPrEx>
          <w:tblCellMar>
            <w:top w:w="0" w:type="dxa"/>
            <w:left w:w="108" w:type="dxa"/>
            <w:bottom w:w="0" w:type="dxa"/>
            <w:right w:w="108" w:type="dxa"/>
          </w:tblCellMar>
        </w:tblPrEx>
        <w:trPr>
          <w:trHeight w:val="23" w:hRule="atLeast"/>
          <w:jc w:val="center"/>
        </w:trPr>
        <w:tc>
          <w:tcPr>
            <w:tcW w:w="687" w:type="dxa"/>
            <w:tcBorders>
              <w:top w:val="nil"/>
              <w:left w:val="single" w:color="auto" w:sz="8" w:space="0"/>
              <w:bottom w:val="single" w:color="auto" w:sz="8" w:space="0"/>
              <w:right w:val="single" w:color="auto" w:sz="8" w:space="0"/>
            </w:tcBorders>
            <w:shd w:val="clear" w:color="000000" w:fill="FFFFFF"/>
            <w:vAlign w:val="center"/>
          </w:tcPr>
          <w:p w14:paraId="45FB7B23">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nil"/>
              <w:left w:val="nil"/>
              <w:bottom w:val="single" w:color="auto" w:sz="8" w:space="0"/>
              <w:right w:val="single" w:color="auto" w:sz="8" w:space="0"/>
            </w:tcBorders>
            <w:shd w:val="clear" w:color="000000" w:fill="FFFFFF"/>
            <w:vAlign w:val="center"/>
          </w:tcPr>
          <w:p w14:paraId="1C3329FE">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3816" w:type="dxa"/>
            <w:tcBorders>
              <w:top w:val="nil"/>
              <w:left w:val="nil"/>
              <w:bottom w:val="single" w:color="auto" w:sz="8" w:space="0"/>
              <w:right w:val="single" w:color="auto" w:sz="8" w:space="0"/>
            </w:tcBorders>
            <w:shd w:val="clear" w:color="000000" w:fill="FFFFFF"/>
            <w:vAlign w:val="center"/>
          </w:tcPr>
          <w:p w14:paraId="063A9980">
            <w:pPr>
              <w:widowControl/>
              <w:spacing w:line="440" w:lineRule="exact"/>
              <w:textAlignment w:val="center"/>
              <w:rPr>
                <w:color w:val="auto"/>
                <w:sz w:val="21"/>
                <w:szCs w:val="21"/>
                <w:highlight w:val="none"/>
              </w:rPr>
            </w:pPr>
            <w:r>
              <w:rPr>
                <w:color w:val="auto"/>
                <w:kern w:val="0"/>
                <w:sz w:val="21"/>
                <w:szCs w:val="21"/>
                <w:highlight w:val="none"/>
                <w:lang w:bidi="ar"/>
              </w:rPr>
              <w:t>二、价差预备费</w:t>
            </w:r>
          </w:p>
        </w:tc>
        <w:tc>
          <w:tcPr>
            <w:tcW w:w="1677" w:type="dxa"/>
            <w:tcBorders>
              <w:top w:val="nil"/>
              <w:left w:val="nil"/>
              <w:bottom w:val="single" w:color="auto" w:sz="8" w:space="0"/>
              <w:right w:val="single" w:color="auto" w:sz="8" w:space="0"/>
            </w:tcBorders>
            <w:shd w:val="clear" w:color="000000" w:fill="FFFFFF"/>
            <w:vAlign w:val="center"/>
          </w:tcPr>
          <w:p w14:paraId="3046FA55">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nil"/>
              <w:left w:val="nil"/>
              <w:bottom w:val="single" w:color="auto" w:sz="8" w:space="0"/>
              <w:right w:val="single" w:color="auto" w:sz="8" w:space="0"/>
            </w:tcBorders>
            <w:shd w:val="clear" w:color="000000" w:fill="FFFFFF"/>
            <w:vAlign w:val="center"/>
          </w:tcPr>
          <w:p w14:paraId="15FACFBA">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724DE6EC">
        <w:tblPrEx>
          <w:tblCellMar>
            <w:top w:w="0" w:type="dxa"/>
            <w:left w:w="108" w:type="dxa"/>
            <w:bottom w:w="0" w:type="dxa"/>
            <w:right w:w="108" w:type="dxa"/>
          </w:tblCellMar>
        </w:tblPrEx>
        <w:trPr>
          <w:trHeight w:val="23" w:hRule="atLeast"/>
          <w:jc w:val="center"/>
        </w:trPr>
        <w:tc>
          <w:tcPr>
            <w:tcW w:w="5207" w:type="dxa"/>
            <w:gridSpan w:val="3"/>
            <w:tcBorders>
              <w:top w:val="nil"/>
              <w:left w:val="single" w:color="auto" w:sz="8" w:space="0"/>
              <w:bottom w:val="single" w:color="auto" w:sz="4" w:space="0"/>
              <w:right w:val="single" w:color="auto" w:sz="8" w:space="0"/>
            </w:tcBorders>
            <w:shd w:val="clear" w:color="000000" w:fill="FFFFFF"/>
            <w:vAlign w:val="center"/>
          </w:tcPr>
          <w:p w14:paraId="228DDA00">
            <w:pPr>
              <w:widowControl/>
              <w:spacing w:line="440" w:lineRule="exact"/>
              <w:jc w:val="center"/>
              <w:textAlignment w:val="center"/>
              <w:rPr>
                <w:color w:val="auto"/>
                <w:sz w:val="21"/>
                <w:szCs w:val="21"/>
                <w:highlight w:val="none"/>
              </w:rPr>
            </w:pPr>
            <w:r>
              <w:rPr>
                <w:color w:val="auto"/>
                <w:kern w:val="0"/>
                <w:sz w:val="21"/>
                <w:szCs w:val="21"/>
                <w:highlight w:val="none"/>
                <w:lang w:bidi="ar"/>
              </w:rPr>
              <w:t>第四部分 专项费用</w:t>
            </w:r>
          </w:p>
        </w:tc>
        <w:tc>
          <w:tcPr>
            <w:tcW w:w="1677" w:type="dxa"/>
            <w:tcBorders>
              <w:top w:val="nil"/>
              <w:left w:val="nil"/>
              <w:bottom w:val="single" w:color="auto" w:sz="4" w:space="0"/>
              <w:right w:val="single" w:color="auto" w:sz="8" w:space="0"/>
            </w:tcBorders>
            <w:shd w:val="clear" w:color="000000" w:fill="FFFFFF"/>
            <w:vAlign w:val="center"/>
          </w:tcPr>
          <w:p w14:paraId="4F05048F">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nil"/>
              <w:left w:val="nil"/>
              <w:bottom w:val="single" w:color="auto" w:sz="4" w:space="0"/>
              <w:right w:val="single" w:color="auto" w:sz="8" w:space="0"/>
            </w:tcBorders>
            <w:shd w:val="clear" w:color="000000" w:fill="FFFFFF"/>
            <w:vAlign w:val="center"/>
          </w:tcPr>
          <w:p w14:paraId="3928BBB3">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260DED37">
        <w:tblPrEx>
          <w:tblCellMar>
            <w:top w:w="0" w:type="dxa"/>
            <w:left w:w="108" w:type="dxa"/>
            <w:bottom w:w="0" w:type="dxa"/>
            <w:right w:w="108" w:type="dxa"/>
          </w:tblCellMar>
        </w:tblPrEx>
        <w:trPr>
          <w:trHeight w:val="23" w:hRule="atLeast"/>
          <w:jc w:val="center"/>
        </w:trPr>
        <w:tc>
          <w:tcPr>
            <w:tcW w:w="687" w:type="dxa"/>
            <w:tcBorders>
              <w:top w:val="single" w:color="auto" w:sz="4" w:space="0"/>
              <w:left w:val="single" w:color="auto" w:sz="4" w:space="0"/>
              <w:bottom w:val="single" w:color="auto" w:sz="4" w:space="0"/>
              <w:right w:val="single" w:color="auto" w:sz="4" w:space="0"/>
            </w:tcBorders>
            <w:shd w:val="clear" w:color="000000" w:fill="FFFFFF"/>
            <w:vAlign w:val="center"/>
          </w:tcPr>
          <w:p w14:paraId="794E287D">
            <w:pPr>
              <w:widowControl/>
              <w:spacing w:line="440" w:lineRule="exact"/>
              <w:jc w:val="center"/>
              <w:textAlignment w:val="center"/>
              <w:rPr>
                <w:color w:val="auto"/>
                <w:sz w:val="21"/>
                <w:szCs w:val="21"/>
                <w:highlight w:val="none"/>
              </w:rPr>
            </w:pPr>
            <w:r>
              <w:rPr>
                <w:color w:val="auto"/>
                <w:kern w:val="0"/>
                <w:sz w:val="21"/>
                <w:szCs w:val="21"/>
                <w:highlight w:val="none"/>
                <w:lang w:bidi="ar"/>
              </w:rPr>
              <w:t>十九</w:t>
            </w:r>
          </w:p>
        </w:tc>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14:paraId="65244A00">
            <w:pPr>
              <w:widowControl/>
              <w:spacing w:line="440" w:lineRule="exact"/>
              <w:jc w:val="center"/>
              <w:textAlignment w:val="center"/>
              <w:rPr>
                <w:color w:val="auto"/>
                <w:sz w:val="21"/>
                <w:szCs w:val="21"/>
                <w:highlight w:val="none"/>
              </w:rPr>
            </w:pPr>
            <w:r>
              <w:rPr>
                <w:color w:val="auto"/>
                <w:kern w:val="0"/>
                <w:sz w:val="21"/>
                <w:szCs w:val="21"/>
                <w:highlight w:val="none"/>
                <w:lang w:bidi="ar"/>
              </w:rPr>
              <w:t>38</w:t>
            </w:r>
          </w:p>
        </w:tc>
        <w:tc>
          <w:tcPr>
            <w:tcW w:w="3816" w:type="dxa"/>
            <w:tcBorders>
              <w:top w:val="single" w:color="auto" w:sz="4" w:space="0"/>
              <w:left w:val="single" w:color="auto" w:sz="4" w:space="0"/>
              <w:bottom w:val="single" w:color="auto" w:sz="4" w:space="0"/>
              <w:right w:val="single" w:color="auto" w:sz="4" w:space="0"/>
            </w:tcBorders>
            <w:shd w:val="clear" w:color="000000" w:fill="FFFFFF"/>
            <w:vAlign w:val="center"/>
          </w:tcPr>
          <w:p w14:paraId="1E16D385">
            <w:pPr>
              <w:widowControl/>
              <w:spacing w:line="440" w:lineRule="exact"/>
              <w:textAlignment w:val="center"/>
              <w:rPr>
                <w:color w:val="auto"/>
                <w:sz w:val="21"/>
                <w:szCs w:val="21"/>
                <w:highlight w:val="none"/>
              </w:rPr>
            </w:pPr>
            <w:r>
              <w:rPr>
                <w:color w:val="auto"/>
                <w:kern w:val="0"/>
                <w:sz w:val="21"/>
                <w:szCs w:val="21"/>
                <w:highlight w:val="none"/>
                <w:lang w:bidi="ar"/>
              </w:rPr>
              <w:t>专项费用</w:t>
            </w:r>
          </w:p>
        </w:tc>
        <w:tc>
          <w:tcPr>
            <w:tcW w:w="1677" w:type="dxa"/>
            <w:tcBorders>
              <w:top w:val="single" w:color="auto" w:sz="4" w:space="0"/>
              <w:left w:val="single" w:color="auto" w:sz="4" w:space="0"/>
              <w:bottom w:val="single" w:color="auto" w:sz="4" w:space="0"/>
              <w:right w:val="single" w:color="auto" w:sz="4" w:space="0"/>
            </w:tcBorders>
            <w:shd w:val="clear" w:color="000000" w:fill="FFFFFF"/>
            <w:vAlign w:val="center"/>
          </w:tcPr>
          <w:p w14:paraId="6E98FDE0">
            <w:pPr>
              <w:widowControl/>
              <w:spacing w:line="440" w:lineRule="exact"/>
              <w:jc w:val="center"/>
              <w:textAlignment w:val="center"/>
              <w:rPr>
                <w:color w:val="auto"/>
                <w:sz w:val="21"/>
                <w:szCs w:val="21"/>
                <w:highlight w:val="none"/>
              </w:rPr>
            </w:pPr>
            <w:r>
              <w:rPr>
                <w:color w:val="auto"/>
                <w:kern w:val="0"/>
                <w:sz w:val="21"/>
                <w:szCs w:val="21"/>
                <w:highlight w:val="none"/>
                <w:lang w:bidi="ar"/>
              </w:rPr>
              <w:t>正线公里</w:t>
            </w:r>
          </w:p>
        </w:tc>
        <w:tc>
          <w:tcPr>
            <w:tcW w:w="6704" w:type="dxa"/>
            <w:tcBorders>
              <w:top w:val="single" w:color="auto" w:sz="4" w:space="0"/>
              <w:left w:val="single" w:color="auto" w:sz="4" w:space="0"/>
              <w:bottom w:val="single" w:color="auto" w:sz="4" w:space="0"/>
              <w:right w:val="single" w:color="auto" w:sz="4" w:space="0"/>
            </w:tcBorders>
            <w:shd w:val="clear" w:color="000000" w:fill="FFFFFF"/>
            <w:vAlign w:val="center"/>
          </w:tcPr>
          <w:p w14:paraId="0CB34C90">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4A14479">
        <w:tblPrEx>
          <w:tblCellMar>
            <w:top w:w="0" w:type="dxa"/>
            <w:left w:w="108" w:type="dxa"/>
            <w:bottom w:w="0" w:type="dxa"/>
            <w:right w:w="108" w:type="dxa"/>
          </w:tblCellMar>
        </w:tblPrEx>
        <w:trPr>
          <w:trHeight w:val="23" w:hRule="atLeast"/>
          <w:jc w:val="center"/>
        </w:trPr>
        <w:tc>
          <w:tcPr>
            <w:tcW w:w="687" w:type="dxa"/>
            <w:tcBorders>
              <w:top w:val="single" w:color="auto" w:sz="4" w:space="0"/>
              <w:left w:val="single" w:color="auto" w:sz="4" w:space="0"/>
              <w:bottom w:val="single" w:color="auto" w:sz="4" w:space="0"/>
              <w:right w:val="single" w:color="auto" w:sz="4" w:space="0"/>
            </w:tcBorders>
            <w:shd w:val="clear" w:color="000000" w:fill="FFFFFF"/>
            <w:vAlign w:val="center"/>
          </w:tcPr>
          <w:p w14:paraId="637E4830">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14:paraId="0273E090">
            <w:pPr>
              <w:widowControl/>
              <w:spacing w:line="440" w:lineRule="exact"/>
              <w:jc w:val="center"/>
              <w:textAlignment w:val="center"/>
              <w:rPr>
                <w:color w:val="auto"/>
                <w:highlight w:val="none"/>
              </w:rPr>
            </w:pPr>
            <w:r>
              <w:rPr>
                <w:color w:val="auto"/>
                <w:kern w:val="0"/>
                <w:sz w:val="21"/>
                <w:szCs w:val="21"/>
                <w:highlight w:val="none"/>
                <w:lang w:bidi="ar"/>
              </w:rPr>
              <w:t>　</w:t>
            </w:r>
          </w:p>
        </w:tc>
        <w:tc>
          <w:tcPr>
            <w:tcW w:w="3816" w:type="dxa"/>
            <w:tcBorders>
              <w:top w:val="single" w:color="auto" w:sz="4" w:space="0"/>
              <w:left w:val="single" w:color="auto" w:sz="4" w:space="0"/>
              <w:bottom w:val="single" w:color="auto" w:sz="4" w:space="0"/>
              <w:right w:val="single" w:color="auto" w:sz="4" w:space="0"/>
            </w:tcBorders>
            <w:shd w:val="clear" w:color="000000" w:fill="FFFFFF"/>
            <w:vAlign w:val="center"/>
          </w:tcPr>
          <w:p w14:paraId="4FCBA053">
            <w:pPr>
              <w:widowControl/>
              <w:spacing w:line="440" w:lineRule="exact"/>
              <w:textAlignment w:val="center"/>
              <w:rPr>
                <w:color w:val="auto"/>
                <w:highlight w:val="none"/>
              </w:rPr>
            </w:pPr>
            <w:r>
              <w:rPr>
                <w:color w:val="auto"/>
                <w:kern w:val="0"/>
                <w:sz w:val="21"/>
                <w:szCs w:val="21"/>
                <w:highlight w:val="none"/>
                <w:lang w:bidi="ar"/>
              </w:rPr>
              <w:t>一、车辆购置费</w:t>
            </w:r>
          </w:p>
        </w:tc>
        <w:tc>
          <w:tcPr>
            <w:tcW w:w="1677" w:type="dxa"/>
            <w:tcBorders>
              <w:top w:val="single" w:color="auto" w:sz="4" w:space="0"/>
              <w:left w:val="single" w:color="auto" w:sz="4" w:space="0"/>
              <w:bottom w:val="single" w:color="auto" w:sz="4" w:space="0"/>
              <w:right w:val="single" w:color="auto" w:sz="4" w:space="0"/>
            </w:tcBorders>
            <w:shd w:val="clear" w:color="000000" w:fill="FFFFFF"/>
            <w:vAlign w:val="center"/>
          </w:tcPr>
          <w:p w14:paraId="054B6883">
            <w:pPr>
              <w:widowControl/>
              <w:spacing w:line="440" w:lineRule="exact"/>
              <w:jc w:val="center"/>
              <w:textAlignment w:val="center"/>
              <w:rPr>
                <w:color w:val="auto"/>
                <w:sz w:val="21"/>
                <w:szCs w:val="21"/>
                <w:highlight w:val="none"/>
              </w:rPr>
            </w:pPr>
            <w:r>
              <w:rPr>
                <w:color w:val="auto"/>
                <w:kern w:val="0"/>
                <w:sz w:val="21"/>
                <w:szCs w:val="21"/>
                <w:highlight w:val="none"/>
                <w:lang w:bidi="ar"/>
              </w:rPr>
              <w:t>万元</w:t>
            </w:r>
          </w:p>
        </w:tc>
        <w:tc>
          <w:tcPr>
            <w:tcW w:w="6704" w:type="dxa"/>
            <w:tcBorders>
              <w:top w:val="single" w:color="auto" w:sz="4" w:space="0"/>
              <w:left w:val="single" w:color="auto" w:sz="4" w:space="0"/>
              <w:bottom w:val="single" w:color="auto" w:sz="4" w:space="0"/>
              <w:right w:val="single" w:color="auto" w:sz="4" w:space="0"/>
            </w:tcBorders>
            <w:shd w:val="clear" w:color="000000" w:fill="FFFFFF"/>
            <w:vAlign w:val="center"/>
          </w:tcPr>
          <w:p w14:paraId="69746FCC">
            <w:pPr>
              <w:widowControl/>
              <w:spacing w:line="440" w:lineRule="exact"/>
              <w:textAlignment w:val="center"/>
              <w:rPr>
                <w:color w:val="auto"/>
                <w:sz w:val="21"/>
                <w:szCs w:val="21"/>
                <w:highlight w:val="none"/>
              </w:rPr>
            </w:pPr>
            <w:r>
              <w:rPr>
                <w:color w:val="auto"/>
                <w:kern w:val="0"/>
                <w:sz w:val="21"/>
                <w:szCs w:val="21"/>
                <w:highlight w:val="none"/>
                <w:lang w:bidi="ar"/>
              </w:rPr>
              <w:t>　</w:t>
            </w:r>
          </w:p>
        </w:tc>
      </w:tr>
      <w:tr w14:paraId="4C428973">
        <w:tblPrEx>
          <w:tblCellMar>
            <w:top w:w="0" w:type="dxa"/>
            <w:left w:w="108" w:type="dxa"/>
            <w:bottom w:w="0" w:type="dxa"/>
            <w:right w:w="108" w:type="dxa"/>
          </w:tblCellMar>
        </w:tblPrEx>
        <w:trPr>
          <w:trHeight w:val="23" w:hRule="atLeast"/>
          <w:jc w:val="center"/>
        </w:trPr>
        <w:tc>
          <w:tcPr>
            <w:tcW w:w="687" w:type="dxa"/>
            <w:tcBorders>
              <w:top w:val="single" w:color="auto" w:sz="4" w:space="0"/>
              <w:left w:val="single" w:color="auto" w:sz="4" w:space="0"/>
              <w:bottom w:val="single" w:color="auto" w:sz="4" w:space="0"/>
              <w:right w:val="single" w:color="auto" w:sz="4" w:space="0"/>
            </w:tcBorders>
            <w:shd w:val="clear" w:color="000000" w:fill="FFFFFF"/>
            <w:vAlign w:val="center"/>
          </w:tcPr>
          <w:p w14:paraId="41F8FE4A">
            <w:pPr>
              <w:widowControl/>
              <w:spacing w:line="440" w:lineRule="exact"/>
              <w:jc w:val="center"/>
              <w:textAlignment w:val="center"/>
              <w:rPr>
                <w:color w:val="auto"/>
                <w:sz w:val="21"/>
                <w:szCs w:val="21"/>
                <w:highlight w:val="none"/>
              </w:rPr>
            </w:pPr>
            <w:r>
              <w:rPr>
                <w:color w:val="auto"/>
                <w:kern w:val="0"/>
                <w:sz w:val="21"/>
                <w:szCs w:val="21"/>
                <w:highlight w:val="none"/>
                <w:lang w:bidi="ar"/>
              </w:rPr>
              <w:t>　</w:t>
            </w:r>
          </w:p>
        </w:tc>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14:paraId="1DF3EA61">
            <w:pPr>
              <w:widowControl/>
              <w:spacing w:line="440" w:lineRule="exact"/>
              <w:jc w:val="center"/>
              <w:textAlignment w:val="center"/>
              <w:rPr>
                <w:color w:val="auto"/>
                <w:highlight w:val="none"/>
              </w:rPr>
            </w:pPr>
            <w:r>
              <w:rPr>
                <w:color w:val="auto"/>
                <w:kern w:val="0"/>
                <w:sz w:val="21"/>
                <w:szCs w:val="21"/>
                <w:highlight w:val="none"/>
                <w:lang w:bidi="ar"/>
              </w:rPr>
              <w:t>　</w:t>
            </w:r>
          </w:p>
        </w:tc>
        <w:tc>
          <w:tcPr>
            <w:tcW w:w="3816" w:type="dxa"/>
            <w:tcBorders>
              <w:top w:val="single" w:color="auto" w:sz="4" w:space="0"/>
              <w:left w:val="single" w:color="auto" w:sz="4" w:space="0"/>
              <w:bottom w:val="single" w:color="auto" w:sz="4" w:space="0"/>
              <w:right w:val="single" w:color="auto" w:sz="4" w:space="0"/>
            </w:tcBorders>
            <w:shd w:val="clear" w:color="000000" w:fill="FFFFFF"/>
            <w:vAlign w:val="center"/>
          </w:tcPr>
          <w:p w14:paraId="3F527859">
            <w:pPr>
              <w:widowControl/>
              <w:spacing w:line="440" w:lineRule="exact"/>
              <w:textAlignment w:val="center"/>
              <w:rPr>
                <w:color w:val="auto"/>
                <w:highlight w:val="none"/>
              </w:rPr>
            </w:pPr>
            <w:r>
              <w:rPr>
                <w:color w:val="auto"/>
                <w:kern w:val="0"/>
                <w:sz w:val="21"/>
                <w:szCs w:val="21"/>
                <w:highlight w:val="none"/>
                <w:lang w:bidi="ar"/>
              </w:rPr>
              <w:t>二、建设期利息</w:t>
            </w:r>
          </w:p>
        </w:tc>
        <w:tc>
          <w:tcPr>
            <w:tcW w:w="1677" w:type="dxa"/>
            <w:tcBorders>
              <w:top w:val="single" w:color="auto" w:sz="4" w:space="0"/>
              <w:left w:val="single" w:color="auto" w:sz="4" w:space="0"/>
              <w:bottom w:val="single" w:color="auto" w:sz="4" w:space="0"/>
              <w:right w:val="single" w:color="auto" w:sz="4" w:space="0"/>
            </w:tcBorders>
            <w:shd w:val="clear" w:color="000000" w:fill="FFFFFF"/>
            <w:vAlign w:val="center"/>
          </w:tcPr>
          <w:p w14:paraId="016BC1E4">
            <w:pPr>
              <w:widowControl/>
              <w:spacing w:line="440" w:lineRule="exact"/>
              <w:jc w:val="center"/>
              <w:textAlignment w:val="center"/>
              <w:rPr>
                <w:color w:val="auto"/>
                <w:highlight w:val="none"/>
              </w:rPr>
            </w:pPr>
            <w:r>
              <w:rPr>
                <w:color w:val="auto"/>
                <w:kern w:val="0"/>
                <w:sz w:val="21"/>
                <w:szCs w:val="21"/>
                <w:highlight w:val="none"/>
                <w:lang w:bidi="ar"/>
              </w:rPr>
              <w:t>万元</w:t>
            </w:r>
          </w:p>
        </w:tc>
        <w:tc>
          <w:tcPr>
            <w:tcW w:w="6704" w:type="dxa"/>
            <w:tcBorders>
              <w:top w:val="single" w:color="auto" w:sz="4" w:space="0"/>
              <w:left w:val="single" w:color="auto" w:sz="4" w:space="0"/>
              <w:bottom w:val="single" w:color="auto" w:sz="4" w:space="0"/>
              <w:right w:val="single" w:color="auto" w:sz="4" w:space="0"/>
            </w:tcBorders>
            <w:shd w:val="clear" w:color="000000" w:fill="FFFFFF"/>
            <w:vAlign w:val="center"/>
          </w:tcPr>
          <w:p w14:paraId="795C0A3B">
            <w:pPr>
              <w:widowControl/>
              <w:spacing w:line="440" w:lineRule="exact"/>
              <w:textAlignment w:val="center"/>
              <w:rPr>
                <w:color w:val="auto"/>
                <w:highlight w:val="none"/>
              </w:rPr>
            </w:pPr>
            <w:r>
              <w:rPr>
                <w:color w:val="auto"/>
                <w:kern w:val="0"/>
                <w:sz w:val="21"/>
                <w:szCs w:val="21"/>
                <w:highlight w:val="none"/>
                <w:lang w:bidi="ar"/>
              </w:rPr>
              <w:t>　</w:t>
            </w:r>
          </w:p>
        </w:tc>
      </w:tr>
      <w:tr w14:paraId="164DADCD">
        <w:tblPrEx>
          <w:tblCellMar>
            <w:top w:w="0" w:type="dxa"/>
            <w:left w:w="108" w:type="dxa"/>
            <w:bottom w:w="0" w:type="dxa"/>
            <w:right w:w="108" w:type="dxa"/>
          </w:tblCellMar>
        </w:tblPrEx>
        <w:trPr>
          <w:trHeight w:val="23" w:hRule="atLeast"/>
          <w:jc w:val="center"/>
        </w:trPr>
        <w:tc>
          <w:tcPr>
            <w:tcW w:w="687" w:type="dxa"/>
            <w:tcBorders>
              <w:top w:val="single" w:color="auto" w:sz="4" w:space="0"/>
              <w:left w:val="single" w:color="auto" w:sz="4" w:space="0"/>
              <w:bottom w:val="single" w:color="auto" w:sz="4" w:space="0"/>
              <w:right w:val="single" w:color="auto" w:sz="4" w:space="0"/>
            </w:tcBorders>
            <w:shd w:val="clear" w:color="000000" w:fill="FFFFFF"/>
            <w:vAlign w:val="center"/>
          </w:tcPr>
          <w:p w14:paraId="0421C2F9">
            <w:pPr>
              <w:spacing w:line="440" w:lineRule="exact"/>
              <w:rPr>
                <w:color w:val="auto"/>
                <w:kern w:val="0"/>
                <w:sz w:val="21"/>
                <w:szCs w:val="21"/>
                <w:highlight w:val="none"/>
                <w:lang w:bidi="ar"/>
              </w:rPr>
            </w:pPr>
            <w:r>
              <w:rPr>
                <w:color w:val="auto"/>
                <w:sz w:val="21"/>
                <w:szCs w:val="21"/>
                <w:highlight w:val="none"/>
              </w:rPr>
              <w:t>　</w:t>
            </w:r>
          </w:p>
        </w:tc>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14:paraId="47279936">
            <w:pPr>
              <w:spacing w:line="440" w:lineRule="exact"/>
              <w:rPr>
                <w:color w:val="auto"/>
                <w:kern w:val="0"/>
                <w:sz w:val="21"/>
                <w:szCs w:val="21"/>
                <w:highlight w:val="none"/>
                <w:lang w:bidi="ar"/>
              </w:rPr>
            </w:pPr>
            <w:r>
              <w:rPr>
                <w:color w:val="auto"/>
                <w:sz w:val="21"/>
                <w:szCs w:val="21"/>
                <w:highlight w:val="none"/>
              </w:rPr>
              <w:t>　</w:t>
            </w:r>
          </w:p>
        </w:tc>
        <w:tc>
          <w:tcPr>
            <w:tcW w:w="3816" w:type="dxa"/>
            <w:tcBorders>
              <w:top w:val="single" w:color="auto" w:sz="4" w:space="0"/>
              <w:left w:val="single" w:color="auto" w:sz="4" w:space="0"/>
              <w:bottom w:val="single" w:color="auto" w:sz="4" w:space="0"/>
              <w:right w:val="single" w:color="auto" w:sz="4" w:space="0"/>
            </w:tcBorders>
            <w:shd w:val="clear" w:color="000000" w:fill="FFFFFF"/>
            <w:vAlign w:val="center"/>
          </w:tcPr>
          <w:p w14:paraId="5EEE73D2">
            <w:pPr>
              <w:spacing w:line="440" w:lineRule="exact"/>
              <w:rPr>
                <w:color w:val="auto"/>
                <w:kern w:val="0"/>
                <w:sz w:val="21"/>
                <w:szCs w:val="21"/>
                <w:highlight w:val="none"/>
                <w:lang w:bidi="ar"/>
              </w:rPr>
            </w:pPr>
            <w:r>
              <w:rPr>
                <w:color w:val="auto"/>
                <w:sz w:val="21"/>
                <w:szCs w:val="21"/>
                <w:highlight w:val="none"/>
              </w:rPr>
              <w:t>三、铺底流动资金</w:t>
            </w:r>
          </w:p>
        </w:tc>
        <w:tc>
          <w:tcPr>
            <w:tcW w:w="1677" w:type="dxa"/>
            <w:tcBorders>
              <w:top w:val="single" w:color="auto" w:sz="4" w:space="0"/>
              <w:left w:val="single" w:color="auto" w:sz="4" w:space="0"/>
              <w:bottom w:val="single" w:color="auto" w:sz="4" w:space="0"/>
              <w:right w:val="single" w:color="auto" w:sz="4" w:space="0"/>
            </w:tcBorders>
            <w:shd w:val="clear" w:color="000000" w:fill="FFFFFF"/>
            <w:vAlign w:val="center"/>
          </w:tcPr>
          <w:p w14:paraId="3818AC2B">
            <w:pPr>
              <w:spacing w:line="440" w:lineRule="exact"/>
              <w:jc w:val="center"/>
              <w:rPr>
                <w:color w:val="auto"/>
                <w:kern w:val="0"/>
                <w:sz w:val="21"/>
                <w:szCs w:val="21"/>
                <w:highlight w:val="none"/>
                <w:lang w:bidi="ar"/>
              </w:rPr>
            </w:pPr>
            <w:r>
              <w:rPr>
                <w:color w:val="auto"/>
                <w:sz w:val="21"/>
                <w:szCs w:val="21"/>
                <w:highlight w:val="none"/>
              </w:rPr>
              <w:t>万元</w:t>
            </w:r>
          </w:p>
        </w:tc>
        <w:tc>
          <w:tcPr>
            <w:tcW w:w="6704" w:type="dxa"/>
            <w:tcBorders>
              <w:top w:val="single" w:color="auto" w:sz="4" w:space="0"/>
              <w:left w:val="single" w:color="auto" w:sz="4" w:space="0"/>
              <w:bottom w:val="single" w:color="auto" w:sz="4" w:space="0"/>
              <w:right w:val="single" w:color="auto" w:sz="4" w:space="0"/>
            </w:tcBorders>
            <w:shd w:val="clear" w:color="000000" w:fill="FFFFFF"/>
            <w:vAlign w:val="center"/>
          </w:tcPr>
          <w:p w14:paraId="72CCB663">
            <w:pPr>
              <w:spacing w:line="440" w:lineRule="exact"/>
              <w:rPr>
                <w:color w:val="auto"/>
                <w:kern w:val="0"/>
                <w:sz w:val="21"/>
                <w:szCs w:val="21"/>
                <w:highlight w:val="none"/>
                <w:lang w:bidi="ar"/>
              </w:rPr>
            </w:pPr>
            <w:r>
              <w:rPr>
                <w:color w:val="auto"/>
                <w:sz w:val="21"/>
                <w:szCs w:val="21"/>
                <w:highlight w:val="none"/>
              </w:rPr>
              <w:t>　</w:t>
            </w:r>
          </w:p>
        </w:tc>
      </w:tr>
      <w:tr w14:paraId="3CCE8211">
        <w:tblPrEx>
          <w:tblCellMar>
            <w:top w:w="0" w:type="dxa"/>
            <w:left w:w="108" w:type="dxa"/>
            <w:bottom w:w="0" w:type="dxa"/>
            <w:right w:w="108" w:type="dxa"/>
          </w:tblCellMar>
        </w:tblPrEx>
        <w:trPr>
          <w:trHeight w:val="23" w:hRule="atLeast"/>
          <w:jc w:val="center"/>
        </w:trPr>
        <w:tc>
          <w:tcPr>
            <w:tcW w:w="5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2CE8E47">
            <w:pPr>
              <w:spacing w:line="440" w:lineRule="exact"/>
              <w:jc w:val="center"/>
              <w:rPr>
                <w:color w:val="auto"/>
                <w:kern w:val="0"/>
                <w:sz w:val="21"/>
                <w:szCs w:val="21"/>
                <w:highlight w:val="none"/>
                <w:lang w:bidi="ar"/>
              </w:rPr>
            </w:pPr>
            <w:r>
              <w:rPr>
                <w:color w:val="auto"/>
                <w:sz w:val="21"/>
                <w:szCs w:val="21"/>
                <w:highlight w:val="none"/>
              </w:rPr>
              <w:t>估算总额</w:t>
            </w:r>
          </w:p>
        </w:tc>
        <w:tc>
          <w:tcPr>
            <w:tcW w:w="1677" w:type="dxa"/>
            <w:tcBorders>
              <w:top w:val="single" w:color="auto" w:sz="4" w:space="0"/>
              <w:left w:val="single" w:color="auto" w:sz="4" w:space="0"/>
              <w:bottom w:val="single" w:color="auto" w:sz="4" w:space="0"/>
              <w:right w:val="single" w:color="auto" w:sz="4" w:space="0"/>
            </w:tcBorders>
            <w:shd w:val="clear" w:color="000000" w:fill="FFFFFF"/>
            <w:vAlign w:val="center"/>
          </w:tcPr>
          <w:p w14:paraId="7A8D6F7C">
            <w:pPr>
              <w:spacing w:line="440" w:lineRule="exact"/>
              <w:jc w:val="center"/>
              <w:rPr>
                <w:color w:val="auto"/>
                <w:kern w:val="0"/>
                <w:sz w:val="21"/>
                <w:szCs w:val="21"/>
                <w:highlight w:val="none"/>
                <w:lang w:bidi="ar"/>
              </w:rPr>
            </w:pPr>
            <w:r>
              <w:rPr>
                <w:color w:val="auto"/>
                <w:sz w:val="21"/>
                <w:szCs w:val="21"/>
                <w:highlight w:val="none"/>
              </w:rPr>
              <w:t>正线公里</w:t>
            </w:r>
          </w:p>
        </w:tc>
        <w:tc>
          <w:tcPr>
            <w:tcW w:w="6704" w:type="dxa"/>
            <w:tcBorders>
              <w:top w:val="single" w:color="auto" w:sz="4" w:space="0"/>
              <w:left w:val="single" w:color="auto" w:sz="4" w:space="0"/>
              <w:bottom w:val="single" w:color="auto" w:sz="4" w:space="0"/>
              <w:right w:val="single" w:color="auto" w:sz="4" w:space="0"/>
            </w:tcBorders>
            <w:shd w:val="clear" w:color="000000" w:fill="FFFFFF"/>
            <w:vAlign w:val="center"/>
          </w:tcPr>
          <w:p w14:paraId="209A5085">
            <w:pPr>
              <w:spacing w:line="440" w:lineRule="exact"/>
              <w:rPr>
                <w:color w:val="auto"/>
                <w:kern w:val="0"/>
                <w:sz w:val="21"/>
                <w:szCs w:val="21"/>
                <w:highlight w:val="none"/>
                <w:lang w:bidi="ar"/>
              </w:rPr>
            </w:pPr>
            <w:r>
              <w:rPr>
                <w:color w:val="auto"/>
                <w:sz w:val="21"/>
                <w:szCs w:val="21"/>
                <w:highlight w:val="none"/>
              </w:rPr>
              <w:t>　</w:t>
            </w:r>
          </w:p>
        </w:tc>
      </w:tr>
    </w:tbl>
    <w:p w14:paraId="368A6802">
      <w:pPr>
        <w:widowControl/>
        <w:jc w:val="left"/>
        <w:rPr>
          <w:rFonts w:eastAsia="黑体"/>
          <w:color w:val="auto"/>
          <w:sz w:val="26"/>
          <w:highlight w:val="none"/>
        </w:rPr>
      </w:pPr>
      <w:r>
        <w:rPr>
          <w:rFonts w:eastAsia="黑体"/>
          <w:color w:val="auto"/>
          <w:sz w:val="26"/>
          <w:highlight w:val="none"/>
        </w:rPr>
        <w:br w:type="page"/>
      </w:r>
    </w:p>
    <w:tbl>
      <w:tblPr>
        <w:tblStyle w:val="24"/>
        <w:tblW w:w="136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88"/>
        <w:gridCol w:w="843"/>
        <w:gridCol w:w="2242"/>
        <w:gridCol w:w="1097"/>
        <w:gridCol w:w="1239"/>
        <w:gridCol w:w="1211"/>
        <w:gridCol w:w="1258"/>
        <w:gridCol w:w="884"/>
        <w:gridCol w:w="1285"/>
        <w:gridCol w:w="1934"/>
        <w:gridCol w:w="859"/>
      </w:tblGrid>
      <w:tr w14:paraId="7B51D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tblHeader/>
          <w:jc w:val="center"/>
        </w:trPr>
        <w:tc>
          <w:tcPr>
            <w:tcW w:w="13640" w:type="dxa"/>
            <w:gridSpan w:val="11"/>
            <w:tcBorders>
              <w:top w:val="nil"/>
              <w:left w:val="nil"/>
              <w:bottom w:val="single" w:color="auto" w:sz="4" w:space="0"/>
              <w:right w:val="nil"/>
            </w:tcBorders>
            <w:shd w:val="clear" w:color="auto" w:fill="auto"/>
            <w:tcMar>
              <w:left w:w="0" w:type="dxa"/>
              <w:right w:w="0" w:type="dxa"/>
            </w:tcMar>
            <w:vAlign w:val="center"/>
          </w:tcPr>
          <w:p w14:paraId="015E74F0">
            <w:pPr>
              <w:keepNext/>
              <w:adjustRightInd w:val="0"/>
              <w:jc w:val="center"/>
              <w:textAlignment w:val="center"/>
              <w:outlineLvl w:val="0"/>
              <w:rPr>
                <w:color w:val="auto"/>
                <w:sz w:val="21"/>
                <w:highlight w:val="none"/>
              </w:rPr>
            </w:pPr>
            <w:bookmarkStart w:id="197" w:name="_Toc32006"/>
            <w:bookmarkStart w:id="198" w:name="_Toc30786"/>
            <w:r>
              <w:rPr>
                <w:rFonts w:eastAsia="黑体"/>
                <w:color w:val="auto"/>
                <w:sz w:val="26"/>
                <w:highlight w:val="none"/>
              </w:rPr>
              <w:t>附录二 总估算表</w:t>
            </w:r>
            <w:bookmarkEnd w:id="197"/>
            <w:bookmarkEnd w:id="198"/>
          </w:p>
        </w:tc>
      </w:tr>
      <w:tr w14:paraId="3DAE1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1631" w:type="dxa"/>
            <w:gridSpan w:val="2"/>
            <w:tcBorders>
              <w:top w:val="single" w:color="auto" w:sz="4" w:space="0"/>
              <w:left w:val="single" w:color="auto" w:sz="4" w:space="0"/>
            </w:tcBorders>
            <w:shd w:val="clear" w:color="auto" w:fill="auto"/>
            <w:tcMar>
              <w:left w:w="0" w:type="dxa"/>
              <w:right w:w="0" w:type="dxa"/>
            </w:tcMar>
            <w:vAlign w:val="center"/>
          </w:tcPr>
          <w:p w14:paraId="25678D18">
            <w:pPr>
              <w:keepNext/>
              <w:adjustRightInd w:val="0"/>
              <w:snapToGrid w:val="0"/>
              <w:jc w:val="center"/>
              <w:rPr>
                <w:color w:val="auto"/>
                <w:sz w:val="21"/>
                <w:highlight w:val="none"/>
              </w:rPr>
            </w:pPr>
            <w:r>
              <w:rPr>
                <w:color w:val="auto"/>
                <w:sz w:val="21"/>
                <w:highlight w:val="none"/>
              </w:rPr>
              <w:t>建设名称</w:t>
            </w:r>
          </w:p>
        </w:tc>
        <w:tc>
          <w:tcPr>
            <w:tcW w:w="2242" w:type="dxa"/>
            <w:tcBorders>
              <w:top w:val="single" w:color="auto" w:sz="4" w:space="0"/>
            </w:tcBorders>
            <w:shd w:val="clear" w:color="auto" w:fill="auto"/>
            <w:tcMar>
              <w:left w:w="0" w:type="dxa"/>
              <w:right w:w="0" w:type="dxa"/>
            </w:tcMar>
            <w:vAlign w:val="center"/>
          </w:tcPr>
          <w:p w14:paraId="357A41FE">
            <w:pPr>
              <w:keepNext/>
              <w:adjustRightInd w:val="0"/>
              <w:snapToGrid w:val="0"/>
              <w:jc w:val="center"/>
              <w:rPr>
                <w:color w:val="auto"/>
                <w:sz w:val="21"/>
                <w:highlight w:val="none"/>
              </w:rPr>
            </w:pPr>
            <w:r>
              <w:rPr>
                <w:color w:val="auto"/>
                <w:sz w:val="21"/>
                <w:highlight w:val="none"/>
              </w:rPr>
              <w:t>　</w:t>
            </w:r>
          </w:p>
        </w:tc>
        <w:tc>
          <w:tcPr>
            <w:tcW w:w="1097" w:type="dxa"/>
            <w:tcBorders>
              <w:top w:val="single" w:color="auto" w:sz="4" w:space="0"/>
            </w:tcBorders>
            <w:shd w:val="clear" w:color="auto" w:fill="auto"/>
            <w:tcMar>
              <w:left w:w="0" w:type="dxa"/>
              <w:right w:w="0" w:type="dxa"/>
            </w:tcMar>
            <w:vAlign w:val="center"/>
          </w:tcPr>
          <w:p w14:paraId="630E6A9C">
            <w:pPr>
              <w:keepNext/>
              <w:adjustRightInd w:val="0"/>
              <w:snapToGrid w:val="0"/>
              <w:jc w:val="center"/>
              <w:rPr>
                <w:color w:val="auto"/>
                <w:sz w:val="21"/>
                <w:highlight w:val="none"/>
              </w:rPr>
            </w:pPr>
            <w:r>
              <w:rPr>
                <w:color w:val="auto"/>
                <w:sz w:val="21"/>
                <w:highlight w:val="none"/>
              </w:rPr>
              <w:t>编制范围</w:t>
            </w:r>
          </w:p>
        </w:tc>
        <w:tc>
          <w:tcPr>
            <w:tcW w:w="2450" w:type="dxa"/>
            <w:gridSpan w:val="2"/>
            <w:tcBorders>
              <w:top w:val="single" w:color="auto" w:sz="4" w:space="0"/>
            </w:tcBorders>
            <w:shd w:val="clear" w:color="auto" w:fill="auto"/>
            <w:tcMar>
              <w:left w:w="0" w:type="dxa"/>
              <w:right w:w="0" w:type="dxa"/>
            </w:tcMar>
            <w:vAlign w:val="center"/>
          </w:tcPr>
          <w:p w14:paraId="6666C98D">
            <w:pPr>
              <w:keepNext/>
              <w:adjustRightInd w:val="0"/>
              <w:snapToGrid w:val="0"/>
              <w:jc w:val="center"/>
              <w:rPr>
                <w:color w:val="auto"/>
                <w:sz w:val="21"/>
                <w:highlight w:val="none"/>
              </w:rPr>
            </w:pPr>
            <w:r>
              <w:rPr>
                <w:color w:val="auto"/>
                <w:sz w:val="21"/>
                <w:highlight w:val="none"/>
              </w:rPr>
              <w:t>　</w:t>
            </w:r>
          </w:p>
        </w:tc>
        <w:tc>
          <w:tcPr>
            <w:tcW w:w="2142" w:type="dxa"/>
            <w:gridSpan w:val="2"/>
            <w:tcBorders>
              <w:top w:val="single" w:color="auto" w:sz="4" w:space="0"/>
            </w:tcBorders>
            <w:shd w:val="clear" w:color="auto" w:fill="auto"/>
            <w:tcMar>
              <w:left w:w="0" w:type="dxa"/>
              <w:right w:w="0" w:type="dxa"/>
            </w:tcMar>
            <w:vAlign w:val="center"/>
          </w:tcPr>
          <w:p w14:paraId="396A4231">
            <w:pPr>
              <w:keepNext/>
              <w:adjustRightInd w:val="0"/>
              <w:snapToGrid w:val="0"/>
              <w:jc w:val="center"/>
              <w:rPr>
                <w:color w:val="auto"/>
                <w:sz w:val="21"/>
                <w:highlight w:val="none"/>
              </w:rPr>
            </w:pPr>
            <w:r>
              <w:rPr>
                <w:color w:val="auto"/>
                <w:sz w:val="21"/>
                <w:highlight w:val="none"/>
              </w:rPr>
              <w:t>编号</w:t>
            </w:r>
          </w:p>
        </w:tc>
        <w:tc>
          <w:tcPr>
            <w:tcW w:w="4078" w:type="dxa"/>
            <w:gridSpan w:val="3"/>
            <w:tcBorders>
              <w:top w:val="single" w:color="auto" w:sz="4" w:space="0"/>
              <w:right w:val="single" w:color="auto" w:sz="4" w:space="0"/>
            </w:tcBorders>
            <w:shd w:val="clear" w:color="auto" w:fill="auto"/>
            <w:tcMar>
              <w:left w:w="0" w:type="dxa"/>
              <w:right w:w="0" w:type="dxa"/>
            </w:tcMar>
            <w:vAlign w:val="center"/>
          </w:tcPr>
          <w:p w14:paraId="0CF9FAC5">
            <w:pPr>
              <w:keepNext/>
              <w:adjustRightInd w:val="0"/>
              <w:snapToGrid w:val="0"/>
              <w:jc w:val="center"/>
              <w:rPr>
                <w:color w:val="auto"/>
                <w:sz w:val="21"/>
                <w:highlight w:val="none"/>
              </w:rPr>
            </w:pPr>
            <w:r>
              <w:rPr>
                <w:color w:val="auto"/>
                <w:sz w:val="21"/>
                <w:highlight w:val="none"/>
              </w:rPr>
              <w:t>　</w:t>
            </w:r>
          </w:p>
        </w:tc>
      </w:tr>
      <w:tr w14:paraId="2EA26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1631" w:type="dxa"/>
            <w:gridSpan w:val="2"/>
            <w:tcBorders>
              <w:left w:val="single" w:color="auto" w:sz="4" w:space="0"/>
            </w:tcBorders>
            <w:shd w:val="clear" w:color="auto" w:fill="auto"/>
            <w:tcMar>
              <w:left w:w="0" w:type="dxa"/>
              <w:right w:w="0" w:type="dxa"/>
            </w:tcMar>
            <w:vAlign w:val="center"/>
          </w:tcPr>
          <w:p w14:paraId="4CA2065A">
            <w:pPr>
              <w:keepNext/>
              <w:adjustRightInd w:val="0"/>
              <w:snapToGrid w:val="0"/>
              <w:jc w:val="center"/>
              <w:rPr>
                <w:color w:val="auto"/>
                <w:sz w:val="21"/>
                <w:highlight w:val="none"/>
              </w:rPr>
            </w:pPr>
            <w:r>
              <w:rPr>
                <w:color w:val="auto"/>
                <w:sz w:val="21"/>
                <w:highlight w:val="none"/>
              </w:rPr>
              <w:t>工程总量</w:t>
            </w:r>
          </w:p>
        </w:tc>
        <w:tc>
          <w:tcPr>
            <w:tcW w:w="2242" w:type="dxa"/>
            <w:shd w:val="clear" w:color="auto" w:fill="auto"/>
            <w:tcMar>
              <w:left w:w="0" w:type="dxa"/>
              <w:right w:w="0" w:type="dxa"/>
            </w:tcMar>
            <w:vAlign w:val="center"/>
          </w:tcPr>
          <w:p w14:paraId="2B17D034">
            <w:pPr>
              <w:keepNext/>
              <w:adjustRightInd w:val="0"/>
              <w:snapToGrid w:val="0"/>
              <w:jc w:val="center"/>
              <w:rPr>
                <w:color w:val="auto"/>
                <w:sz w:val="21"/>
                <w:highlight w:val="none"/>
              </w:rPr>
            </w:pPr>
            <w:r>
              <w:rPr>
                <w:rFonts w:hint="eastAsia"/>
                <w:color w:val="auto"/>
                <w:sz w:val="21"/>
                <w:highlight w:val="none"/>
              </w:rPr>
              <w:t xml:space="preserve">          </w:t>
            </w:r>
            <w:r>
              <w:rPr>
                <w:color w:val="auto"/>
                <w:sz w:val="21"/>
                <w:highlight w:val="none"/>
              </w:rPr>
              <w:t>正线公里</w:t>
            </w:r>
          </w:p>
        </w:tc>
        <w:tc>
          <w:tcPr>
            <w:tcW w:w="1097" w:type="dxa"/>
            <w:shd w:val="clear" w:color="auto" w:fill="auto"/>
            <w:tcMar>
              <w:left w:w="0" w:type="dxa"/>
              <w:right w:w="0" w:type="dxa"/>
            </w:tcMar>
            <w:vAlign w:val="center"/>
          </w:tcPr>
          <w:p w14:paraId="4987C672">
            <w:pPr>
              <w:keepNext/>
              <w:adjustRightInd w:val="0"/>
              <w:snapToGrid w:val="0"/>
              <w:jc w:val="center"/>
              <w:rPr>
                <w:color w:val="auto"/>
                <w:sz w:val="21"/>
                <w:highlight w:val="none"/>
              </w:rPr>
            </w:pPr>
            <w:r>
              <w:rPr>
                <w:color w:val="auto"/>
                <w:sz w:val="21"/>
                <w:highlight w:val="none"/>
              </w:rPr>
              <w:t>估算总额</w:t>
            </w:r>
          </w:p>
        </w:tc>
        <w:tc>
          <w:tcPr>
            <w:tcW w:w="2450" w:type="dxa"/>
            <w:gridSpan w:val="2"/>
            <w:shd w:val="clear" w:color="auto" w:fill="auto"/>
            <w:tcMar>
              <w:left w:w="0" w:type="dxa"/>
              <w:right w:w="0" w:type="dxa"/>
            </w:tcMar>
            <w:vAlign w:val="center"/>
          </w:tcPr>
          <w:p w14:paraId="0069FA56">
            <w:pPr>
              <w:keepNext/>
              <w:adjustRightInd w:val="0"/>
              <w:snapToGrid w:val="0"/>
              <w:jc w:val="center"/>
              <w:rPr>
                <w:color w:val="auto"/>
                <w:sz w:val="21"/>
                <w:highlight w:val="none"/>
              </w:rPr>
            </w:pPr>
            <w:r>
              <w:rPr>
                <w:rFonts w:hint="eastAsia"/>
                <w:color w:val="auto"/>
                <w:sz w:val="21"/>
                <w:highlight w:val="none"/>
              </w:rPr>
              <w:t xml:space="preserve">             </w:t>
            </w:r>
            <w:r>
              <w:rPr>
                <w:color w:val="auto"/>
                <w:sz w:val="21"/>
                <w:highlight w:val="none"/>
              </w:rPr>
              <w:t>万元</w:t>
            </w:r>
          </w:p>
        </w:tc>
        <w:tc>
          <w:tcPr>
            <w:tcW w:w="2142" w:type="dxa"/>
            <w:gridSpan w:val="2"/>
            <w:shd w:val="clear" w:color="auto" w:fill="auto"/>
            <w:tcMar>
              <w:left w:w="0" w:type="dxa"/>
              <w:right w:w="0" w:type="dxa"/>
            </w:tcMar>
            <w:vAlign w:val="center"/>
          </w:tcPr>
          <w:p w14:paraId="44769539">
            <w:pPr>
              <w:keepNext/>
              <w:adjustRightInd w:val="0"/>
              <w:snapToGrid w:val="0"/>
              <w:jc w:val="center"/>
              <w:rPr>
                <w:color w:val="auto"/>
                <w:sz w:val="21"/>
                <w:highlight w:val="none"/>
              </w:rPr>
            </w:pPr>
            <w:r>
              <w:rPr>
                <w:color w:val="auto"/>
                <w:sz w:val="21"/>
                <w:highlight w:val="none"/>
              </w:rPr>
              <w:t>技术经济指标</w:t>
            </w:r>
          </w:p>
        </w:tc>
        <w:tc>
          <w:tcPr>
            <w:tcW w:w="4078" w:type="dxa"/>
            <w:gridSpan w:val="3"/>
            <w:tcBorders>
              <w:right w:val="single" w:color="auto" w:sz="4" w:space="0"/>
            </w:tcBorders>
            <w:shd w:val="clear" w:color="auto" w:fill="auto"/>
            <w:tcMar>
              <w:left w:w="0" w:type="dxa"/>
              <w:right w:w="0" w:type="dxa"/>
            </w:tcMar>
            <w:vAlign w:val="center"/>
          </w:tcPr>
          <w:p w14:paraId="316C4DC6">
            <w:pPr>
              <w:keepNext/>
              <w:adjustRightInd w:val="0"/>
              <w:snapToGrid w:val="0"/>
              <w:jc w:val="center"/>
              <w:rPr>
                <w:color w:val="auto"/>
                <w:sz w:val="21"/>
                <w:highlight w:val="none"/>
              </w:rPr>
            </w:pPr>
            <w:r>
              <w:rPr>
                <w:rFonts w:hint="eastAsia"/>
                <w:color w:val="auto"/>
                <w:sz w:val="21"/>
                <w:highlight w:val="none"/>
              </w:rPr>
              <w:t xml:space="preserve">                   </w:t>
            </w:r>
            <w:r>
              <w:rPr>
                <w:color w:val="auto"/>
                <w:sz w:val="21"/>
                <w:highlight w:val="none"/>
              </w:rPr>
              <w:t>万元／正线公里</w:t>
            </w:r>
          </w:p>
        </w:tc>
      </w:tr>
      <w:tr w14:paraId="554E2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788" w:type="dxa"/>
            <w:vMerge w:val="restart"/>
            <w:shd w:val="clear" w:color="auto" w:fill="auto"/>
            <w:tcMar>
              <w:left w:w="0" w:type="dxa"/>
              <w:right w:w="0" w:type="dxa"/>
            </w:tcMar>
            <w:vAlign w:val="center"/>
          </w:tcPr>
          <w:p w14:paraId="38A57F48">
            <w:pPr>
              <w:keepNext/>
              <w:adjustRightInd w:val="0"/>
              <w:snapToGrid w:val="0"/>
              <w:jc w:val="center"/>
              <w:rPr>
                <w:color w:val="auto"/>
                <w:sz w:val="21"/>
                <w:highlight w:val="none"/>
              </w:rPr>
            </w:pPr>
            <w:r>
              <w:rPr>
                <w:color w:val="auto"/>
                <w:sz w:val="21"/>
                <w:highlight w:val="none"/>
              </w:rPr>
              <w:t>章别</w:t>
            </w:r>
          </w:p>
        </w:tc>
        <w:tc>
          <w:tcPr>
            <w:tcW w:w="3085" w:type="dxa"/>
            <w:gridSpan w:val="2"/>
            <w:vMerge w:val="restart"/>
            <w:shd w:val="clear" w:color="auto" w:fill="auto"/>
            <w:tcMar>
              <w:left w:w="0" w:type="dxa"/>
              <w:right w:w="0" w:type="dxa"/>
            </w:tcMar>
            <w:vAlign w:val="center"/>
          </w:tcPr>
          <w:p w14:paraId="00FDBC4D">
            <w:pPr>
              <w:keepNext/>
              <w:adjustRightInd w:val="0"/>
              <w:snapToGrid w:val="0"/>
              <w:jc w:val="center"/>
              <w:rPr>
                <w:color w:val="auto"/>
                <w:sz w:val="21"/>
                <w:highlight w:val="none"/>
              </w:rPr>
            </w:pPr>
            <w:r>
              <w:rPr>
                <w:color w:val="auto"/>
                <w:sz w:val="21"/>
                <w:highlight w:val="none"/>
              </w:rPr>
              <w:t>工程及费用名称</w:t>
            </w:r>
          </w:p>
        </w:tc>
        <w:tc>
          <w:tcPr>
            <w:tcW w:w="6974" w:type="dxa"/>
            <w:gridSpan w:val="6"/>
            <w:shd w:val="clear" w:color="auto" w:fill="auto"/>
            <w:tcMar>
              <w:left w:w="0" w:type="dxa"/>
              <w:right w:w="0" w:type="dxa"/>
            </w:tcMar>
            <w:vAlign w:val="center"/>
          </w:tcPr>
          <w:p w14:paraId="151276F8">
            <w:pPr>
              <w:keepNext/>
              <w:adjustRightInd w:val="0"/>
              <w:snapToGrid w:val="0"/>
              <w:jc w:val="center"/>
              <w:rPr>
                <w:color w:val="auto"/>
                <w:sz w:val="21"/>
                <w:highlight w:val="none"/>
              </w:rPr>
            </w:pPr>
            <w:r>
              <w:rPr>
                <w:color w:val="auto"/>
                <w:sz w:val="21"/>
                <w:highlight w:val="none"/>
              </w:rPr>
              <w:t>估算价值（万元）</w:t>
            </w:r>
          </w:p>
        </w:tc>
        <w:tc>
          <w:tcPr>
            <w:tcW w:w="1934" w:type="dxa"/>
            <w:shd w:val="clear" w:color="auto" w:fill="auto"/>
            <w:tcMar>
              <w:left w:w="0" w:type="dxa"/>
              <w:right w:w="0" w:type="dxa"/>
            </w:tcMar>
            <w:vAlign w:val="center"/>
          </w:tcPr>
          <w:p w14:paraId="5ACEE707">
            <w:pPr>
              <w:keepNext/>
              <w:adjustRightInd w:val="0"/>
              <w:snapToGrid w:val="0"/>
              <w:jc w:val="center"/>
              <w:rPr>
                <w:color w:val="auto"/>
                <w:sz w:val="21"/>
                <w:highlight w:val="none"/>
              </w:rPr>
            </w:pPr>
            <w:r>
              <w:rPr>
                <w:color w:val="auto"/>
                <w:sz w:val="21"/>
                <w:highlight w:val="none"/>
              </w:rPr>
              <w:t>技术经济指标</w:t>
            </w:r>
          </w:p>
        </w:tc>
        <w:tc>
          <w:tcPr>
            <w:tcW w:w="859" w:type="dxa"/>
            <w:vMerge w:val="restart"/>
            <w:shd w:val="clear" w:color="auto" w:fill="auto"/>
            <w:tcMar>
              <w:left w:w="0" w:type="dxa"/>
              <w:right w:w="0" w:type="dxa"/>
            </w:tcMar>
            <w:vAlign w:val="center"/>
          </w:tcPr>
          <w:p w14:paraId="07E7B636">
            <w:pPr>
              <w:keepNext/>
              <w:adjustRightInd w:val="0"/>
              <w:snapToGrid w:val="0"/>
              <w:jc w:val="center"/>
              <w:rPr>
                <w:color w:val="auto"/>
                <w:sz w:val="21"/>
                <w:highlight w:val="none"/>
              </w:rPr>
            </w:pPr>
            <w:r>
              <w:rPr>
                <w:color w:val="auto"/>
                <w:sz w:val="21"/>
                <w:highlight w:val="none"/>
              </w:rPr>
              <w:t>费用</w:t>
            </w:r>
          </w:p>
          <w:p w14:paraId="54771A1F">
            <w:pPr>
              <w:keepNext/>
              <w:adjustRightInd w:val="0"/>
              <w:snapToGrid w:val="0"/>
              <w:jc w:val="center"/>
              <w:rPr>
                <w:color w:val="auto"/>
                <w:sz w:val="21"/>
                <w:highlight w:val="none"/>
              </w:rPr>
            </w:pPr>
            <w:r>
              <w:rPr>
                <w:color w:val="auto"/>
                <w:sz w:val="21"/>
                <w:highlight w:val="none"/>
              </w:rPr>
              <w:t>比重</w:t>
            </w:r>
          </w:p>
          <w:p w14:paraId="0C27B74F">
            <w:pPr>
              <w:keepNext/>
              <w:adjustRightInd w:val="0"/>
              <w:snapToGrid w:val="0"/>
              <w:jc w:val="center"/>
              <w:rPr>
                <w:color w:val="auto"/>
                <w:sz w:val="21"/>
                <w:highlight w:val="none"/>
              </w:rPr>
            </w:pPr>
            <w:r>
              <w:rPr>
                <w:color w:val="auto"/>
                <w:sz w:val="21"/>
                <w:highlight w:val="none"/>
              </w:rPr>
              <w:t>（%）</w:t>
            </w:r>
          </w:p>
        </w:tc>
      </w:tr>
      <w:tr w14:paraId="3ECA1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788" w:type="dxa"/>
            <w:vMerge w:val="continue"/>
            <w:shd w:val="clear" w:color="auto" w:fill="auto"/>
            <w:tcMar>
              <w:left w:w="0" w:type="dxa"/>
              <w:right w:w="0" w:type="dxa"/>
            </w:tcMar>
            <w:vAlign w:val="center"/>
          </w:tcPr>
          <w:p w14:paraId="40162CE0">
            <w:pPr>
              <w:keepNext/>
              <w:adjustRightInd w:val="0"/>
              <w:snapToGrid w:val="0"/>
              <w:jc w:val="center"/>
              <w:rPr>
                <w:color w:val="auto"/>
                <w:sz w:val="21"/>
                <w:highlight w:val="none"/>
              </w:rPr>
            </w:pPr>
          </w:p>
        </w:tc>
        <w:tc>
          <w:tcPr>
            <w:tcW w:w="3085" w:type="dxa"/>
            <w:gridSpan w:val="2"/>
            <w:vMerge w:val="continue"/>
            <w:shd w:val="clear" w:color="auto" w:fill="auto"/>
            <w:tcMar>
              <w:left w:w="0" w:type="dxa"/>
              <w:right w:w="0" w:type="dxa"/>
            </w:tcMar>
            <w:vAlign w:val="center"/>
          </w:tcPr>
          <w:p w14:paraId="412E1A5A">
            <w:pPr>
              <w:keepNext/>
              <w:adjustRightInd w:val="0"/>
              <w:snapToGrid w:val="0"/>
              <w:jc w:val="center"/>
              <w:rPr>
                <w:color w:val="auto"/>
                <w:sz w:val="21"/>
                <w:highlight w:val="none"/>
              </w:rPr>
            </w:pPr>
          </w:p>
        </w:tc>
        <w:tc>
          <w:tcPr>
            <w:tcW w:w="1097" w:type="dxa"/>
            <w:shd w:val="clear" w:color="auto" w:fill="auto"/>
            <w:tcMar>
              <w:left w:w="0" w:type="dxa"/>
              <w:right w:w="0" w:type="dxa"/>
            </w:tcMar>
            <w:vAlign w:val="center"/>
          </w:tcPr>
          <w:p w14:paraId="12130176">
            <w:pPr>
              <w:keepNext/>
              <w:adjustRightInd w:val="0"/>
              <w:snapToGrid w:val="0"/>
              <w:jc w:val="center"/>
              <w:rPr>
                <w:color w:val="auto"/>
                <w:sz w:val="21"/>
                <w:highlight w:val="none"/>
              </w:rPr>
            </w:pPr>
            <w:r>
              <w:rPr>
                <w:color w:val="auto"/>
                <w:sz w:val="21"/>
                <w:highlight w:val="none"/>
              </w:rPr>
              <w:t>Ⅰ</w:t>
            </w:r>
          </w:p>
        </w:tc>
        <w:tc>
          <w:tcPr>
            <w:tcW w:w="1239" w:type="dxa"/>
            <w:shd w:val="clear" w:color="auto" w:fill="auto"/>
            <w:tcMar>
              <w:left w:w="0" w:type="dxa"/>
              <w:right w:w="0" w:type="dxa"/>
            </w:tcMar>
            <w:vAlign w:val="center"/>
          </w:tcPr>
          <w:p w14:paraId="0D41B851">
            <w:pPr>
              <w:keepNext/>
              <w:adjustRightInd w:val="0"/>
              <w:snapToGrid w:val="0"/>
              <w:jc w:val="center"/>
              <w:rPr>
                <w:color w:val="auto"/>
                <w:sz w:val="21"/>
                <w:highlight w:val="none"/>
              </w:rPr>
            </w:pPr>
            <w:r>
              <w:rPr>
                <w:color w:val="auto"/>
                <w:sz w:val="21"/>
                <w:highlight w:val="none"/>
              </w:rPr>
              <w:t>Ⅱ</w:t>
            </w:r>
          </w:p>
        </w:tc>
        <w:tc>
          <w:tcPr>
            <w:tcW w:w="1211" w:type="dxa"/>
            <w:shd w:val="clear" w:color="auto" w:fill="auto"/>
            <w:tcMar>
              <w:left w:w="0" w:type="dxa"/>
              <w:right w:w="0" w:type="dxa"/>
            </w:tcMar>
            <w:vAlign w:val="center"/>
          </w:tcPr>
          <w:p w14:paraId="142CBECB">
            <w:pPr>
              <w:keepNext/>
              <w:adjustRightInd w:val="0"/>
              <w:snapToGrid w:val="0"/>
              <w:jc w:val="center"/>
              <w:rPr>
                <w:color w:val="auto"/>
                <w:sz w:val="21"/>
                <w:highlight w:val="none"/>
              </w:rPr>
            </w:pPr>
            <w:r>
              <w:rPr>
                <w:color w:val="auto"/>
                <w:sz w:val="21"/>
                <w:highlight w:val="none"/>
              </w:rPr>
              <w:t>Ⅲ</w:t>
            </w:r>
          </w:p>
        </w:tc>
        <w:tc>
          <w:tcPr>
            <w:tcW w:w="1258" w:type="dxa"/>
            <w:shd w:val="clear" w:color="auto" w:fill="auto"/>
            <w:tcMar>
              <w:left w:w="0" w:type="dxa"/>
              <w:right w:w="0" w:type="dxa"/>
            </w:tcMar>
            <w:vAlign w:val="center"/>
          </w:tcPr>
          <w:p w14:paraId="5DCED9F7">
            <w:pPr>
              <w:keepNext/>
              <w:adjustRightInd w:val="0"/>
              <w:snapToGrid w:val="0"/>
              <w:jc w:val="center"/>
              <w:rPr>
                <w:color w:val="auto"/>
                <w:sz w:val="21"/>
                <w:highlight w:val="none"/>
              </w:rPr>
            </w:pPr>
            <w:r>
              <w:rPr>
                <w:color w:val="auto"/>
                <w:sz w:val="21"/>
                <w:highlight w:val="none"/>
              </w:rPr>
              <w:t>Ⅳ</w:t>
            </w:r>
          </w:p>
        </w:tc>
        <w:tc>
          <w:tcPr>
            <w:tcW w:w="884" w:type="dxa"/>
            <w:vMerge w:val="restart"/>
            <w:shd w:val="clear" w:color="auto" w:fill="auto"/>
            <w:tcMar>
              <w:left w:w="0" w:type="dxa"/>
              <w:right w:w="0" w:type="dxa"/>
            </w:tcMar>
            <w:vAlign w:val="center"/>
          </w:tcPr>
          <w:p w14:paraId="36AFCD05">
            <w:pPr>
              <w:keepNext/>
              <w:adjustRightInd w:val="0"/>
              <w:snapToGrid w:val="0"/>
              <w:jc w:val="center"/>
              <w:rPr>
                <w:color w:val="auto"/>
                <w:sz w:val="21"/>
                <w:highlight w:val="none"/>
              </w:rPr>
            </w:pPr>
            <w:r>
              <w:rPr>
                <w:color w:val="auto"/>
                <w:sz w:val="21"/>
                <w:highlight w:val="none"/>
              </w:rPr>
              <w:t>合计</w:t>
            </w:r>
          </w:p>
        </w:tc>
        <w:tc>
          <w:tcPr>
            <w:tcW w:w="1285" w:type="dxa"/>
            <w:vMerge w:val="restart"/>
            <w:shd w:val="clear" w:color="auto" w:fill="auto"/>
            <w:tcMar>
              <w:left w:w="0" w:type="dxa"/>
              <w:right w:w="0" w:type="dxa"/>
            </w:tcMar>
            <w:vAlign w:val="center"/>
          </w:tcPr>
          <w:p w14:paraId="56E72F53">
            <w:pPr>
              <w:keepNext/>
              <w:adjustRightInd w:val="0"/>
              <w:snapToGrid w:val="0"/>
              <w:jc w:val="center"/>
              <w:rPr>
                <w:color w:val="auto"/>
                <w:sz w:val="21"/>
                <w:highlight w:val="none"/>
              </w:rPr>
            </w:pPr>
            <w:r>
              <w:rPr>
                <w:color w:val="auto"/>
                <w:sz w:val="21"/>
                <w:highlight w:val="none"/>
              </w:rPr>
              <w:t>其中外汇</w:t>
            </w:r>
          </w:p>
          <w:p w14:paraId="27DD3172">
            <w:pPr>
              <w:keepNext/>
              <w:adjustRightInd w:val="0"/>
              <w:snapToGrid w:val="0"/>
              <w:jc w:val="center"/>
              <w:rPr>
                <w:color w:val="auto"/>
                <w:sz w:val="21"/>
                <w:highlight w:val="none"/>
              </w:rPr>
            </w:pPr>
            <w:r>
              <w:rPr>
                <w:color w:val="auto"/>
                <w:sz w:val="21"/>
                <w:highlight w:val="none"/>
              </w:rPr>
              <w:t>（万美元）</w:t>
            </w:r>
          </w:p>
        </w:tc>
        <w:tc>
          <w:tcPr>
            <w:tcW w:w="1934" w:type="dxa"/>
            <w:vMerge w:val="restart"/>
            <w:shd w:val="clear" w:color="auto" w:fill="auto"/>
            <w:tcMar>
              <w:left w:w="0" w:type="dxa"/>
              <w:right w:w="0" w:type="dxa"/>
            </w:tcMar>
            <w:vAlign w:val="center"/>
          </w:tcPr>
          <w:p w14:paraId="77D3013B">
            <w:pPr>
              <w:keepNext/>
              <w:adjustRightInd w:val="0"/>
              <w:snapToGrid w:val="0"/>
              <w:jc w:val="center"/>
              <w:rPr>
                <w:color w:val="auto"/>
                <w:sz w:val="21"/>
                <w:highlight w:val="none"/>
              </w:rPr>
            </w:pPr>
            <w:r>
              <w:rPr>
                <w:color w:val="auto"/>
                <w:sz w:val="21"/>
                <w:highlight w:val="none"/>
              </w:rPr>
              <w:t>（万元／正线公里）</w:t>
            </w:r>
          </w:p>
        </w:tc>
        <w:tc>
          <w:tcPr>
            <w:tcW w:w="859" w:type="dxa"/>
            <w:vMerge w:val="continue"/>
            <w:shd w:val="clear" w:color="auto" w:fill="auto"/>
            <w:tcMar>
              <w:left w:w="0" w:type="dxa"/>
              <w:right w:w="0" w:type="dxa"/>
            </w:tcMar>
            <w:vAlign w:val="center"/>
          </w:tcPr>
          <w:p w14:paraId="4772C06F">
            <w:pPr>
              <w:keepNext/>
              <w:adjustRightInd w:val="0"/>
              <w:snapToGrid w:val="0"/>
              <w:jc w:val="center"/>
              <w:rPr>
                <w:color w:val="auto"/>
                <w:sz w:val="21"/>
                <w:highlight w:val="none"/>
              </w:rPr>
            </w:pPr>
          </w:p>
        </w:tc>
      </w:tr>
      <w:tr w14:paraId="0D93B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788" w:type="dxa"/>
            <w:vMerge w:val="continue"/>
            <w:shd w:val="clear" w:color="auto" w:fill="auto"/>
            <w:tcMar>
              <w:left w:w="0" w:type="dxa"/>
              <w:right w:w="0" w:type="dxa"/>
            </w:tcMar>
            <w:vAlign w:val="center"/>
          </w:tcPr>
          <w:p w14:paraId="31916AC0">
            <w:pPr>
              <w:keepNext/>
              <w:adjustRightInd w:val="0"/>
              <w:snapToGrid w:val="0"/>
              <w:jc w:val="center"/>
              <w:rPr>
                <w:color w:val="auto"/>
                <w:sz w:val="21"/>
                <w:highlight w:val="none"/>
              </w:rPr>
            </w:pPr>
          </w:p>
        </w:tc>
        <w:tc>
          <w:tcPr>
            <w:tcW w:w="3085" w:type="dxa"/>
            <w:gridSpan w:val="2"/>
            <w:vMerge w:val="continue"/>
            <w:shd w:val="clear" w:color="auto" w:fill="auto"/>
            <w:tcMar>
              <w:left w:w="0" w:type="dxa"/>
              <w:right w:w="0" w:type="dxa"/>
            </w:tcMar>
            <w:vAlign w:val="center"/>
          </w:tcPr>
          <w:p w14:paraId="0550E83C">
            <w:pPr>
              <w:keepNext/>
              <w:adjustRightInd w:val="0"/>
              <w:snapToGrid w:val="0"/>
              <w:jc w:val="center"/>
              <w:rPr>
                <w:color w:val="auto"/>
                <w:sz w:val="21"/>
                <w:highlight w:val="none"/>
              </w:rPr>
            </w:pPr>
          </w:p>
        </w:tc>
        <w:tc>
          <w:tcPr>
            <w:tcW w:w="1097" w:type="dxa"/>
            <w:shd w:val="clear" w:color="auto" w:fill="auto"/>
            <w:tcMar>
              <w:left w:w="0" w:type="dxa"/>
              <w:right w:w="0" w:type="dxa"/>
            </w:tcMar>
            <w:vAlign w:val="center"/>
          </w:tcPr>
          <w:p w14:paraId="6A836183">
            <w:pPr>
              <w:keepNext/>
              <w:adjustRightInd w:val="0"/>
              <w:snapToGrid w:val="0"/>
              <w:jc w:val="center"/>
              <w:rPr>
                <w:color w:val="auto"/>
                <w:sz w:val="21"/>
                <w:highlight w:val="none"/>
              </w:rPr>
            </w:pPr>
            <w:r>
              <w:rPr>
                <w:color w:val="auto"/>
                <w:sz w:val="21"/>
                <w:highlight w:val="none"/>
              </w:rPr>
              <w:t>建筑工程费</w:t>
            </w:r>
          </w:p>
        </w:tc>
        <w:tc>
          <w:tcPr>
            <w:tcW w:w="1239" w:type="dxa"/>
            <w:shd w:val="clear" w:color="auto" w:fill="auto"/>
            <w:tcMar>
              <w:left w:w="0" w:type="dxa"/>
              <w:right w:w="0" w:type="dxa"/>
            </w:tcMar>
            <w:vAlign w:val="center"/>
          </w:tcPr>
          <w:p w14:paraId="24955CD1">
            <w:pPr>
              <w:keepNext/>
              <w:adjustRightInd w:val="0"/>
              <w:snapToGrid w:val="0"/>
              <w:jc w:val="center"/>
              <w:rPr>
                <w:color w:val="auto"/>
                <w:sz w:val="21"/>
                <w:highlight w:val="none"/>
              </w:rPr>
            </w:pPr>
            <w:r>
              <w:rPr>
                <w:color w:val="auto"/>
                <w:sz w:val="21"/>
                <w:highlight w:val="none"/>
              </w:rPr>
              <w:t>安装工程费</w:t>
            </w:r>
          </w:p>
        </w:tc>
        <w:tc>
          <w:tcPr>
            <w:tcW w:w="1211" w:type="dxa"/>
            <w:shd w:val="clear" w:color="auto" w:fill="auto"/>
            <w:tcMar>
              <w:left w:w="0" w:type="dxa"/>
              <w:right w:w="0" w:type="dxa"/>
            </w:tcMar>
            <w:vAlign w:val="center"/>
          </w:tcPr>
          <w:p w14:paraId="7BFF215E">
            <w:pPr>
              <w:keepNext/>
              <w:adjustRightInd w:val="0"/>
              <w:snapToGrid w:val="0"/>
              <w:jc w:val="center"/>
              <w:rPr>
                <w:color w:val="auto"/>
                <w:sz w:val="21"/>
                <w:highlight w:val="none"/>
              </w:rPr>
            </w:pPr>
            <w:r>
              <w:rPr>
                <w:color w:val="auto"/>
                <w:sz w:val="21"/>
                <w:highlight w:val="none"/>
              </w:rPr>
              <w:t>设备购置费</w:t>
            </w:r>
          </w:p>
        </w:tc>
        <w:tc>
          <w:tcPr>
            <w:tcW w:w="1258" w:type="dxa"/>
            <w:shd w:val="clear" w:color="auto" w:fill="auto"/>
            <w:tcMar>
              <w:left w:w="0" w:type="dxa"/>
              <w:right w:w="0" w:type="dxa"/>
            </w:tcMar>
            <w:vAlign w:val="center"/>
          </w:tcPr>
          <w:p w14:paraId="7715FBDB">
            <w:pPr>
              <w:keepNext/>
              <w:adjustRightInd w:val="0"/>
              <w:snapToGrid w:val="0"/>
              <w:jc w:val="center"/>
              <w:rPr>
                <w:color w:val="auto"/>
                <w:sz w:val="21"/>
                <w:highlight w:val="none"/>
              </w:rPr>
            </w:pPr>
            <w:r>
              <w:rPr>
                <w:color w:val="auto"/>
                <w:sz w:val="21"/>
                <w:highlight w:val="none"/>
              </w:rPr>
              <w:t>工程建设</w:t>
            </w:r>
          </w:p>
          <w:p w14:paraId="77D99458">
            <w:pPr>
              <w:keepNext/>
              <w:adjustRightInd w:val="0"/>
              <w:snapToGrid w:val="0"/>
              <w:jc w:val="center"/>
              <w:rPr>
                <w:color w:val="auto"/>
                <w:sz w:val="21"/>
                <w:highlight w:val="none"/>
              </w:rPr>
            </w:pPr>
            <w:r>
              <w:rPr>
                <w:color w:val="auto"/>
                <w:sz w:val="21"/>
                <w:highlight w:val="none"/>
              </w:rPr>
              <w:t>其他费用</w:t>
            </w:r>
          </w:p>
        </w:tc>
        <w:tc>
          <w:tcPr>
            <w:tcW w:w="884" w:type="dxa"/>
            <w:vMerge w:val="continue"/>
            <w:shd w:val="clear" w:color="auto" w:fill="auto"/>
            <w:tcMar>
              <w:left w:w="0" w:type="dxa"/>
              <w:right w:w="0" w:type="dxa"/>
            </w:tcMar>
            <w:vAlign w:val="center"/>
          </w:tcPr>
          <w:p w14:paraId="4C515347">
            <w:pPr>
              <w:keepNext/>
              <w:adjustRightInd w:val="0"/>
              <w:snapToGrid w:val="0"/>
              <w:jc w:val="center"/>
              <w:rPr>
                <w:color w:val="auto"/>
                <w:sz w:val="21"/>
                <w:highlight w:val="none"/>
              </w:rPr>
            </w:pPr>
          </w:p>
        </w:tc>
        <w:tc>
          <w:tcPr>
            <w:tcW w:w="1285" w:type="dxa"/>
            <w:vMerge w:val="continue"/>
            <w:shd w:val="clear" w:color="auto" w:fill="auto"/>
            <w:tcMar>
              <w:left w:w="0" w:type="dxa"/>
              <w:right w:w="0" w:type="dxa"/>
            </w:tcMar>
            <w:vAlign w:val="center"/>
          </w:tcPr>
          <w:p w14:paraId="3FB1CE6C">
            <w:pPr>
              <w:keepNext/>
              <w:adjustRightInd w:val="0"/>
              <w:snapToGrid w:val="0"/>
              <w:jc w:val="center"/>
              <w:rPr>
                <w:color w:val="auto"/>
                <w:sz w:val="21"/>
                <w:highlight w:val="none"/>
              </w:rPr>
            </w:pPr>
          </w:p>
        </w:tc>
        <w:tc>
          <w:tcPr>
            <w:tcW w:w="1934" w:type="dxa"/>
            <w:vMerge w:val="continue"/>
            <w:shd w:val="clear" w:color="auto" w:fill="auto"/>
            <w:tcMar>
              <w:left w:w="0" w:type="dxa"/>
              <w:right w:w="0" w:type="dxa"/>
            </w:tcMar>
            <w:vAlign w:val="center"/>
          </w:tcPr>
          <w:p w14:paraId="084C1617">
            <w:pPr>
              <w:keepNext/>
              <w:adjustRightInd w:val="0"/>
              <w:snapToGrid w:val="0"/>
              <w:jc w:val="center"/>
              <w:rPr>
                <w:color w:val="auto"/>
                <w:sz w:val="21"/>
                <w:highlight w:val="none"/>
              </w:rPr>
            </w:pPr>
          </w:p>
        </w:tc>
        <w:tc>
          <w:tcPr>
            <w:tcW w:w="859" w:type="dxa"/>
            <w:vMerge w:val="continue"/>
            <w:shd w:val="clear" w:color="auto" w:fill="auto"/>
            <w:tcMar>
              <w:left w:w="0" w:type="dxa"/>
              <w:right w:w="0" w:type="dxa"/>
            </w:tcMar>
            <w:vAlign w:val="center"/>
          </w:tcPr>
          <w:p w14:paraId="041DA576">
            <w:pPr>
              <w:keepNext/>
              <w:adjustRightInd w:val="0"/>
              <w:snapToGrid w:val="0"/>
              <w:jc w:val="center"/>
              <w:rPr>
                <w:color w:val="auto"/>
                <w:sz w:val="21"/>
                <w:highlight w:val="none"/>
              </w:rPr>
            </w:pPr>
          </w:p>
        </w:tc>
      </w:tr>
      <w:tr w14:paraId="2D0A7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3640" w:type="dxa"/>
            <w:gridSpan w:val="11"/>
            <w:shd w:val="clear" w:color="auto" w:fill="auto"/>
            <w:tcMar>
              <w:left w:w="0" w:type="dxa"/>
              <w:right w:w="0" w:type="dxa"/>
            </w:tcMar>
            <w:vAlign w:val="center"/>
          </w:tcPr>
          <w:p w14:paraId="4CF679B6">
            <w:pPr>
              <w:adjustRightInd w:val="0"/>
              <w:snapToGrid w:val="0"/>
              <w:jc w:val="center"/>
              <w:rPr>
                <w:color w:val="auto"/>
                <w:sz w:val="21"/>
                <w:highlight w:val="none"/>
              </w:rPr>
            </w:pPr>
            <w:r>
              <w:rPr>
                <w:color w:val="auto"/>
                <w:sz w:val="21"/>
                <w:highlight w:val="none"/>
              </w:rPr>
              <w:t>第一部分 工程费用</w:t>
            </w:r>
          </w:p>
        </w:tc>
      </w:tr>
      <w:tr w14:paraId="5818F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20C2405F">
            <w:pPr>
              <w:adjustRightInd w:val="0"/>
              <w:snapToGrid w:val="0"/>
              <w:jc w:val="center"/>
              <w:rPr>
                <w:color w:val="auto"/>
                <w:sz w:val="21"/>
                <w:highlight w:val="none"/>
              </w:rPr>
            </w:pPr>
            <w:r>
              <w:rPr>
                <w:color w:val="auto"/>
                <w:sz w:val="21"/>
                <w:highlight w:val="none"/>
              </w:rPr>
              <w:t>一</w:t>
            </w:r>
          </w:p>
        </w:tc>
        <w:tc>
          <w:tcPr>
            <w:tcW w:w="3085" w:type="dxa"/>
            <w:gridSpan w:val="2"/>
            <w:shd w:val="clear" w:color="auto" w:fill="auto"/>
            <w:tcMar>
              <w:left w:w="0" w:type="dxa"/>
              <w:right w:w="0" w:type="dxa"/>
            </w:tcMar>
            <w:vAlign w:val="center"/>
          </w:tcPr>
          <w:p w14:paraId="4383EC74">
            <w:pPr>
              <w:adjustRightInd w:val="0"/>
              <w:snapToGrid w:val="0"/>
              <w:jc w:val="center"/>
              <w:rPr>
                <w:color w:val="auto"/>
                <w:sz w:val="21"/>
                <w:highlight w:val="none"/>
              </w:rPr>
            </w:pPr>
            <w:r>
              <w:rPr>
                <w:color w:val="auto"/>
                <w:sz w:val="21"/>
                <w:highlight w:val="none"/>
              </w:rPr>
              <w:t>车站</w:t>
            </w:r>
          </w:p>
        </w:tc>
        <w:tc>
          <w:tcPr>
            <w:tcW w:w="1097" w:type="dxa"/>
            <w:shd w:val="clear" w:color="auto" w:fill="auto"/>
            <w:tcMar>
              <w:left w:w="0" w:type="dxa"/>
              <w:right w:w="0" w:type="dxa"/>
            </w:tcMar>
            <w:vAlign w:val="center"/>
          </w:tcPr>
          <w:p w14:paraId="177A80C7">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2CD0E9EB">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19D1E89E">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0CDE0B3E">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41305F08">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246C0166">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3F2E3072">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128BF163">
            <w:pPr>
              <w:adjustRightInd w:val="0"/>
              <w:snapToGrid w:val="0"/>
              <w:jc w:val="center"/>
              <w:rPr>
                <w:color w:val="auto"/>
                <w:sz w:val="21"/>
                <w:highlight w:val="none"/>
              </w:rPr>
            </w:pPr>
            <w:r>
              <w:rPr>
                <w:color w:val="auto"/>
                <w:sz w:val="21"/>
                <w:highlight w:val="none"/>
              </w:rPr>
              <w:t>　</w:t>
            </w:r>
          </w:p>
        </w:tc>
      </w:tr>
      <w:tr w14:paraId="3683F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28994D27">
            <w:pPr>
              <w:adjustRightInd w:val="0"/>
              <w:snapToGrid w:val="0"/>
              <w:jc w:val="center"/>
              <w:rPr>
                <w:color w:val="auto"/>
                <w:sz w:val="21"/>
                <w:highlight w:val="none"/>
              </w:rPr>
            </w:pPr>
            <w:r>
              <w:rPr>
                <w:color w:val="auto"/>
                <w:sz w:val="21"/>
                <w:highlight w:val="none"/>
              </w:rPr>
              <w:t>二</w:t>
            </w:r>
          </w:p>
        </w:tc>
        <w:tc>
          <w:tcPr>
            <w:tcW w:w="3085" w:type="dxa"/>
            <w:gridSpan w:val="2"/>
            <w:shd w:val="clear" w:color="auto" w:fill="auto"/>
            <w:tcMar>
              <w:left w:w="0" w:type="dxa"/>
              <w:right w:w="0" w:type="dxa"/>
            </w:tcMar>
            <w:vAlign w:val="center"/>
          </w:tcPr>
          <w:p w14:paraId="6758B223">
            <w:pPr>
              <w:adjustRightInd w:val="0"/>
              <w:snapToGrid w:val="0"/>
              <w:jc w:val="center"/>
              <w:rPr>
                <w:color w:val="auto"/>
                <w:sz w:val="21"/>
                <w:highlight w:val="none"/>
              </w:rPr>
            </w:pPr>
            <w:r>
              <w:rPr>
                <w:color w:val="auto"/>
                <w:sz w:val="21"/>
                <w:highlight w:val="none"/>
              </w:rPr>
              <w:t>区间</w:t>
            </w:r>
          </w:p>
        </w:tc>
        <w:tc>
          <w:tcPr>
            <w:tcW w:w="1097" w:type="dxa"/>
            <w:shd w:val="clear" w:color="auto" w:fill="auto"/>
            <w:tcMar>
              <w:left w:w="0" w:type="dxa"/>
              <w:right w:w="0" w:type="dxa"/>
            </w:tcMar>
            <w:vAlign w:val="center"/>
          </w:tcPr>
          <w:p w14:paraId="3B35FB01">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529195BD">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4C2DAE05">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6DA21C3D">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4A06D369">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0DE708A7">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1DC4A057">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6B6D60FD">
            <w:pPr>
              <w:adjustRightInd w:val="0"/>
              <w:snapToGrid w:val="0"/>
              <w:jc w:val="center"/>
              <w:rPr>
                <w:color w:val="auto"/>
                <w:sz w:val="21"/>
                <w:highlight w:val="none"/>
              </w:rPr>
            </w:pPr>
            <w:r>
              <w:rPr>
                <w:color w:val="auto"/>
                <w:sz w:val="21"/>
                <w:highlight w:val="none"/>
              </w:rPr>
              <w:t>　</w:t>
            </w:r>
          </w:p>
        </w:tc>
      </w:tr>
      <w:tr w14:paraId="6362F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077D80C3">
            <w:pPr>
              <w:adjustRightInd w:val="0"/>
              <w:snapToGrid w:val="0"/>
              <w:jc w:val="center"/>
              <w:rPr>
                <w:color w:val="auto"/>
                <w:sz w:val="21"/>
                <w:highlight w:val="none"/>
              </w:rPr>
            </w:pPr>
            <w:r>
              <w:rPr>
                <w:color w:val="auto"/>
                <w:sz w:val="21"/>
                <w:highlight w:val="none"/>
              </w:rPr>
              <w:t>三</w:t>
            </w:r>
          </w:p>
        </w:tc>
        <w:tc>
          <w:tcPr>
            <w:tcW w:w="3085" w:type="dxa"/>
            <w:gridSpan w:val="2"/>
            <w:shd w:val="clear" w:color="auto" w:fill="auto"/>
            <w:tcMar>
              <w:left w:w="0" w:type="dxa"/>
              <w:right w:w="0" w:type="dxa"/>
            </w:tcMar>
            <w:vAlign w:val="center"/>
          </w:tcPr>
          <w:p w14:paraId="4B749795">
            <w:pPr>
              <w:adjustRightInd w:val="0"/>
              <w:snapToGrid w:val="0"/>
              <w:jc w:val="center"/>
              <w:rPr>
                <w:color w:val="auto"/>
                <w:sz w:val="21"/>
                <w:highlight w:val="none"/>
              </w:rPr>
            </w:pPr>
            <w:r>
              <w:rPr>
                <w:color w:val="auto"/>
                <w:sz w:val="21"/>
                <w:highlight w:val="none"/>
              </w:rPr>
              <w:t>轨道</w:t>
            </w:r>
          </w:p>
        </w:tc>
        <w:tc>
          <w:tcPr>
            <w:tcW w:w="1097" w:type="dxa"/>
            <w:shd w:val="clear" w:color="auto" w:fill="auto"/>
            <w:tcMar>
              <w:left w:w="0" w:type="dxa"/>
              <w:right w:w="0" w:type="dxa"/>
            </w:tcMar>
            <w:vAlign w:val="center"/>
          </w:tcPr>
          <w:p w14:paraId="3F26501F">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34D87007">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31E4F0EF">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0D528FF2">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2F7412FA">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428CE1B1">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33302507">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69DE4EB4">
            <w:pPr>
              <w:adjustRightInd w:val="0"/>
              <w:snapToGrid w:val="0"/>
              <w:jc w:val="center"/>
              <w:rPr>
                <w:color w:val="auto"/>
                <w:sz w:val="21"/>
                <w:highlight w:val="none"/>
              </w:rPr>
            </w:pPr>
            <w:r>
              <w:rPr>
                <w:color w:val="auto"/>
                <w:sz w:val="21"/>
                <w:highlight w:val="none"/>
              </w:rPr>
              <w:t>　</w:t>
            </w:r>
          </w:p>
        </w:tc>
      </w:tr>
      <w:tr w14:paraId="350DE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3658566B">
            <w:pPr>
              <w:adjustRightInd w:val="0"/>
              <w:snapToGrid w:val="0"/>
              <w:jc w:val="center"/>
              <w:rPr>
                <w:color w:val="auto"/>
                <w:sz w:val="21"/>
                <w:highlight w:val="none"/>
              </w:rPr>
            </w:pPr>
            <w:r>
              <w:rPr>
                <w:color w:val="auto"/>
                <w:sz w:val="21"/>
                <w:highlight w:val="none"/>
              </w:rPr>
              <w:t>四</w:t>
            </w:r>
          </w:p>
        </w:tc>
        <w:tc>
          <w:tcPr>
            <w:tcW w:w="3085" w:type="dxa"/>
            <w:gridSpan w:val="2"/>
            <w:shd w:val="clear" w:color="auto" w:fill="auto"/>
            <w:tcMar>
              <w:left w:w="0" w:type="dxa"/>
              <w:right w:w="0" w:type="dxa"/>
            </w:tcMar>
            <w:vAlign w:val="center"/>
          </w:tcPr>
          <w:p w14:paraId="2C4C9091">
            <w:pPr>
              <w:adjustRightInd w:val="0"/>
              <w:snapToGrid w:val="0"/>
              <w:jc w:val="center"/>
              <w:rPr>
                <w:color w:val="auto"/>
                <w:sz w:val="21"/>
                <w:highlight w:val="none"/>
              </w:rPr>
            </w:pPr>
            <w:r>
              <w:rPr>
                <w:color w:val="auto"/>
                <w:sz w:val="21"/>
                <w:highlight w:val="none"/>
              </w:rPr>
              <w:t>通信</w:t>
            </w:r>
          </w:p>
        </w:tc>
        <w:tc>
          <w:tcPr>
            <w:tcW w:w="1097" w:type="dxa"/>
            <w:shd w:val="clear" w:color="auto" w:fill="auto"/>
            <w:tcMar>
              <w:left w:w="0" w:type="dxa"/>
              <w:right w:w="0" w:type="dxa"/>
            </w:tcMar>
            <w:vAlign w:val="center"/>
          </w:tcPr>
          <w:p w14:paraId="1DE3008C">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58F20355">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269EBA02">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2715BB7B">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0D185161">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49F9DEFC">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495313F2">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6247F9FA">
            <w:pPr>
              <w:adjustRightInd w:val="0"/>
              <w:snapToGrid w:val="0"/>
              <w:jc w:val="center"/>
              <w:rPr>
                <w:color w:val="auto"/>
                <w:sz w:val="21"/>
                <w:highlight w:val="none"/>
              </w:rPr>
            </w:pPr>
            <w:r>
              <w:rPr>
                <w:color w:val="auto"/>
                <w:sz w:val="21"/>
                <w:highlight w:val="none"/>
              </w:rPr>
              <w:t>　</w:t>
            </w:r>
          </w:p>
        </w:tc>
      </w:tr>
      <w:tr w14:paraId="3775E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327D3B90">
            <w:pPr>
              <w:adjustRightInd w:val="0"/>
              <w:snapToGrid w:val="0"/>
              <w:jc w:val="center"/>
              <w:rPr>
                <w:color w:val="auto"/>
                <w:sz w:val="21"/>
                <w:highlight w:val="none"/>
              </w:rPr>
            </w:pPr>
            <w:r>
              <w:rPr>
                <w:color w:val="auto"/>
                <w:sz w:val="21"/>
                <w:highlight w:val="none"/>
              </w:rPr>
              <w:t>五</w:t>
            </w:r>
          </w:p>
        </w:tc>
        <w:tc>
          <w:tcPr>
            <w:tcW w:w="3085" w:type="dxa"/>
            <w:gridSpan w:val="2"/>
            <w:shd w:val="clear" w:color="auto" w:fill="auto"/>
            <w:tcMar>
              <w:left w:w="0" w:type="dxa"/>
              <w:right w:w="0" w:type="dxa"/>
            </w:tcMar>
            <w:vAlign w:val="center"/>
          </w:tcPr>
          <w:p w14:paraId="09171E93">
            <w:pPr>
              <w:adjustRightInd w:val="0"/>
              <w:snapToGrid w:val="0"/>
              <w:jc w:val="center"/>
              <w:rPr>
                <w:color w:val="auto"/>
                <w:sz w:val="21"/>
                <w:highlight w:val="none"/>
              </w:rPr>
            </w:pPr>
            <w:r>
              <w:rPr>
                <w:color w:val="auto"/>
                <w:sz w:val="21"/>
                <w:highlight w:val="none"/>
              </w:rPr>
              <w:t>信号</w:t>
            </w:r>
          </w:p>
        </w:tc>
        <w:tc>
          <w:tcPr>
            <w:tcW w:w="1097" w:type="dxa"/>
            <w:shd w:val="clear" w:color="auto" w:fill="auto"/>
            <w:tcMar>
              <w:left w:w="0" w:type="dxa"/>
              <w:right w:w="0" w:type="dxa"/>
            </w:tcMar>
            <w:vAlign w:val="center"/>
          </w:tcPr>
          <w:p w14:paraId="11715394">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65F7D736">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7908225C">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42FC0332">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13DE11BB">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41146CE9">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18B9FC3C">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6B7453FF">
            <w:pPr>
              <w:adjustRightInd w:val="0"/>
              <w:snapToGrid w:val="0"/>
              <w:jc w:val="center"/>
              <w:rPr>
                <w:color w:val="auto"/>
                <w:sz w:val="21"/>
                <w:highlight w:val="none"/>
              </w:rPr>
            </w:pPr>
            <w:r>
              <w:rPr>
                <w:color w:val="auto"/>
                <w:sz w:val="21"/>
                <w:highlight w:val="none"/>
              </w:rPr>
              <w:t>　</w:t>
            </w:r>
          </w:p>
        </w:tc>
      </w:tr>
      <w:tr w14:paraId="5C713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2750313D">
            <w:pPr>
              <w:adjustRightInd w:val="0"/>
              <w:snapToGrid w:val="0"/>
              <w:jc w:val="center"/>
              <w:rPr>
                <w:color w:val="auto"/>
                <w:sz w:val="21"/>
                <w:highlight w:val="none"/>
              </w:rPr>
            </w:pPr>
            <w:r>
              <w:rPr>
                <w:color w:val="auto"/>
                <w:sz w:val="21"/>
                <w:highlight w:val="none"/>
              </w:rPr>
              <w:t>六</w:t>
            </w:r>
          </w:p>
        </w:tc>
        <w:tc>
          <w:tcPr>
            <w:tcW w:w="3085" w:type="dxa"/>
            <w:gridSpan w:val="2"/>
            <w:shd w:val="clear" w:color="auto" w:fill="auto"/>
            <w:tcMar>
              <w:left w:w="0" w:type="dxa"/>
              <w:right w:w="0" w:type="dxa"/>
            </w:tcMar>
            <w:vAlign w:val="center"/>
          </w:tcPr>
          <w:p w14:paraId="3C75CB60">
            <w:pPr>
              <w:adjustRightInd w:val="0"/>
              <w:snapToGrid w:val="0"/>
              <w:jc w:val="center"/>
              <w:rPr>
                <w:color w:val="auto"/>
                <w:sz w:val="21"/>
                <w:highlight w:val="none"/>
              </w:rPr>
            </w:pPr>
            <w:r>
              <w:rPr>
                <w:color w:val="auto"/>
                <w:sz w:val="21"/>
                <w:highlight w:val="none"/>
              </w:rPr>
              <w:t>供电</w:t>
            </w:r>
          </w:p>
        </w:tc>
        <w:tc>
          <w:tcPr>
            <w:tcW w:w="1097" w:type="dxa"/>
            <w:shd w:val="clear" w:color="auto" w:fill="auto"/>
            <w:tcMar>
              <w:left w:w="0" w:type="dxa"/>
              <w:right w:w="0" w:type="dxa"/>
            </w:tcMar>
            <w:vAlign w:val="center"/>
          </w:tcPr>
          <w:p w14:paraId="4A7A617F">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4E2A2434">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6A8BE22D">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75F7E142">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2EF805FC">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7A38A306">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166D3A2A">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3C8DB985">
            <w:pPr>
              <w:adjustRightInd w:val="0"/>
              <w:snapToGrid w:val="0"/>
              <w:jc w:val="center"/>
              <w:rPr>
                <w:color w:val="auto"/>
                <w:sz w:val="21"/>
                <w:highlight w:val="none"/>
              </w:rPr>
            </w:pPr>
            <w:r>
              <w:rPr>
                <w:color w:val="auto"/>
                <w:sz w:val="21"/>
                <w:highlight w:val="none"/>
              </w:rPr>
              <w:t>　</w:t>
            </w:r>
          </w:p>
        </w:tc>
      </w:tr>
      <w:tr w14:paraId="278A1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2B6FAD87">
            <w:pPr>
              <w:adjustRightInd w:val="0"/>
              <w:snapToGrid w:val="0"/>
              <w:jc w:val="center"/>
              <w:rPr>
                <w:color w:val="auto"/>
                <w:sz w:val="21"/>
                <w:highlight w:val="none"/>
              </w:rPr>
            </w:pPr>
            <w:r>
              <w:rPr>
                <w:color w:val="auto"/>
                <w:sz w:val="21"/>
                <w:highlight w:val="none"/>
              </w:rPr>
              <w:t>七</w:t>
            </w:r>
          </w:p>
        </w:tc>
        <w:tc>
          <w:tcPr>
            <w:tcW w:w="3085" w:type="dxa"/>
            <w:gridSpan w:val="2"/>
            <w:shd w:val="clear" w:color="auto" w:fill="auto"/>
            <w:tcMar>
              <w:left w:w="0" w:type="dxa"/>
              <w:right w:w="0" w:type="dxa"/>
            </w:tcMar>
            <w:vAlign w:val="center"/>
          </w:tcPr>
          <w:p w14:paraId="2AEE6B63">
            <w:pPr>
              <w:adjustRightInd w:val="0"/>
              <w:snapToGrid w:val="0"/>
              <w:jc w:val="center"/>
              <w:rPr>
                <w:color w:val="auto"/>
                <w:sz w:val="21"/>
                <w:highlight w:val="none"/>
              </w:rPr>
            </w:pPr>
            <w:r>
              <w:rPr>
                <w:color w:val="auto"/>
                <w:sz w:val="21"/>
                <w:highlight w:val="none"/>
              </w:rPr>
              <w:t>综合监控（ISCS）</w:t>
            </w:r>
          </w:p>
        </w:tc>
        <w:tc>
          <w:tcPr>
            <w:tcW w:w="1097" w:type="dxa"/>
            <w:shd w:val="clear" w:color="auto" w:fill="auto"/>
            <w:tcMar>
              <w:left w:w="0" w:type="dxa"/>
              <w:right w:w="0" w:type="dxa"/>
            </w:tcMar>
            <w:vAlign w:val="center"/>
          </w:tcPr>
          <w:p w14:paraId="30B2447D">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4C1F5D21">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3BF349AA">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5BAF37D8">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6510EF53">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04CB3F8C">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0B2746E4">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2E2A3314">
            <w:pPr>
              <w:adjustRightInd w:val="0"/>
              <w:snapToGrid w:val="0"/>
              <w:jc w:val="center"/>
              <w:rPr>
                <w:color w:val="auto"/>
                <w:sz w:val="21"/>
                <w:highlight w:val="none"/>
              </w:rPr>
            </w:pPr>
            <w:r>
              <w:rPr>
                <w:color w:val="auto"/>
                <w:sz w:val="21"/>
                <w:highlight w:val="none"/>
              </w:rPr>
              <w:t>　</w:t>
            </w:r>
          </w:p>
        </w:tc>
      </w:tr>
      <w:tr w14:paraId="5501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6DBE0EA0">
            <w:pPr>
              <w:adjustRightInd w:val="0"/>
              <w:snapToGrid w:val="0"/>
              <w:jc w:val="center"/>
              <w:rPr>
                <w:color w:val="auto"/>
                <w:sz w:val="21"/>
                <w:highlight w:val="none"/>
              </w:rPr>
            </w:pPr>
            <w:r>
              <w:rPr>
                <w:color w:val="auto"/>
                <w:sz w:val="21"/>
                <w:highlight w:val="none"/>
              </w:rPr>
              <w:t>八</w:t>
            </w:r>
          </w:p>
        </w:tc>
        <w:tc>
          <w:tcPr>
            <w:tcW w:w="3085" w:type="dxa"/>
            <w:gridSpan w:val="2"/>
            <w:shd w:val="clear" w:color="auto" w:fill="auto"/>
            <w:tcMar>
              <w:left w:w="0" w:type="dxa"/>
              <w:right w:w="0" w:type="dxa"/>
            </w:tcMar>
            <w:vAlign w:val="center"/>
          </w:tcPr>
          <w:p w14:paraId="48C825EC">
            <w:pPr>
              <w:adjustRightInd w:val="0"/>
              <w:snapToGrid w:val="0"/>
              <w:jc w:val="center"/>
              <w:rPr>
                <w:color w:val="auto"/>
                <w:sz w:val="21"/>
                <w:highlight w:val="none"/>
              </w:rPr>
            </w:pPr>
            <w:r>
              <w:rPr>
                <w:color w:val="auto"/>
                <w:sz w:val="21"/>
                <w:highlight w:val="none"/>
              </w:rPr>
              <w:t>火灾自动报警、环境与设备监控</w:t>
            </w:r>
          </w:p>
        </w:tc>
        <w:tc>
          <w:tcPr>
            <w:tcW w:w="1097" w:type="dxa"/>
            <w:shd w:val="clear" w:color="auto" w:fill="auto"/>
            <w:tcMar>
              <w:left w:w="0" w:type="dxa"/>
              <w:right w:w="0" w:type="dxa"/>
            </w:tcMar>
            <w:vAlign w:val="center"/>
          </w:tcPr>
          <w:p w14:paraId="1829D014">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474C44EC">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0734CC46">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08922E24">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016117DE">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014049EB">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5AA35B45">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25F8A3E2">
            <w:pPr>
              <w:adjustRightInd w:val="0"/>
              <w:snapToGrid w:val="0"/>
              <w:jc w:val="center"/>
              <w:rPr>
                <w:color w:val="auto"/>
                <w:sz w:val="21"/>
                <w:highlight w:val="none"/>
              </w:rPr>
            </w:pPr>
            <w:r>
              <w:rPr>
                <w:color w:val="auto"/>
                <w:sz w:val="21"/>
                <w:highlight w:val="none"/>
              </w:rPr>
              <w:t>　</w:t>
            </w:r>
          </w:p>
        </w:tc>
      </w:tr>
      <w:tr w14:paraId="058CD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56E79C81">
            <w:pPr>
              <w:adjustRightInd w:val="0"/>
              <w:snapToGrid w:val="0"/>
              <w:jc w:val="center"/>
              <w:rPr>
                <w:color w:val="auto"/>
                <w:sz w:val="21"/>
                <w:highlight w:val="none"/>
              </w:rPr>
            </w:pPr>
            <w:r>
              <w:rPr>
                <w:color w:val="auto"/>
                <w:sz w:val="21"/>
                <w:highlight w:val="none"/>
              </w:rPr>
              <w:t>九</w:t>
            </w:r>
          </w:p>
        </w:tc>
        <w:tc>
          <w:tcPr>
            <w:tcW w:w="3085" w:type="dxa"/>
            <w:gridSpan w:val="2"/>
            <w:shd w:val="clear" w:color="auto" w:fill="auto"/>
            <w:tcMar>
              <w:left w:w="0" w:type="dxa"/>
              <w:right w:w="0" w:type="dxa"/>
            </w:tcMar>
            <w:vAlign w:val="center"/>
          </w:tcPr>
          <w:p w14:paraId="44520BCD">
            <w:pPr>
              <w:adjustRightInd w:val="0"/>
              <w:snapToGrid w:val="0"/>
              <w:jc w:val="center"/>
              <w:rPr>
                <w:color w:val="auto"/>
                <w:sz w:val="21"/>
                <w:highlight w:val="none"/>
              </w:rPr>
            </w:pPr>
            <w:r>
              <w:rPr>
                <w:color w:val="auto"/>
                <w:sz w:val="21"/>
                <w:highlight w:val="none"/>
              </w:rPr>
              <w:t>安防与门禁</w:t>
            </w:r>
          </w:p>
        </w:tc>
        <w:tc>
          <w:tcPr>
            <w:tcW w:w="1097" w:type="dxa"/>
            <w:shd w:val="clear" w:color="auto" w:fill="auto"/>
            <w:tcMar>
              <w:left w:w="0" w:type="dxa"/>
              <w:right w:w="0" w:type="dxa"/>
            </w:tcMar>
            <w:vAlign w:val="center"/>
          </w:tcPr>
          <w:p w14:paraId="534B8179">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40094E11">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704E1DC4">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5C601341">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2F7F69F8">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3FBC5813">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6887F50C">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0F483DBD">
            <w:pPr>
              <w:adjustRightInd w:val="0"/>
              <w:snapToGrid w:val="0"/>
              <w:jc w:val="center"/>
              <w:rPr>
                <w:color w:val="auto"/>
                <w:sz w:val="21"/>
                <w:highlight w:val="none"/>
              </w:rPr>
            </w:pPr>
            <w:r>
              <w:rPr>
                <w:color w:val="auto"/>
                <w:sz w:val="21"/>
                <w:highlight w:val="none"/>
              </w:rPr>
              <w:t>　</w:t>
            </w:r>
          </w:p>
        </w:tc>
      </w:tr>
      <w:tr w14:paraId="3761F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72F50267">
            <w:pPr>
              <w:adjustRightInd w:val="0"/>
              <w:snapToGrid w:val="0"/>
              <w:jc w:val="center"/>
              <w:rPr>
                <w:color w:val="auto"/>
                <w:sz w:val="21"/>
                <w:highlight w:val="none"/>
              </w:rPr>
            </w:pPr>
            <w:r>
              <w:rPr>
                <w:color w:val="auto"/>
                <w:sz w:val="21"/>
                <w:highlight w:val="none"/>
              </w:rPr>
              <w:t>十</w:t>
            </w:r>
          </w:p>
        </w:tc>
        <w:tc>
          <w:tcPr>
            <w:tcW w:w="3085" w:type="dxa"/>
            <w:gridSpan w:val="2"/>
            <w:shd w:val="clear" w:color="auto" w:fill="auto"/>
            <w:tcMar>
              <w:left w:w="0" w:type="dxa"/>
              <w:right w:w="0" w:type="dxa"/>
            </w:tcMar>
            <w:vAlign w:val="center"/>
          </w:tcPr>
          <w:p w14:paraId="0A8A7C54">
            <w:pPr>
              <w:adjustRightInd w:val="0"/>
              <w:snapToGrid w:val="0"/>
              <w:jc w:val="center"/>
              <w:rPr>
                <w:color w:val="auto"/>
                <w:sz w:val="21"/>
                <w:highlight w:val="none"/>
              </w:rPr>
            </w:pPr>
            <w:r>
              <w:rPr>
                <w:color w:val="auto"/>
                <w:sz w:val="21"/>
                <w:highlight w:val="none"/>
              </w:rPr>
              <w:t>通风、空调与供暖</w:t>
            </w:r>
          </w:p>
        </w:tc>
        <w:tc>
          <w:tcPr>
            <w:tcW w:w="1097" w:type="dxa"/>
            <w:shd w:val="clear" w:color="auto" w:fill="auto"/>
            <w:tcMar>
              <w:left w:w="0" w:type="dxa"/>
              <w:right w:w="0" w:type="dxa"/>
            </w:tcMar>
            <w:vAlign w:val="center"/>
          </w:tcPr>
          <w:p w14:paraId="764275DD">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6C98AAE1">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42D74628">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7527C3BD">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7239BFAB">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09115A00">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40097AA3">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68B7F69A">
            <w:pPr>
              <w:adjustRightInd w:val="0"/>
              <w:snapToGrid w:val="0"/>
              <w:jc w:val="center"/>
              <w:rPr>
                <w:color w:val="auto"/>
                <w:sz w:val="21"/>
                <w:highlight w:val="none"/>
              </w:rPr>
            </w:pPr>
            <w:r>
              <w:rPr>
                <w:color w:val="auto"/>
                <w:sz w:val="21"/>
                <w:highlight w:val="none"/>
              </w:rPr>
              <w:t>　</w:t>
            </w:r>
          </w:p>
        </w:tc>
      </w:tr>
      <w:tr w14:paraId="32F42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53F95C49">
            <w:pPr>
              <w:adjustRightInd w:val="0"/>
              <w:snapToGrid w:val="0"/>
              <w:jc w:val="center"/>
              <w:rPr>
                <w:color w:val="auto"/>
                <w:sz w:val="21"/>
                <w:highlight w:val="none"/>
              </w:rPr>
            </w:pPr>
            <w:r>
              <w:rPr>
                <w:color w:val="auto"/>
                <w:sz w:val="21"/>
                <w:highlight w:val="none"/>
              </w:rPr>
              <w:t>十一</w:t>
            </w:r>
          </w:p>
        </w:tc>
        <w:tc>
          <w:tcPr>
            <w:tcW w:w="3085" w:type="dxa"/>
            <w:gridSpan w:val="2"/>
            <w:shd w:val="clear" w:color="auto" w:fill="auto"/>
            <w:tcMar>
              <w:left w:w="0" w:type="dxa"/>
              <w:right w:w="0" w:type="dxa"/>
            </w:tcMar>
            <w:vAlign w:val="center"/>
          </w:tcPr>
          <w:p w14:paraId="6B0BC494">
            <w:pPr>
              <w:adjustRightInd w:val="0"/>
              <w:snapToGrid w:val="0"/>
              <w:jc w:val="center"/>
              <w:rPr>
                <w:color w:val="auto"/>
                <w:sz w:val="21"/>
                <w:highlight w:val="none"/>
              </w:rPr>
            </w:pPr>
            <w:r>
              <w:rPr>
                <w:color w:val="auto"/>
                <w:sz w:val="21"/>
                <w:highlight w:val="none"/>
              </w:rPr>
              <w:t>给水与排水、消防</w:t>
            </w:r>
          </w:p>
        </w:tc>
        <w:tc>
          <w:tcPr>
            <w:tcW w:w="1097" w:type="dxa"/>
            <w:shd w:val="clear" w:color="auto" w:fill="auto"/>
            <w:tcMar>
              <w:left w:w="0" w:type="dxa"/>
              <w:right w:w="0" w:type="dxa"/>
            </w:tcMar>
            <w:vAlign w:val="center"/>
          </w:tcPr>
          <w:p w14:paraId="44FFA4D3">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11157117">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2092E1CA">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2055F152">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6421DFAD">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0A06EDAB">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48C589CB">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25ABFFA2">
            <w:pPr>
              <w:adjustRightInd w:val="0"/>
              <w:snapToGrid w:val="0"/>
              <w:jc w:val="center"/>
              <w:rPr>
                <w:color w:val="auto"/>
                <w:sz w:val="21"/>
                <w:highlight w:val="none"/>
              </w:rPr>
            </w:pPr>
            <w:r>
              <w:rPr>
                <w:color w:val="auto"/>
                <w:sz w:val="21"/>
                <w:highlight w:val="none"/>
              </w:rPr>
              <w:t>　</w:t>
            </w:r>
          </w:p>
        </w:tc>
      </w:tr>
      <w:tr w14:paraId="3706E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5286BB65">
            <w:pPr>
              <w:adjustRightInd w:val="0"/>
              <w:snapToGrid w:val="0"/>
              <w:jc w:val="center"/>
              <w:rPr>
                <w:color w:val="auto"/>
                <w:sz w:val="21"/>
                <w:highlight w:val="none"/>
              </w:rPr>
            </w:pPr>
            <w:r>
              <w:rPr>
                <w:color w:val="auto"/>
                <w:sz w:val="21"/>
                <w:highlight w:val="none"/>
              </w:rPr>
              <w:t>十二</w:t>
            </w:r>
          </w:p>
        </w:tc>
        <w:tc>
          <w:tcPr>
            <w:tcW w:w="3085" w:type="dxa"/>
            <w:gridSpan w:val="2"/>
            <w:shd w:val="clear" w:color="auto" w:fill="auto"/>
            <w:tcMar>
              <w:left w:w="0" w:type="dxa"/>
              <w:right w:w="0" w:type="dxa"/>
            </w:tcMar>
            <w:vAlign w:val="center"/>
          </w:tcPr>
          <w:p w14:paraId="30A8033B">
            <w:pPr>
              <w:adjustRightInd w:val="0"/>
              <w:snapToGrid w:val="0"/>
              <w:jc w:val="center"/>
              <w:rPr>
                <w:color w:val="auto"/>
                <w:sz w:val="21"/>
                <w:highlight w:val="none"/>
              </w:rPr>
            </w:pPr>
            <w:r>
              <w:rPr>
                <w:color w:val="auto"/>
                <w:sz w:val="21"/>
                <w:highlight w:val="none"/>
              </w:rPr>
              <w:t xml:space="preserve">  自动售检票（AFC）</w:t>
            </w:r>
          </w:p>
        </w:tc>
        <w:tc>
          <w:tcPr>
            <w:tcW w:w="1097" w:type="dxa"/>
            <w:shd w:val="clear" w:color="auto" w:fill="auto"/>
            <w:tcMar>
              <w:left w:w="0" w:type="dxa"/>
              <w:right w:w="0" w:type="dxa"/>
            </w:tcMar>
            <w:vAlign w:val="center"/>
          </w:tcPr>
          <w:p w14:paraId="12F4B125">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2DDC9E9A">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7B9E60FE">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14FAAD9F">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22A97E66">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520CA2D4">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24DC78A4">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4552D640">
            <w:pPr>
              <w:adjustRightInd w:val="0"/>
              <w:snapToGrid w:val="0"/>
              <w:jc w:val="center"/>
              <w:rPr>
                <w:color w:val="auto"/>
                <w:sz w:val="21"/>
                <w:highlight w:val="none"/>
              </w:rPr>
            </w:pPr>
            <w:r>
              <w:rPr>
                <w:color w:val="auto"/>
                <w:sz w:val="21"/>
                <w:highlight w:val="none"/>
              </w:rPr>
              <w:t>　</w:t>
            </w:r>
          </w:p>
        </w:tc>
      </w:tr>
      <w:tr w14:paraId="707EE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220E98B0">
            <w:pPr>
              <w:adjustRightInd w:val="0"/>
              <w:snapToGrid w:val="0"/>
              <w:jc w:val="center"/>
              <w:rPr>
                <w:color w:val="auto"/>
                <w:sz w:val="21"/>
                <w:highlight w:val="none"/>
              </w:rPr>
            </w:pPr>
            <w:r>
              <w:rPr>
                <w:color w:val="auto"/>
                <w:sz w:val="21"/>
                <w:highlight w:val="none"/>
              </w:rPr>
              <w:t>十三</w:t>
            </w:r>
          </w:p>
        </w:tc>
        <w:tc>
          <w:tcPr>
            <w:tcW w:w="3085" w:type="dxa"/>
            <w:gridSpan w:val="2"/>
            <w:shd w:val="clear" w:color="auto" w:fill="auto"/>
            <w:tcMar>
              <w:left w:w="0" w:type="dxa"/>
              <w:right w:w="0" w:type="dxa"/>
            </w:tcMar>
            <w:vAlign w:val="center"/>
          </w:tcPr>
          <w:p w14:paraId="202D9760">
            <w:pPr>
              <w:adjustRightInd w:val="0"/>
              <w:snapToGrid w:val="0"/>
              <w:jc w:val="center"/>
              <w:rPr>
                <w:color w:val="auto"/>
                <w:sz w:val="21"/>
                <w:highlight w:val="none"/>
              </w:rPr>
            </w:pPr>
            <w:r>
              <w:rPr>
                <w:color w:val="auto"/>
                <w:sz w:val="21"/>
                <w:highlight w:val="none"/>
              </w:rPr>
              <w:t>站内客运设备、站台门</w:t>
            </w:r>
          </w:p>
        </w:tc>
        <w:tc>
          <w:tcPr>
            <w:tcW w:w="1097" w:type="dxa"/>
            <w:shd w:val="clear" w:color="auto" w:fill="auto"/>
            <w:tcMar>
              <w:left w:w="0" w:type="dxa"/>
              <w:right w:w="0" w:type="dxa"/>
            </w:tcMar>
            <w:vAlign w:val="center"/>
          </w:tcPr>
          <w:p w14:paraId="7BF241C4">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6DFC5871">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0C13E2FF">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478657E4">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7BA57C52">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06047AA6">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2F35635A">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3B1DE8C7">
            <w:pPr>
              <w:adjustRightInd w:val="0"/>
              <w:snapToGrid w:val="0"/>
              <w:jc w:val="center"/>
              <w:rPr>
                <w:color w:val="auto"/>
                <w:sz w:val="21"/>
                <w:highlight w:val="none"/>
              </w:rPr>
            </w:pPr>
            <w:r>
              <w:rPr>
                <w:color w:val="auto"/>
                <w:sz w:val="21"/>
                <w:highlight w:val="none"/>
              </w:rPr>
              <w:t>　</w:t>
            </w:r>
          </w:p>
        </w:tc>
      </w:tr>
      <w:tr w14:paraId="72521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249BBA53">
            <w:pPr>
              <w:adjustRightInd w:val="0"/>
              <w:snapToGrid w:val="0"/>
              <w:jc w:val="center"/>
              <w:rPr>
                <w:color w:val="auto"/>
                <w:sz w:val="21"/>
                <w:highlight w:val="none"/>
              </w:rPr>
            </w:pPr>
            <w:r>
              <w:rPr>
                <w:color w:val="auto"/>
                <w:sz w:val="21"/>
                <w:highlight w:val="none"/>
              </w:rPr>
              <w:t>十四</w:t>
            </w:r>
          </w:p>
        </w:tc>
        <w:tc>
          <w:tcPr>
            <w:tcW w:w="3085" w:type="dxa"/>
            <w:gridSpan w:val="2"/>
            <w:shd w:val="clear" w:color="auto" w:fill="auto"/>
            <w:tcMar>
              <w:left w:w="0" w:type="dxa"/>
              <w:right w:w="0" w:type="dxa"/>
            </w:tcMar>
            <w:vAlign w:val="center"/>
          </w:tcPr>
          <w:p w14:paraId="3294AD3D">
            <w:pPr>
              <w:adjustRightInd w:val="0"/>
              <w:snapToGrid w:val="0"/>
              <w:jc w:val="center"/>
              <w:rPr>
                <w:color w:val="auto"/>
                <w:sz w:val="21"/>
                <w:highlight w:val="none"/>
              </w:rPr>
            </w:pPr>
            <w:r>
              <w:rPr>
                <w:color w:val="auto"/>
                <w:sz w:val="21"/>
                <w:highlight w:val="none"/>
              </w:rPr>
              <w:t>运营管理房屋</w:t>
            </w:r>
          </w:p>
        </w:tc>
        <w:tc>
          <w:tcPr>
            <w:tcW w:w="1097" w:type="dxa"/>
            <w:shd w:val="clear" w:color="auto" w:fill="auto"/>
            <w:tcMar>
              <w:left w:w="0" w:type="dxa"/>
              <w:right w:w="0" w:type="dxa"/>
            </w:tcMar>
            <w:vAlign w:val="center"/>
          </w:tcPr>
          <w:p w14:paraId="2A2C495E">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08F5565A">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2153FF8F">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73EDBD5A">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081E3911">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3A2114E6">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7165B6D8">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1AE8070C">
            <w:pPr>
              <w:adjustRightInd w:val="0"/>
              <w:snapToGrid w:val="0"/>
              <w:jc w:val="center"/>
              <w:rPr>
                <w:color w:val="auto"/>
                <w:sz w:val="21"/>
                <w:highlight w:val="none"/>
              </w:rPr>
            </w:pPr>
            <w:r>
              <w:rPr>
                <w:color w:val="auto"/>
                <w:sz w:val="21"/>
                <w:highlight w:val="none"/>
              </w:rPr>
              <w:t>　</w:t>
            </w:r>
          </w:p>
        </w:tc>
      </w:tr>
      <w:tr w14:paraId="568AC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5DADC59A">
            <w:pPr>
              <w:adjustRightInd w:val="0"/>
              <w:snapToGrid w:val="0"/>
              <w:jc w:val="center"/>
              <w:rPr>
                <w:color w:val="auto"/>
                <w:sz w:val="21"/>
                <w:highlight w:val="none"/>
              </w:rPr>
            </w:pPr>
            <w:r>
              <w:rPr>
                <w:color w:val="auto"/>
                <w:sz w:val="21"/>
                <w:highlight w:val="none"/>
              </w:rPr>
              <w:t>十五</w:t>
            </w:r>
          </w:p>
        </w:tc>
        <w:tc>
          <w:tcPr>
            <w:tcW w:w="3085" w:type="dxa"/>
            <w:gridSpan w:val="2"/>
            <w:shd w:val="clear" w:color="auto" w:fill="auto"/>
            <w:tcMar>
              <w:left w:w="0" w:type="dxa"/>
              <w:right w:w="0" w:type="dxa"/>
            </w:tcMar>
            <w:vAlign w:val="center"/>
          </w:tcPr>
          <w:p w14:paraId="65808478">
            <w:pPr>
              <w:adjustRightInd w:val="0"/>
              <w:snapToGrid w:val="0"/>
              <w:jc w:val="center"/>
              <w:rPr>
                <w:color w:val="auto"/>
                <w:sz w:val="21"/>
                <w:highlight w:val="none"/>
              </w:rPr>
            </w:pPr>
            <w:r>
              <w:rPr>
                <w:color w:val="auto"/>
                <w:sz w:val="21"/>
                <w:highlight w:val="none"/>
              </w:rPr>
              <w:t>车辆基地</w:t>
            </w:r>
          </w:p>
        </w:tc>
        <w:tc>
          <w:tcPr>
            <w:tcW w:w="1097" w:type="dxa"/>
            <w:shd w:val="clear" w:color="auto" w:fill="auto"/>
            <w:tcMar>
              <w:left w:w="0" w:type="dxa"/>
              <w:right w:w="0" w:type="dxa"/>
            </w:tcMar>
            <w:vAlign w:val="center"/>
          </w:tcPr>
          <w:p w14:paraId="79C3A3DB">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5FA2C30A">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65A3A4CF">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016A9645">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427C521B">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05F34921">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5BACD426">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005B9299">
            <w:pPr>
              <w:adjustRightInd w:val="0"/>
              <w:snapToGrid w:val="0"/>
              <w:jc w:val="center"/>
              <w:rPr>
                <w:color w:val="auto"/>
                <w:sz w:val="21"/>
                <w:highlight w:val="none"/>
              </w:rPr>
            </w:pPr>
            <w:r>
              <w:rPr>
                <w:color w:val="auto"/>
                <w:sz w:val="21"/>
                <w:highlight w:val="none"/>
              </w:rPr>
              <w:t>　</w:t>
            </w:r>
          </w:p>
        </w:tc>
      </w:tr>
      <w:tr w14:paraId="1ED2C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15A8C91E">
            <w:pPr>
              <w:adjustRightInd w:val="0"/>
              <w:snapToGrid w:val="0"/>
              <w:jc w:val="center"/>
              <w:rPr>
                <w:color w:val="auto"/>
                <w:sz w:val="21"/>
                <w:highlight w:val="none"/>
              </w:rPr>
            </w:pPr>
            <w:r>
              <w:rPr>
                <w:color w:val="auto"/>
                <w:sz w:val="21"/>
                <w:highlight w:val="none"/>
              </w:rPr>
              <w:t>十六</w:t>
            </w:r>
          </w:p>
        </w:tc>
        <w:tc>
          <w:tcPr>
            <w:tcW w:w="3085" w:type="dxa"/>
            <w:gridSpan w:val="2"/>
            <w:shd w:val="clear" w:color="auto" w:fill="auto"/>
            <w:tcMar>
              <w:left w:w="0" w:type="dxa"/>
              <w:right w:w="0" w:type="dxa"/>
            </w:tcMar>
            <w:vAlign w:val="center"/>
          </w:tcPr>
          <w:p w14:paraId="1C26CFDF">
            <w:pPr>
              <w:adjustRightInd w:val="0"/>
              <w:snapToGrid w:val="0"/>
              <w:jc w:val="center"/>
              <w:rPr>
                <w:color w:val="auto"/>
                <w:sz w:val="21"/>
                <w:highlight w:val="none"/>
              </w:rPr>
            </w:pPr>
            <w:r>
              <w:rPr>
                <w:color w:val="auto"/>
                <w:sz w:val="21"/>
                <w:highlight w:val="none"/>
              </w:rPr>
              <w:t>人防</w:t>
            </w:r>
          </w:p>
        </w:tc>
        <w:tc>
          <w:tcPr>
            <w:tcW w:w="1097" w:type="dxa"/>
            <w:shd w:val="clear" w:color="auto" w:fill="auto"/>
            <w:tcMar>
              <w:left w:w="0" w:type="dxa"/>
              <w:right w:w="0" w:type="dxa"/>
            </w:tcMar>
            <w:vAlign w:val="center"/>
          </w:tcPr>
          <w:p w14:paraId="0AFA5F11">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216B2874">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22E31760">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60A7042D">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3AE8FAE5">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02AA1B88">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1076C062">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1145BCFE">
            <w:pPr>
              <w:adjustRightInd w:val="0"/>
              <w:snapToGrid w:val="0"/>
              <w:jc w:val="center"/>
              <w:rPr>
                <w:color w:val="auto"/>
                <w:sz w:val="21"/>
                <w:highlight w:val="none"/>
              </w:rPr>
            </w:pPr>
            <w:r>
              <w:rPr>
                <w:color w:val="auto"/>
                <w:sz w:val="21"/>
                <w:highlight w:val="none"/>
              </w:rPr>
              <w:t>　</w:t>
            </w:r>
          </w:p>
        </w:tc>
      </w:tr>
      <w:tr w14:paraId="2B81F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3640" w:type="dxa"/>
            <w:gridSpan w:val="11"/>
            <w:shd w:val="clear" w:color="auto" w:fill="auto"/>
            <w:tcMar>
              <w:left w:w="0" w:type="dxa"/>
              <w:right w:w="0" w:type="dxa"/>
            </w:tcMar>
            <w:vAlign w:val="center"/>
          </w:tcPr>
          <w:p w14:paraId="2DC70E7B">
            <w:pPr>
              <w:adjustRightInd w:val="0"/>
              <w:snapToGrid w:val="0"/>
              <w:jc w:val="center"/>
              <w:rPr>
                <w:color w:val="auto"/>
                <w:sz w:val="21"/>
                <w:highlight w:val="none"/>
              </w:rPr>
            </w:pPr>
            <w:r>
              <w:rPr>
                <w:color w:val="auto"/>
                <w:sz w:val="21"/>
                <w:highlight w:val="none"/>
              </w:rPr>
              <w:t>第二部分 工程建设其他费用</w:t>
            </w:r>
          </w:p>
        </w:tc>
      </w:tr>
      <w:tr w14:paraId="60A4D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5A47F234">
            <w:pPr>
              <w:adjustRightInd w:val="0"/>
              <w:snapToGrid w:val="0"/>
              <w:jc w:val="center"/>
              <w:rPr>
                <w:color w:val="auto"/>
                <w:sz w:val="21"/>
                <w:highlight w:val="none"/>
              </w:rPr>
            </w:pPr>
            <w:r>
              <w:rPr>
                <w:color w:val="auto"/>
                <w:sz w:val="21"/>
                <w:highlight w:val="none"/>
              </w:rPr>
              <w:t>十七</w:t>
            </w:r>
          </w:p>
        </w:tc>
        <w:tc>
          <w:tcPr>
            <w:tcW w:w="3085" w:type="dxa"/>
            <w:gridSpan w:val="2"/>
            <w:shd w:val="clear" w:color="auto" w:fill="auto"/>
            <w:tcMar>
              <w:left w:w="0" w:type="dxa"/>
              <w:right w:w="0" w:type="dxa"/>
            </w:tcMar>
            <w:vAlign w:val="center"/>
          </w:tcPr>
          <w:p w14:paraId="6E51BD86">
            <w:pPr>
              <w:adjustRightInd w:val="0"/>
              <w:snapToGrid w:val="0"/>
              <w:jc w:val="center"/>
              <w:rPr>
                <w:color w:val="auto"/>
                <w:sz w:val="21"/>
                <w:highlight w:val="none"/>
              </w:rPr>
            </w:pPr>
            <w:r>
              <w:rPr>
                <w:color w:val="auto"/>
                <w:sz w:val="21"/>
                <w:highlight w:val="none"/>
              </w:rPr>
              <w:t>工程建设其他费用</w:t>
            </w:r>
          </w:p>
        </w:tc>
        <w:tc>
          <w:tcPr>
            <w:tcW w:w="1097" w:type="dxa"/>
            <w:shd w:val="clear" w:color="auto" w:fill="auto"/>
            <w:tcMar>
              <w:left w:w="0" w:type="dxa"/>
              <w:right w:w="0" w:type="dxa"/>
            </w:tcMar>
            <w:vAlign w:val="center"/>
          </w:tcPr>
          <w:p w14:paraId="5316462B">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009A7C23">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5B5DEFE6">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70088294">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037C32C7">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498AE1CF">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0700BCF1">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03B6965A">
            <w:pPr>
              <w:adjustRightInd w:val="0"/>
              <w:snapToGrid w:val="0"/>
              <w:jc w:val="center"/>
              <w:rPr>
                <w:color w:val="auto"/>
                <w:sz w:val="21"/>
                <w:highlight w:val="none"/>
              </w:rPr>
            </w:pPr>
            <w:r>
              <w:rPr>
                <w:color w:val="auto"/>
                <w:sz w:val="21"/>
                <w:highlight w:val="none"/>
              </w:rPr>
              <w:t>　</w:t>
            </w:r>
          </w:p>
        </w:tc>
      </w:tr>
      <w:tr w14:paraId="0D0A4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5900BFC9">
            <w:pPr>
              <w:adjustRightInd w:val="0"/>
              <w:snapToGrid w:val="0"/>
              <w:jc w:val="center"/>
              <w:rPr>
                <w:color w:val="auto"/>
                <w:sz w:val="21"/>
                <w:highlight w:val="none"/>
              </w:rPr>
            </w:pPr>
            <w:r>
              <w:rPr>
                <w:color w:val="auto"/>
                <w:sz w:val="21"/>
                <w:highlight w:val="none"/>
              </w:rPr>
              <w:t>　</w:t>
            </w:r>
          </w:p>
        </w:tc>
        <w:tc>
          <w:tcPr>
            <w:tcW w:w="3085" w:type="dxa"/>
            <w:gridSpan w:val="2"/>
            <w:shd w:val="clear" w:color="auto" w:fill="auto"/>
            <w:tcMar>
              <w:left w:w="0" w:type="dxa"/>
              <w:right w:w="0" w:type="dxa"/>
            </w:tcMar>
            <w:vAlign w:val="center"/>
          </w:tcPr>
          <w:p w14:paraId="092DE996">
            <w:pPr>
              <w:adjustRightInd w:val="0"/>
              <w:snapToGrid w:val="0"/>
              <w:jc w:val="center"/>
              <w:rPr>
                <w:color w:val="auto"/>
                <w:sz w:val="21"/>
                <w:highlight w:val="none"/>
              </w:rPr>
            </w:pPr>
            <w:r>
              <w:rPr>
                <w:color w:val="auto"/>
                <w:sz w:val="21"/>
                <w:highlight w:val="none"/>
              </w:rPr>
              <w:t>以上各章总计</w:t>
            </w:r>
          </w:p>
        </w:tc>
        <w:tc>
          <w:tcPr>
            <w:tcW w:w="1097" w:type="dxa"/>
            <w:shd w:val="clear" w:color="auto" w:fill="auto"/>
            <w:tcMar>
              <w:left w:w="0" w:type="dxa"/>
              <w:right w:w="0" w:type="dxa"/>
            </w:tcMar>
            <w:vAlign w:val="center"/>
          </w:tcPr>
          <w:p w14:paraId="70ACD9B9">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1E58C357">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32F881A9">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10FC8D08">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074F4A46">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59CD0775">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3485CC2E">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47F2200B">
            <w:pPr>
              <w:adjustRightInd w:val="0"/>
              <w:snapToGrid w:val="0"/>
              <w:jc w:val="center"/>
              <w:rPr>
                <w:color w:val="auto"/>
                <w:sz w:val="21"/>
                <w:highlight w:val="none"/>
              </w:rPr>
            </w:pPr>
            <w:r>
              <w:rPr>
                <w:color w:val="auto"/>
                <w:sz w:val="21"/>
                <w:highlight w:val="none"/>
              </w:rPr>
              <w:t>　</w:t>
            </w:r>
          </w:p>
        </w:tc>
      </w:tr>
      <w:tr w14:paraId="20F99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3640" w:type="dxa"/>
            <w:gridSpan w:val="11"/>
            <w:shd w:val="clear" w:color="auto" w:fill="auto"/>
            <w:tcMar>
              <w:left w:w="0" w:type="dxa"/>
              <w:right w:w="0" w:type="dxa"/>
            </w:tcMar>
            <w:vAlign w:val="center"/>
          </w:tcPr>
          <w:p w14:paraId="64A12F8A">
            <w:pPr>
              <w:adjustRightInd w:val="0"/>
              <w:snapToGrid w:val="0"/>
              <w:jc w:val="center"/>
              <w:rPr>
                <w:color w:val="auto"/>
                <w:sz w:val="21"/>
                <w:highlight w:val="none"/>
              </w:rPr>
            </w:pPr>
            <w:r>
              <w:rPr>
                <w:color w:val="auto"/>
                <w:sz w:val="21"/>
                <w:highlight w:val="none"/>
              </w:rPr>
              <w:t>第三部分 预备费</w:t>
            </w:r>
          </w:p>
        </w:tc>
      </w:tr>
      <w:tr w14:paraId="1468C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191F5CFA">
            <w:pPr>
              <w:adjustRightInd w:val="0"/>
              <w:snapToGrid w:val="0"/>
              <w:jc w:val="center"/>
              <w:rPr>
                <w:color w:val="auto"/>
                <w:sz w:val="21"/>
                <w:highlight w:val="none"/>
              </w:rPr>
            </w:pPr>
            <w:r>
              <w:rPr>
                <w:color w:val="auto"/>
                <w:sz w:val="21"/>
                <w:highlight w:val="none"/>
              </w:rPr>
              <w:t>十八</w:t>
            </w:r>
          </w:p>
        </w:tc>
        <w:tc>
          <w:tcPr>
            <w:tcW w:w="3085" w:type="dxa"/>
            <w:gridSpan w:val="2"/>
            <w:shd w:val="clear" w:color="auto" w:fill="auto"/>
            <w:tcMar>
              <w:left w:w="0" w:type="dxa"/>
              <w:right w:w="0" w:type="dxa"/>
            </w:tcMar>
            <w:vAlign w:val="center"/>
          </w:tcPr>
          <w:p w14:paraId="7FEE0E38">
            <w:pPr>
              <w:adjustRightInd w:val="0"/>
              <w:snapToGrid w:val="0"/>
              <w:jc w:val="center"/>
              <w:rPr>
                <w:color w:val="auto"/>
                <w:sz w:val="21"/>
                <w:highlight w:val="none"/>
              </w:rPr>
            </w:pPr>
            <w:r>
              <w:rPr>
                <w:color w:val="auto"/>
                <w:sz w:val="21"/>
                <w:highlight w:val="none"/>
              </w:rPr>
              <w:t>预备费</w:t>
            </w:r>
          </w:p>
        </w:tc>
        <w:tc>
          <w:tcPr>
            <w:tcW w:w="1097" w:type="dxa"/>
            <w:shd w:val="clear" w:color="auto" w:fill="auto"/>
            <w:tcMar>
              <w:left w:w="0" w:type="dxa"/>
              <w:right w:w="0" w:type="dxa"/>
            </w:tcMar>
            <w:vAlign w:val="center"/>
          </w:tcPr>
          <w:p w14:paraId="08C34F31">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7A6D80FC">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38DFFE7F">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3A27D7B2">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4A75C1A1">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3F69AAD8">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76BD3643">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696AFC85">
            <w:pPr>
              <w:adjustRightInd w:val="0"/>
              <w:snapToGrid w:val="0"/>
              <w:jc w:val="center"/>
              <w:rPr>
                <w:color w:val="auto"/>
                <w:sz w:val="21"/>
                <w:highlight w:val="none"/>
              </w:rPr>
            </w:pPr>
            <w:r>
              <w:rPr>
                <w:color w:val="auto"/>
                <w:sz w:val="21"/>
                <w:highlight w:val="none"/>
              </w:rPr>
              <w:t>　</w:t>
            </w:r>
          </w:p>
        </w:tc>
      </w:tr>
      <w:tr w14:paraId="0E018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3640" w:type="dxa"/>
            <w:gridSpan w:val="11"/>
            <w:shd w:val="clear" w:color="auto" w:fill="auto"/>
            <w:tcMar>
              <w:left w:w="0" w:type="dxa"/>
              <w:right w:w="0" w:type="dxa"/>
            </w:tcMar>
            <w:vAlign w:val="center"/>
          </w:tcPr>
          <w:p w14:paraId="7E763E22">
            <w:pPr>
              <w:adjustRightInd w:val="0"/>
              <w:snapToGrid w:val="0"/>
              <w:jc w:val="center"/>
              <w:rPr>
                <w:color w:val="auto"/>
                <w:sz w:val="21"/>
                <w:highlight w:val="none"/>
              </w:rPr>
            </w:pPr>
            <w:r>
              <w:rPr>
                <w:color w:val="auto"/>
                <w:sz w:val="21"/>
                <w:highlight w:val="none"/>
              </w:rPr>
              <w:t>第四部分 专项费用</w:t>
            </w:r>
          </w:p>
        </w:tc>
      </w:tr>
      <w:tr w14:paraId="521A0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4BAFFE8A">
            <w:pPr>
              <w:adjustRightInd w:val="0"/>
              <w:snapToGrid w:val="0"/>
              <w:jc w:val="center"/>
              <w:rPr>
                <w:color w:val="auto"/>
                <w:sz w:val="21"/>
                <w:highlight w:val="none"/>
              </w:rPr>
            </w:pPr>
            <w:r>
              <w:rPr>
                <w:color w:val="auto"/>
                <w:sz w:val="21"/>
                <w:highlight w:val="none"/>
              </w:rPr>
              <w:t>十九</w:t>
            </w:r>
          </w:p>
        </w:tc>
        <w:tc>
          <w:tcPr>
            <w:tcW w:w="3085" w:type="dxa"/>
            <w:gridSpan w:val="2"/>
            <w:shd w:val="clear" w:color="auto" w:fill="auto"/>
            <w:tcMar>
              <w:left w:w="0" w:type="dxa"/>
              <w:right w:w="0" w:type="dxa"/>
            </w:tcMar>
            <w:vAlign w:val="center"/>
          </w:tcPr>
          <w:p w14:paraId="49DDE15B">
            <w:pPr>
              <w:adjustRightInd w:val="0"/>
              <w:snapToGrid w:val="0"/>
              <w:jc w:val="center"/>
              <w:rPr>
                <w:color w:val="auto"/>
                <w:sz w:val="21"/>
                <w:highlight w:val="none"/>
              </w:rPr>
            </w:pPr>
            <w:r>
              <w:rPr>
                <w:color w:val="auto"/>
                <w:sz w:val="21"/>
                <w:highlight w:val="none"/>
              </w:rPr>
              <w:t>专项费用</w:t>
            </w:r>
          </w:p>
        </w:tc>
        <w:tc>
          <w:tcPr>
            <w:tcW w:w="1097" w:type="dxa"/>
            <w:shd w:val="clear" w:color="auto" w:fill="auto"/>
            <w:tcMar>
              <w:left w:w="0" w:type="dxa"/>
              <w:right w:w="0" w:type="dxa"/>
            </w:tcMar>
            <w:vAlign w:val="center"/>
          </w:tcPr>
          <w:p w14:paraId="6A578CA8">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30816B48">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47C88A2E">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57B845D1">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505E49AB">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372CB864">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11848E0A">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0EA1A56E">
            <w:pPr>
              <w:adjustRightInd w:val="0"/>
              <w:snapToGrid w:val="0"/>
              <w:jc w:val="center"/>
              <w:rPr>
                <w:color w:val="auto"/>
                <w:sz w:val="21"/>
                <w:highlight w:val="none"/>
              </w:rPr>
            </w:pPr>
            <w:r>
              <w:rPr>
                <w:color w:val="auto"/>
                <w:sz w:val="21"/>
                <w:highlight w:val="none"/>
              </w:rPr>
              <w:t>　</w:t>
            </w:r>
          </w:p>
        </w:tc>
      </w:tr>
      <w:tr w14:paraId="3B15D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88" w:type="dxa"/>
            <w:shd w:val="clear" w:color="auto" w:fill="auto"/>
            <w:tcMar>
              <w:left w:w="0" w:type="dxa"/>
              <w:right w:w="0" w:type="dxa"/>
            </w:tcMar>
            <w:vAlign w:val="center"/>
          </w:tcPr>
          <w:p w14:paraId="04C9540D">
            <w:pPr>
              <w:adjustRightInd w:val="0"/>
              <w:snapToGrid w:val="0"/>
              <w:jc w:val="center"/>
              <w:rPr>
                <w:color w:val="auto"/>
                <w:sz w:val="21"/>
                <w:highlight w:val="none"/>
              </w:rPr>
            </w:pPr>
            <w:r>
              <w:rPr>
                <w:color w:val="auto"/>
                <w:sz w:val="21"/>
                <w:highlight w:val="none"/>
              </w:rPr>
              <w:t>　</w:t>
            </w:r>
          </w:p>
        </w:tc>
        <w:tc>
          <w:tcPr>
            <w:tcW w:w="3085" w:type="dxa"/>
            <w:gridSpan w:val="2"/>
            <w:shd w:val="clear" w:color="auto" w:fill="auto"/>
            <w:tcMar>
              <w:left w:w="0" w:type="dxa"/>
              <w:right w:w="0" w:type="dxa"/>
            </w:tcMar>
            <w:vAlign w:val="center"/>
          </w:tcPr>
          <w:p w14:paraId="2C335380">
            <w:pPr>
              <w:adjustRightInd w:val="0"/>
              <w:snapToGrid w:val="0"/>
              <w:jc w:val="center"/>
              <w:rPr>
                <w:color w:val="auto"/>
                <w:sz w:val="21"/>
                <w:highlight w:val="none"/>
              </w:rPr>
            </w:pPr>
            <w:r>
              <w:rPr>
                <w:color w:val="auto"/>
                <w:sz w:val="21"/>
                <w:highlight w:val="none"/>
              </w:rPr>
              <w:t>估算总额</w:t>
            </w:r>
          </w:p>
        </w:tc>
        <w:tc>
          <w:tcPr>
            <w:tcW w:w="1097" w:type="dxa"/>
            <w:shd w:val="clear" w:color="auto" w:fill="auto"/>
            <w:tcMar>
              <w:left w:w="0" w:type="dxa"/>
              <w:right w:w="0" w:type="dxa"/>
            </w:tcMar>
            <w:vAlign w:val="center"/>
          </w:tcPr>
          <w:p w14:paraId="4EB9D7BE">
            <w:pPr>
              <w:adjustRightInd w:val="0"/>
              <w:snapToGrid w:val="0"/>
              <w:jc w:val="center"/>
              <w:rPr>
                <w:color w:val="auto"/>
                <w:sz w:val="21"/>
                <w:highlight w:val="none"/>
              </w:rPr>
            </w:pPr>
            <w:r>
              <w:rPr>
                <w:color w:val="auto"/>
                <w:sz w:val="21"/>
                <w:highlight w:val="none"/>
              </w:rPr>
              <w:t>　</w:t>
            </w:r>
          </w:p>
        </w:tc>
        <w:tc>
          <w:tcPr>
            <w:tcW w:w="1239" w:type="dxa"/>
            <w:shd w:val="clear" w:color="auto" w:fill="auto"/>
            <w:tcMar>
              <w:left w:w="0" w:type="dxa"/>
              <w:right w:w="0" w:type="dxa"/>
            </w:tcMar>
            <w:vAlign w:val="center"/>
          </w:tcPr>
          <w:p w14:paraId="2CC26043">
            <w:pPr>
              <w:adjustRightInd w:val="0"/>
              <w:snapToGrid w:val="0"/>
              <w:jc w:val="center"/>
              <w:rPr>
                <w:color w:val="auto"/>
                <w:sz w:val="21"/>
                <w:highlight w:val="none"/>
              </w:rPr>
            </w:pPr>
            <w:r>
              <w:rPr>
                <w:color w:val="auto"/>
                <w:sz w:val="21"/>
                <w:highlight w:val="none"/>
              </w:rPr>
              <w:t>　</w:t>
            </w:r>
          </w:p>
        </w:tc>
        <w:tc>
          <w:tcPr>
            <w:tcW w:w="1211" w:type="dxa"/>
            <w:shd w:val="clear" w:color="auto" w:fill="auto"/>
            <w:tcMar>
              <w:left w:w="0" w:type="dxa"/>
              <w:right w:w="0" w:type="dxa"/>
            </w:tcMar>
            <w:vAlign w:val="center"/>
          </w:tcPr>
          <w:p w14:paraId="50B5CEEB">
            <w:pPr>
              <w:adjustRightInd w:val="0"/>
              <w:snapToGrid w:val="0"/>
              <w:jc w:val="center"/>
              <w:rPr>
                <w:color w:val="auto"/>
                <w:sz w:val="21"/>
                <w:highlight w:val="none"/>
              </w:rPr>
            </w:pPr>
            <w:r>
              <w:rPr>
                <w:color w:val="auto"/>
                <w:sz w:val="21"/>
                <w:highlight w:val="none"/>
              </w:rPr>
              <w:t>　</w:t>
            </w:r>
          </w:p>
        </w:tc>
        <w:tc>
          <w:tcPr>
            <w:tcW w:w="1258" w:type="dxa"/>
            <w:shd w:val="clear" w:color="auto" w:fill="auto"/>
            <w:tcMar>
              <w:left w:w="0" w:type="dxa"/>
              <w:right w:w="0" w:type="dxa"/>
            </w:tcMar>
            <w:vAlign w:val="center"/>
          </w:tcPr>
          <w:p w14:paraId="4D1CE10E">
            <w:pPr>
              <w:adjustRightInd w:val="0"/>
              <w:snapToGrid w:val="0"/>
              <w:jc w:val="center"/>
              <w:rPr>
                <w:color w:val="auto"/>
                <w:sz w:val="21"/>
                <w:highlight w:val="none"/>
              </w:rPr>
            </w:pPr>
            <w:r>
              <w:rPr>
                <w:color w:val="auto"/>
                <w:sz w:val="21"/>
                <w:highlight w:val="none"/>
              </w:rPr>
              <w:t>　</w:t>
            </w:r>
          </w:p>
        </w:tc>
        <w:tc>
          <w:tcPr>
            <w:tcW w:w="884" w:type="dxa"/>
            <w:shd w:val="clear" w:color="auto" w:fill="auto"/>
            <w:tcMar>
              <w:left w:w="0" w:type="dxa"/>
              <w:right w:w="0" w:type="dxa"/>
            </w:tcMar>
            <w:vAlign w:val="center"/>
          </w:tcPr>
          <w:p w14:paraId="53C7CDE0">
            <w:pPr>
              <w:adjustRightInd w:val="0"/>
              <w:snapToGrid w:val="0"/>
              <w:jc w:val="center"/>
              <w:rPr>
                <w:color w:val="auto"/>
                <w:sz w:val="21"/>
                <w:highlight w:val="none"/>
              </w:rPr>
            </w:pPr>
            <w:r>
              <w:rPr>
                <w:color w:val="auto"/>
                <w:sz w:val="21"/>
                <w:highlight w:val="none"/>
              </w:rPr>
              <w:t>　</w:t>
            </w:r>
          </w:p>
        </w:tc>
        <w:tc>
          <w:tcPr>
            <w:tcW w:w="1285" w:type="dxa"/>
            <w:shd w:val="clear" w:color="auto" w:fill="auto"/>
            <w:tcMar>
              <w:left w:w="0" w:type="dxa"/>
              <w:right w:w="0" w:type="dxa"/>
            </w:tcMar>
            <w:vAlign w:val="center"/>
          </w:tcPr>
          <w:p w14:paraId="2C2AD0B4">
            <w:pPr>
              <w:adjustRightInd w:val="0"/>
              <w:snapToGrid w:val="0"/>
              <w:jc w:val="center"/>
              <w:rPr>
                <w:color w:val="auto"/>
                <w:sz w:val="21"/>
                <w:highlight w:val="none"/>
              </w:rPr>
            </w:pPr>
            <w:r>
              <w:rPr>
                <w:color w:val="auto"/>
                <w:sz w:val="21"/>
                <w:highlight w:val="none"/>
              </w:rPr>
              <w:t>　</w:t>
            </w:r>
          </w:p>
        </w:tc>
        <w:tc>
          <w:tcPr>
            <w:tcW w:w="1934" w:type="dxa"/>
            <w:shd w:val="clear" w:color="auto" w:fill="auto"/>
            <w:tcMar>
              <w:left w:w="0" w:type="dxa"/>
              <w:right w:w="0" w:type="dxa"/>
            </w:tcMar>
            <w:vAlign w:val="center"/>
          </w:tcPr>
          <w:p w14:paraId="3F8F68D4">
            <w:pPr>
              <w:adjustRightInd w:val="0"/>
              <w:snapToGrid w:val="0"/>
              <w:jc w:val="center"/>
              <w:rPr>
                <w:color w:val="auto"/>
                <w:sz w:val="21"/>
                <w:highlight w:val="none"/>
              </w:rPr>
            </w:pPr>
            <w:r>
              <w:rPr>
                <w:color w:val="auto"/>
                <w:sz w:val="21"/>
                <w:highlight w:val="none"/>
              </w:rPr>
              <w:t>　</w:t>
            </w:r>
          </w:p>
        </w:tc>
        <w:tc>
          <w:tcPr>
            <w:tcW w:w="859" w:type="dxa"/>
            <w:shd w:val="clear" w:color="auto" w:fill="auto"/>
            <w:tcMar>
              <w:left w:w="0" w:type="dxa"/>
              <w:right w:w="0" w:type="dxa"/>
            </w:tcMar>
            <w:vAlign w:val="center"/>
          </w:tcPr>
          <w:p w14:paraId="3535ECF4">
            <w:pPr>
              <w:adjustRightInd w:val="0"/>
              <w:snapToGrid w:val="0"/>
              <w:jc w:val="center"/>
              <w:rPr>
                <w:color w:val="auto"/>
                <w:sz w:val="21"/>
                <w:highlight w:val="none"/>
              </w:rPr>
            </w:pPr>
            <w:r>
              <w:rPr>
                <w:color w:val="auto"/>
                <w:sz w:val="21"/>
                <w:highlight w:val="none"/>
              </w:rPr>
              <w:t>　</w:t>
            </w:r>
          </w:p>
        </w:tc>
      </w:tr>
    </w:tbl>
    <w:p w14:paraId="3A69A74C">
      <w:pPr>
        <w:rPr>
          <w:color w:val="auto"/>
          <w:sz w:val="21"/>
          <w:highlight w:val="none"/>
        </w:rPr>
      </w:pPr>
      <w:r>
        <w:rPr>
          <w:color w:val="auto"/>
          <w:sz w:val="21"/>
          <w:highlight w:val="none"/>
        </w:rPr>
        <w:t>编制      年      月      日      复核      年      月      日      审核      年      月      日      审定      年      月     日</w:t>
      </w:r>
    </w:p>
    <w:tbl>
      <w:tblPr>
        <w:tblStyle w:val="24"/>
        <w:tblW w:w="137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492"/>
        <w:gridCol w:w="493"/>
        <w:gridCol w:w="945"/>
        <w:gridCol w:w="932"/>
        <w:gridCol w:w="827"/>
        <w:gridCol w:w="617"/>
        <w:gridCol w:w="923"/>
        <w:gridCol w:w="948"/>
        <w:gridCol w:w="359"/>
        <w:gridCol w:w="1365"/>
        <w:gridCol w:w="1091"/>
        <w:gridCol w:w="233"/>
        <w:gridCol w:w="1384"/>
        <w:gridCol w:w="940"/>
        <w:gridCol w:w="1206"/>
        <w:gridCol w:w="945"/>
      </w:tblGrid>
      <w:tr w14:paraId="32E1B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13700" w:type="dxa"/>
            <w:gridSpan w:val="16"/>
            <w:tcBorders>
              <w:top w:val="nil"/>
              <w:left w:val="nil"/>
              <w:bottom w:val="single" w:color="auto" w:sz="4" w:space="0"/>
              <w:right w:val="nil"/>
            </w:tcBorders>
            <w:shd w:val="clear" w:color="auto" w:fill="auto"/>
            <w:tcMar>
              <w:left w:w="0" w:type="dxa"/>
              <w:right w:w="0" w:type="dxa"/>
            </w:tcMar>
            <w:vAlign w:val="center"/>
          </w:tcPr>
          <w:p w14:paraId="7B0E97EF">
            <w:pPr>
              <w:keepNext/>
              <w:adjustRightInd w:val="0"/>
              <w:snapToGrid w:val="0"/>
              <w:jc w:val="center"/>
              <w:rPr>
                <w:color w:val="auto"/>
                <w:sz w:val="21"/>
                <w:highlight w:val="none"/>
              </w:rPr>
            </w:pPr>
            <w:bookmarkStart w:id="199" w:name="_Toc28896"/>
            <w:r>
              <w:rPr>
                <w:rFonts w:eastAsia="黑体"/>
                <w:color w:val="auto"/>
                <w:sz w:val="26"/>
                <w:highlight w:val="none"/>
              </w:rPr>
              <w:t>附录三 综合估算表</w:t>
            </w:r>
            <w:bookmarkEnd w:id="199"/>
          </w:p>
        </w:tc>
      </w:tr>
      <w:tr w14:paraId="5266A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1930" w:type="dxa"/>
            <w:gridSpan w:val="3"/>
            <w:tcBorders>
              <w:top w:val="single" w:color="auto" w:sz="4" w:space="0"/>
              <w:left w:val="single" w:color="auto" w:sz="4" w:space="0"/>
            </w:tcBorders>
            <w:shd w:val="clear" w:color="auto" w:fill="auto"/>
            <w:tcMar>
              <w:left w:w="0" w:type="dxa"/>
              <w:right w:w="0" w:type="dxa"/>
            </w:tcMar>
            <w:vAlign w:val="center"/>
          </w:tcPr>
          <w:p w14:paraId="7934325E">
            <w:pPr>
              <w:keepNext/>
              <w:adjustRightInd w:val="0"/>
              <w:snapToGrid w:val="0"/>
              <w:jc w:val="center"/>
              <w:rPr>
                <w:color w:val="auto"/>
                <w:sz w:val="21"/>
                <w:highlight w:val="none"/>
              </w:rPr>
            </w:pPr>
            <w:r>
              <w:rPr>
                <w:color w:val="auto"/>
                <w:sz w:val="21"/>
                <w:highlight w:val="none"/>
              </w:rPr>
              <w:t>建设名称</w:t>
            </w:r>
          </w:p>
        </w:tc>
        <w:tc>
          <w:tcPr>
            <w:tcW w:w="2376" w:type="dxa"/>
            <w:gridSpan w:val="3"/>
            <w:tcBorders>
              <w:top w:val="single" w:color="auto" w:sz="4" w:space="0"/>
            </w:tcBorders>
            <w:shd w:val="clear" w:color="auto" w:fill="auto"/>
            <w:tcMar>
              <w:left w:w="0" w:type="dxa"/>
              <w:right w:w="0" w:type="dxa"/>
            </w:tcMar>
            <w:vAlign w:val="center"/>
          </w:tcPr>
          <w:p w14:paraId="00120D25">
            <w:pPr>
              <w:keepNext/>
              <w:adjustRightInd w:val="0"/>
              <w:snapToGrid w:val="0"/>
              <w:jc w:val="center"/>
              <w:rPr>
                <w:color w:val="auto"/>
                <w:sz w:val="21"/>
                <w:highlight w:val="none"/>
              </w:rPr>
            </w:pPr>
            <w:r>
              <w:rPr>
                <w:color w:val="auto"/>
                <w:sz w:val="21"/>
                <w:highlight w:val="none"/>
              </w:rPr>
              <w:t>　</w:t>
            </w:r>
          </w:p>
        </w:tc>
        <w:tc>
          <w:tcPr>
            <w:tcW w:w="1871" w:type="dxa"/>
            <w:gridSpan w:val="2"/>
            <w:tcBorders>
              <w:top w:val="single" w:color="auto" w:sz="4" w:space="0"/>
            </w:tcBorders>
            <w:shd w:val="clear" w:color="auto" w:fill="auto"/>
            <w:tcMar>
              <w:left w:w="0" w:type="dxa"/>
              <w:right w:w="0" w:type="dxa"/>
            </w:tcMar>
            <w:vAlign w:val="center"/>
          </w:tcPr>
          <w:p w14:paraId="4C1E567D">
            <w:pPr>
              <w:keepNext/>
              <w:adjustRightInd w:val="0"/>
              <w:snapToGrid w:val="0"/>
              <w:jc w:val="center"/>
              <w:rPr>
                <w:color w:val="auto"/>
                <w:sz w:val="21"/>
                <w:highlight w:val="none"/>
              </w:rPr>
            </w:pPr>
            <w:r>
              <w:rPr>
                <w:color w:val="auto"/>
                <w:sz w:val="21"/>
                <w:highlight w:val="none"/>
              </w:rPr>
              <w:t>编制范围</w:t>
            </w:r>
          </w:p>
        </w:tc>
        <w:tc>
          <w:tcPr>
            <w:tcW w:w="2815" w:type="dxa"/>
            <w:gridSpan w:val="3"/>
            <w:tcBorders>
              <w:top w:val="single" w:color="auto" w:sz="4" w:space="0"/>
            </w:tcBorders>
            <w:shd w:val="clear" w:color="auto" w:fill="auto"/>
            <w:tcMar>
              <w:left w:w="0" w:type="dxa"/>
              <w:right w:w="0" w:type="dxa"/>
            </w:tcMar>
            <w:vAlign w:val="center"/>
          </w:tcPr>
          <w:p w14:paraId="2609CA49">
            <w:pPr>
              <w:keepNext/>
              <w:adjustRightInd w:val="0"/>
              <w:snapToGrid w:val="0"/>
              <w:jc w:val="center"/>
              <w:rPr>
                <w:color w:val="auto"/>
                <w:sz w:val="21"/>
                <w:highlight w:val="none"/>
              </w:rPr>
            </w:pPr>
            <w:r>
              <w:rPr>
                <w:color w:val="auto"/>
                <w:sz w:val="21"/>
                <w:highlight w:val="none"/>
              </w:rPr>
              <w:t>　</w:t>
            </w:r>
          </w:p>
        </w:tc>
        <w:tc>
          <w:tcPr>
            <w:tcW w:w="1617" w:type="dxa"/>
            <w:gridSpan w:val="2"/>
            <w:tcBorders>
              <w:top w:val="single" w:color="auto" w:sz="4" w:space="0"/>
            </w:tcBorders>
            <w:shd w:val="clear" w:color="auto" w:fill="auto"/>
            <w:tcMar>
              <w:left w:w="0" w:type="dxa"/>
              <w:right w:w="0" w:type="dxa"/>
            </w:tcMar>
            <w:vAlign w:val="center"/>
          </w:tcPr>
          <w:p w14:paraId="5685F4A6">
            <w:pPr>
              <w:keepNext/>
              <w:adjustRightInd w:val="0"/>
              <w:snapToGrid w:val="0"/>
              <w:jc w:val="center"/>
              <w:rPr>
                <w:color w:val="auto"/>
                <w:sz w:val="21"/>
                <w:highlight w:val="none"/>
              </w:rPr>
            </w:pPr>
            <w:r>
              <w:rPr>
                <w:color w:val="auto"/>
                <w:sz w:val="21"/>
                <w:highlight w:val="none"/>
              </w:rPr>
              <w:t>编号</w:t>
            </w:r>
          </w:p>
        </w:tc>
        <w:tc>
          <w:tcPr>
            <w:tcW w:w="3091" w:type="dxa"/>
            <w:gridSpan w:val="3"/>
            <w:tcBorders>
              <w:top w:val="single" w:color="auto" w:sz="4" w:space="0"/>
              <w:right w:val="single" w:color="auto" w:sz="4" w:space="0"/>
            </w:tcBorders>
            <w:shd w:val="clear" w:color="auto" w:fill="auto"/>
            <w:tcMar>
              <w:left w:w="0" w:type="dxa"/>
              <w:right w:w="0" w:type="dxa"/>
            </w:tcMar>
            <w:vAlign w:val="center"/>
          </w:tcPr>
          <w:p w14:paraId="2F2A93C9">
            <w:pPr>
              <w:keepNext/>
              <w:adjustRightInd w:val="0"/>
              <w:snapToGrid w:val="0"/>
              <w:jc w:val="center"/>
              <w:rPr>
                <w:color w:val="auto"/>
                <w:sz w:val="21"/>
                <w:highlight w:val="none"/>
              </w:rPr>
            </w:pPr>
            <w:r>
              <w:rPr>
                <w:color w:val="auto"/>
                <w:sz w:val="21"/>
                <w:highlight w:val="none"/>
              </w:rPr>
              <w:t>　</w:t>
            </w:r>
          </w:p>
        </w:tc>
      </w:tr>
      <w:tr w14:paraId="47D92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1930" w:type="dxa"/>
            <w:gridSpan w:val="3"/>
            <w:shd w:val="clear" w:color="auto" w:fill="auto"/>
            <w:tcMar>
              <w:left w:w="0" w:type="dxa"/>
              <w:right w:w="0" w:type="dxa"/>
            </w:tcMar>
            <w:vAlign w:val="center"/>
          </w:tcPr>
          <w:p w14:paraId="431867FD">
            <w:pPr>
              <w:keepNext/>
              <w:adjustRightInd w:val="0"/>
              <w:snapToGrid w:val="0"/>
              <w:jc w:val="center"/>
              <w:rPr>
                <w:color w:val="auto"/>
                <w:sz w:val="21"/>
                <w:highlight w:val="none"/>
              </w:rPr>
            </w:pPr>
            <w:r>
              <w:rPr>
                <w:color w:val="auto"/>
                <w:sz w:val="21"/>
                <w:highlight w:val="none"/>
              </w:rPr>
              <w:t>工程总量</w:t>
            </w:r>
          </w:p>
        </w:tc>
        <w:tc>
          <w:tcPr>
            <w:tcW w:w="2376" w:type="dxa"/>
            <w:gridSpan w:val="3"/>
            <w:shd w:val="clear" w:color="auto" w:fill="auto"/>
            <w:tcMar>
              <w:left w:w="0" w:type="dxa"/>
              <w:right w:w="0" w:type="dxa"/>
            </w:tcMar>
            <w:vAlign w:val="center"/>
          </w:tcPr>
          <w:p w14:paraId="126FC8FF">
            <w:pPr>
              <w:keepNext/>
              <w:adjustRightInd w:val="0"/>
              <w:snapToGrid w:val="0"/>
              <w:jc w:val="center"/>
              <w:rPr>
                <w:color w:val="auto"/>
                <w:sz w:val="21"/>
                <w:highlight w:val="none"/>
              </w:rPr>
            </w:pPr>
            <w:r>
              <w:rPr>
                <w:rFonts w:hint="eastAsia"/>
                <w:color w:val="auto"/>
                <w:sz w:val="21"/>
                <w:highlight w:val="none"/>
              </w:rPr>
              <w:t xml:space="preserve">          </w:t>
            </w:r>
            <w:r>
              <w:rPr>
                <w:color w:val="auto"/>
                <w:sz w:val="21"/>
                <w:highlight w:val="none"/>
              </w:rPr>
              <w:t>正线公里</w:t>
            </w:r>
          </w:p>
        </w:tc>
        <w:tc>
          <w:tcPr>
            <w:tcW w:w="1871" w:type="dxa"/>
            <w:gridSpan w:val="2"/>
            <w:shd w:val="clear" w:color="auto" w:fill="auto"/>
            <w:tcMar>
              <w:left w:w="0" w:type="dxa"/>
              <w:right w:w="0" w:type="dxa"/>
            </w:tcMar>
            <w:vAlign w:val="center"/>
          </w:tcPr>
          <w:p w14:paraId="0D00D21C">
            <w:pPr>
              <w:keepNext/>
              <w:adjustRightInd w:val="0"/>
              <w:snapToGrid w:val="0"/>
              <w:jc w:val="center"/>
              <w:rPr>
                <w:color w:val="auto"/>
                <w:sz w:val="21"/>
                <w:highlight w:val="none"/>
              </w:rPr>
            </w:pPr>
            <w:r>
              <w:rPr>
                <w:color w:val="auto"/>
                <w:sz w:val="21"/>
                <w:highlight w:val="none"/>
              </w:rPr>
              <w:t>估算总额</w:t>
            </w:r>
          </w:p>
        </w:tc>
        <w:tc>
          <w:tcPr>
            <w:tcW w:w="2815" w:type="dxa"/>
            <w:gridSpan w:val="3"/>
            <w:shd w:val="clear" w:color="auto" w:fill="auto"/>
            <w:tcMar>
              <w:left w:w="0" w:type="dxa"/>
              <w:right w:w="0" w:type="dxa"/>
            </w:tcMar>
            <w:vAlign w:val="center"/>
          </w:tcPr>
          <w:p w14:paraId="244A5BAA">
            <w:pPr>
              <w:keepNext/>
              <w:adjustRightInd w:val="0"/>
              <w:snapToGrid w:val="0"/>
              <w:jc w:val="center"/>
              <w:rPr>
                <w:color w:val="auto"/>
                <w:sz w:val="21"/>
                <w:highlight w:val="none"/>
              </w:rPr>
            </w:pPr>
            <w:r>
              <w:rPr>
                <w:rFonts w:hint="eastAsia"/>
                <w:color w:val="auto"/>
                <w:sz w:val="21"/>
                <w:highlight w:val="none"/>
              </w:rPr>
              <w:t xml:space="preserve">                </w:t>
            </w:r>
            <w:r>
              <w:rPr>
                <w:color w:val="auto"/>
                <w:sz w:val="21"/>
                <w:highlight w:val="none"/>
              </w:rPr>
              <w:t>万元</w:t>
            </w:r>
          </w:p>
        </w:tc>
        <w:tc>
          <w:tcPr>
            <w:tcW w:w="1617" w:type="dxa"/>
            <w:gridSpan w:val="2"/>
            <w:shd w:val="clear" w:color="auto" w:fill="auto"/>
            <w:tcMar>
              <w:left w:w="0" w:type="dxa"/>
              <w:right w:w="0" w:type="dxa"/>
            </w:tcMar>
            <w:vAlign w:val="center"/>
          </w:tcPr>
          <w:p w14:paraId="4834D41A">
            <w:pPr>
              <w:keepNext/>
              <w:adjustRightInd w:val="0"/>
              <w:snapToGrid w:val="0"/>
              <w:jc w:val="center"/>
              <w:rPr>
                <w:color w:val="auto"/>
                <w:sz w:val="21"/>
                <w:highlight w:val="none"/>
              </w:rPr>
            </w:pPr>
            <w:r>
              <w:rPr>
                <w:color w:val="auto"/>
                <w:sz w:val="21"/>
                <w:highlight w:val="none"/>
              </w:rPr>
              <w:t>技术经济指标</w:t>
            </w:r>
          </w:p>
        </w:tc>
        <w:tc>
          <w:tcPr>
            <w:tcW w:w="3091" w:type="dxa"/>
            <w:gridSpan w:val="3"/>
            <w:shd w:val="clear" w:color="auto" w:fill="auto"/>
            <w:tcMar>
              <w:left w:w="0" w:type="dxa"/>
              <w:right w:w="0" w:type="dxa"/>
            </w:tcMar>
            <w:vAlign w:val="center"/>
          </w:tcPr>
          <w:p w14:paraId="293356E0">
            <w:pPr>
              <w:keepNext/>
              <w:adjustRightInd w:val="0"/>
              <w:snapToGrid w:val="0"/>
              <w:jc w:val="center"/>
              <w:rPr>
                <w:color w:val="auto"/>
                <w:sz w:val="21"/>
                <w:highlight w:val="none"/>
              </w:rPr>
            </w:pPr>
            <w:r>
              <w:rPr>
                <w:rFonts w:hint="eastAsia"/>
                <w:color w:val="auto"/>
                <w:sz w:val="21"/>
                <w:highlight w:val="none"/>
              </w:rPr>
              <w:t xml:space="preserve">            </w:t>
            </w:r>
            <w:r>
              <w:rPr>
                <w:color w:val="auto"/>
                <w:sz w:val="21"/>
                <w:highlight w:val="none"/>
              </w:rPr>
              <w:t>万元／正线公里</w:t>
            </w:r>
          </w:p>
        </w:tc>
      </w:tr>
      <w:tr w14:paraId="5D9A7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492" w:type="dxa"/>
            <w:vMerge w:val="restart"/>
            <w:shd w:val="clear" w:color="auto" w:fill="auto"/>
            <w:tcMar>
              <w:left w:w="0" w:type="dxa"/>
              <w:right w:w="0" w:type="dxa"/>
            </w:tcMar>
            <w:vAlign w:val="center"/>
          </w:tcPr>
          <w:p w14:paraId="77718058">
            <w:pPr>
              <w:keepNext/>
              <w:adjustRightInd w:val="0"/>
              <w:snapToGrid w:val="0"/>
              <w:jc w:val="center"/>
              <w:rPr>
                <w:color w:val="auto"/>
                <w:sz w:val="21"/>
                <w:highlight w:val="none"/>
              </w:rPr>
            </w:pPr>
            <w:r>
              <w:rPr>
                <w:color w:val="auto"/>
                <w:sz w:val="21"/>
                <w:highlight w:val="none"/>
              </w:rPr>
              <w:t>章别</w:t>
            </w:r>
          </w:p>
        </w:tc>
        <w:tc>
          <w:tcPr>
            <w:tcW w:w="493" w:type="dxa"/>
            <w:vMerge w:val="restart"/>
            <w:shd w:val="clear" w:color="auto" w:fill="auto"/>
            <w:tcMar>
              <w:left w:w="0" w:type="dxa"/>
              <w:right w:w="0" w:type="dxa"/>
            </w:tcMar>
            <w:vAlign w:val="center"/>
          </w:tcPr>
          <w:p w14:paraId="54BF5030">
            <w:pPr>
              <w:keepNext/>
              <w:adjustRightInd w:val="0"/>
              <w:snapToGrid w:val="0"/>
              <w:jc w:val="center"/>
              <w:rPr>
                <w:color w:val="auto"/>
                <w:sz w:val="21"/>
                <w:highlight w:val="none"/>
              </w:rPr>
            </w:pPr>
            <w:r>
              <w:rPr>
                <w:color w:val="auto"/>
                <w:sz w:val="21"/>
                <w:highlight w:val="none"/>
              </w:rPr>
              <w:t>节号</w:t>
            </w:r>
          </w:p>
        </w:tc>
        <w:tc>
          <w:tcPr>
            <w:tcW w:w="1877" w:type="dxa"/>
            <w:gridSpan w:val="2"/>
            <w:vMerge w:val="restart"/>
            <w:shd w:val="clear" w:color="auto" w:fill="auto"/>
            <w:tcMar>
              <w:left w:w="0" w:type="dxa"/>
              <w:right w:w="0" w:type="dxa"/>
            </w:tcMar>
            <w:vAlign w:val="center"/>
          </w:tcPr>
          <w:p w14:paraId="6248F7E5">
            <w:pPr>
              <w:keepNext/>
              <w:adjustRightInd w:val="0"/>
              <w:snapToGrid w:val="0"/>
              <w:jc w:val="center"/>
              <w:rPr>
                <w:color w:val="auto"/>
                <w:sz w:val="21"/>
                <w:highlight w:val="none"/>
              </w:rPr>
            </w:pPr>
            <w:r>
              <w:rPr>
                <w:color w:val="auto"/>
                <w:sz w:val="21"/>
                <w:highlight w:val="none"/>
              </w:rPr>
              <w:t>工程及费用名称</w:t>
            </w:r>
          </w:p>
        </w:tc>
        <w:tc>
          <w:tcPr>
            <w:tcW w:w="827" w:type="dxa"/>
            <w:vMerge w:val="restart"/>
            <w:shd w:val="clear" w:color="auto" w:fill="auto"/>
            <w:tcMar>
              <w:left w:w="0" w:type="dxa"/>
              <w:right w:w="0" w:type="dxa"/>
            </w:tcMar>
            <w:vAlign w:val="center"/>
          </w:tcPr>
          <w:p w14:paraId="34B36D67">
            <w:pPr>
              <w:keepNext/>
              <w:adjustRightInd w:val="0"/>
              <w:snapToGrid w:val="0"/>
              <w:jc w:val="center"/>
              <w:rPr>
                <w:color w:val="auto"/>
                <w:sz w:val="21"/>
                <w:highlight w:val="none"/>
              </w:rPr>
            </w:pPr>
            <w:r>
              <w:rPr>
                <w:color w:val="auto"/>
                <w:sz w:val="21"/>
                <w:highlight w:val="none"/>
              </w:rPr>
              <w:t>单位</w:t>
            </w:r>
          </w:p>
        </w:tc>
        <w:tc>
          <w:tcPr>
            <w:tcW w:w="1540" w:type="dxa"/>
            <w:gridSpan w:val="2"/>
            <w:vMerge w:val="restart"/>
            <w:shd w:val="clear" w:color="auto" w:fill="auto"/>
            <w:tcMar>
              <w:left w:w="0" w:type="dxa"/>
              <w:right w:w="0" w:type="dxa"/>
            </w:tcMar>
            <w:vAlign w:val="center"/>
          </w:tcPr>
          <w:p w14:paraId="0392CBA5">
            <w:pPr>
              <w:keepNext/>
              <w:adjustRightInd w:val="0"/>
              <w:snapToGrid w:val="0"/>
              <w:jc w:val="center"/>
              <w:rPr>
                <w:color w:val="auto"/>
                <w:sz w:val="21"/>
                <w:highlight w:val="none"/>
              </w:rPr>
            </w:pPr>
            <w:r>
              <w:rPr>
                <w:color w:val="auto"/>
                <w:sz w:val="21"/>
                <w:highlight w:val="none"/>
              </w:rPr>
              <w:t>数量</w:t>
            </w:r>
          </w:p>
        </w:tc>
        <w:tc>
          <w:tcPr>
            <w:tcW w:w="7526" w:type="dxa"/>
            <w:gridSpan w:val="8"/>
            <w:shd w:val="clear" w:color="auto" w:fill="auto"/>
            <w:tcMar>
              <w:left w:w="0" w:type="dxa"/>
              <w:right w:w="0" w:type="dxa"/>
            </w:tcMar>
            <w:vAlign w:val="center"/>
          </w:tcPr>
          <w:p w14:paraId="0BA210A8">
            <w:pPr>
              <w:keepNext/>
              <w:adjustRightInd w:val="0"/>
              <w:snapToGrid w:val="0"/>
              <w:jc w:val="center"/>
              <w:rPr>
                <w:color w:val="auto"/>
                <w:sz w:val="21"/>
                <w:highlight w:val="none"/>
              </w:rPr>
            </w:pPr>
            <w:r>
              <w:rPr>
                <w:color w:val="auto"/>
                <w:sz w:val="21"/>
                <w:highlight w:val="none"/>
              </w:rPr>
              <w:t>估算价值（万元）</w:t>
            </w:r>
          </w:p>
        </w:tc>
        <w:tc>
          <w:tcPr>
            <w:tcW w:w="945" w:type="dxa"/>
            <w:vMerge w:val="restart"/>
            <w:shd w:val="clear" w:color="auto" w:fill="auto"/>
            <w:tcMar>
              <w:left w:w="0" w:type="dxa"/>
              <w:right w:w="0" w:type="dxa"/>
            </w:tcMar>
            <w:vAlign w:val="center"/>
          </w:tcPr>
          <w:p w14:paraId="215917C9">
            <w:pPr>
              <w:keepNext/>
              <w:adjustRightInd w:val="0"/>
              <w:snapToGrid w:val="0"/>
              <w:jc w:val="center"/>
              <w:rPr>
                <w:color w:val="auto"/>
                <w:sz w:val="21"/>
                <w:highlight w:val="none"/>
              </w:rPr>
            </w:pPr>
            <w:r>
              <w:rPr>
                <w:color w:val="auto"/>
                <w:sz w:val="21"/>
                <w:highlight w:val="none"/>
              </w:rPr>
              <w:t>指标</w:t>
            </w:r>
          </w:p>
          <w:p w14:paraId="2DFEA354">
            <w:pPr>
              <w:keepNext/>
              <w:adjustRightInd w:val="0"/>
              <w:snapToGrid w:val="0"/>
              <w:jc w:val="center"/>
              <w:rPr>
                <w:color w:val="auto"/>
                <w:sz w:val="21"/>
                <w:highlight w:val="none"/>
              </w:rPr>
            </w:pPr>
            <w:r>
              <w:rPr>
                <w:color w:val="auto"/>
                <w:sz w:val="21"/>
                <w:highlight w:val="none"/>
              </w:rPr>
              <w:t>（万元</w:t>
            </w:r>
            <w:r>
              <w:rPr>
                <w:rFonts w:hint="eastAsia"/>
                <w:color w:val="auto"/>
                <w:sz w:val="21"/>
                <w:highlight w:val="none"/>
              </w:rPr>
              <w:t>/</w:t>
            </w:r>
            <w:r>
              <w:rPr>
                <w:color w:val="auto"/>
                <w:sz w:val="21"/>
                <w:highlight w:val="none"/>
              </w:rPr>
              <w:t>）</w:t>
            </w:r>
          </w:p>
        </w:tc>
      </w:tr>
      <w:tr w14:paraId="3F713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492" w:type="dxa"/>
            <w:vMerge w:val="continue"/>
            <w:shd w:val="clear" w:color="auto" w:fill="auto"/>
            <w:tcMar>
              <w:left w:w="0" w:type="dxa"/>
              <w:right w:w="0" w:type="dxa"/>
            </w:tcMar>
            <w:vAlign w:val="center"/>
          </w:tcPr>
          <w:p w14:paraId="4A30C10D">
            <w:pPr>
              <w:keepNext/>
              <w:adjustRightInd w:val="0"/>
              <w:snapToGrid w:val="0"/>
              <w:jc w:val="center"/>
              <w:rPr>
                <w:color w:val="auto"/>
                <w:sz w:val="21"/>
                <w:highlight w:val="none"/>
              </w:rPr>
            </w:pPr>
          </w:p>
        </w:tc>
        <w:tc>
          <w:tcPr>
            <w:tcW w:w="493" w:type="dxa"/>
            <w:vMerge w:val="continue"/>
            <w:shd w:val="clear" w:color="auto" w:fill="auto"/>
            <w:tcMar>
              <w:left w:w="0" w:type="dxa"/>
              <w:right w:w="0" w:type="dxa"/>
            </w:tcMar>
            <w:vAlign w:val="center"/>
          </w:tcPr>
          <w:p w14:paraId="5AA2E974">
            <w:pPr>
              <w:keepNext/>
              <w:adjustRightInd w:val="0"/>
              <w:snapToGrid w:val="0"/>
              <w:jc w:val="center"/>
              <w:rPr>
                <w:color w:val="auto"/>
                <w:sz w:val="21"/>
                <w:highlight w:val="none"/>
              </w:rPr>
            </w:pPr>
          </w:p>
        </w:tc>
        <w:tc>
          <w:tcPr>
            <w:tcW w:w="1877" w:type="dxa"/>
            <w:gridSpan w:val="2"/>
            <w:vMerge w:val="continue"/>
            <w:shd w:val="clear" w:color="auto" w:fill="auto"/>
            <w:tcMar>
              <w:left w:w="0" w:type="dxa"/>
              <w:right w:w="0" w:type="dxa"/>
            </w:tcMar>
            <w:vAlign w:val="center"/>
          </w:tcPr>
          <w:p w14:paraId="10128DCD">
            <w:pPr>
              <w:keepNext/>
              <w:adjustRightInd w:val="0"/>
              <w:snapToGrid w:val="0"/>
              <w:jc w:val="center"/>
              <w:rPr>
                <w:color w:val="auto"/>
                <w:sz w:val="21"/>
                <w:highlight w:val="none"/>
              </w:rPr>
            </w:pPr>
          </w:p>
        </w:tc>
        <w:tc>
          <w:tcPr>
            <w:tcW w:w="827" w:type="dxa"/>
            <w:vMerge w:val="continue"/>
            <w:shd w:val="clear" w:color="auto" w:fill="auto"/>
            <w:tcMar>
              <w:left w:w="0" w:type="dxa"/>
              <w:right w:w="0" w:type="dxa"/>
            </w:tcMar>
            <w:vAlign w:val="center"/>
          </w:tcPr>
          <w:p w14:paraId="7E586D29">
            <w:pPr>
              <w:keepNext/>
              <w:adjustRightInd w:val="0"/>
              <w:snapToGrid w:val="0"/>
              <w:jc w:val="center"/>
              <w:rPr>
                <w:color w:val="auto"/>
                <w:sz w:val="21"/>
                <w:highlight w:val="none"/>
              </w:rPr>
            </w:pPr>
          </w:p>
        </w:tc>
        <w:tc>
          <w:tcPr>
            <w:tcW w:w="1540" w:type="dxa"/>
            <w:gridSpan w:val="2"/>
            <w:vMerge w:val="continue"/>
            <w:shd w:val="clear" w:color="auto" w:fill="auto"/>
            <w:tcMar>
              <w:left w:w="0" w:type="dxa"/>
              <w:right w:w="0" w:type="dxa"/>
            </w:tcMar>
            <w:vAlign w:val="center"/>
          </w:tcPr>
          <w:p w14:paraId="7E8BD51A">
            <w:pPr>
              <w:keepNext/>
              <w:adjustRightInd w:val="0"/>
              <w:snapToGrid w:val="0"/>
              <w:jc w:val="center"/>
              <w:rPr>
                <w:color w:val="auto"/>
                <w:sz w:val="21"/>
                <w:highlight w:val="none"/>
              </w:rPr>
            </w:pPr>
          </w:p>
        </w:tc>
        <w:tc>
          <w:tcPr>
            <w:tcW w:w="1307" w:type="dxa"/>
            <w:gridSpan w:val="2"/>
            <w:shd w:val="clear" w:color="auto" w:fill="auto"/>
            <w:tcMar>
              <w:left w:w="0" w:type="dxa"/>
              <w:right w:w="0" w:type="dxa"/>
            </w:tcMar>
            <w:vAlign w:val="center"/>
          </w:tcPr>
          <w:p w14:paraId="72E18C12">
            <w:pPr>
              <w:keepNext/>
              <w:adjustRightInd w:val="0"/>
              <w:snapToGrid w:val="0"/>
              <w:jc w:val="center"/>
              <w:rPr>
                <w:color w:val="auto"/>
                <w:sz w:val="21"/>
                <w:highlight w:val="none"/>
              </w:rPr>
            </w:pPr>
            <w:r>
              <w:rPr>
                <w:color w:val="auto"/>
                <w:sz w:val="21"/>
                <w:highlight w:val="none"/>
              </w:rPr>
              <w:t>I</w:t>
            </w:r>
          </w:p>
        </w:tc>
        <w:tc>
          <w:tcPr>
            <w:tcW w:w="1365" w:type="dxa"/>
            <w:shd w:val="clear" w:color="auto" w:fill="auto"/>
            <w:tcMar>
              <w:left w:w="0" w:type="dxa"/>
              <w:right w:w="0" w:type="dxa"/>
            </w:tcMar>
            <w:vAlign w:val="center"/>
          </w:tcPr>
          <w:p w14:paraId="3A239818">
            <w:pPr>
              <w:keepNext/>
              <w:adjustRightInd w:val="0"/>
              <w:snapToGrid w:val="0"/>
              <w:jc w:val="center"/>
              <w:rPr>
                <w:color w:val="auto"/>
                <w:sz w:val="21"/>
                <w:highlight w:val="none"/>
              </w:rPr>
            </w:pPr>
            <w:r>
              <w:rPr>
                <w:color w:val="auto"/>
                <w:sz w:val="21"/>
                <w:highlight w:val="none"/>
              </w:rPr>
              <w:t>II</w:t>
            </w:r>
          </w:p>
        </w:tc>
        <w:tc>
          <w:tcPr>
            <w:tcW w:w="1324" w:type="dxa"/>
            <w:gridSpan w:val="2"/>
            <w:shd w:val="clear" w:color="auto" w:fill="auto"/>
            <w:tcMar>
              <w:left w:w="0" w:type="dxa"/>
              <w:right w:w="0" w:type="dxa"/>
            </w:tcMar>
            <w:vAlign w:val="center"/>
          </w:tcPr>
          <w:p w14:paraId="5B36EB99">
            <w:pPr>
              <w:keepNext/>
              <w:adjustRightInd w:val="0"/>
              <w:snapToGrid w:val="0"/>
              <w:jc w:val="center"/>
              <w:rPr>
                <w:color w:val="auto"/>
                <w:sz w:val="21"/>
                <w:highlight w:val="none"/>
              </w:rPr>
            </w:pPr>
            <w:r>
              <w:rPr>
                <w:color w:val="auto"/>
                <w:sz w:val="21"/>
                <w:highlight w:val="none"/>
              </w:rPr>
              <w:t>III</w:t>
            </w:r>
          </w:p>
        </w:tc>
        <w:tc>
          <w:tcPr>
            <w:tcW w:w="1384" w:type="dxa"/>
            <w:shd w:val="clear" w:color="auto" w:fill="auto"/>
            <w:tcMar>
              <w:left w:w="0" w:type="dxa"/>
              <w:right w:w="0" w:type="dxa"/>
            </w:tcMar>
            <w:vAlign w:val="center"/>
          </w:tcPr>
          <w:p w14:paraId="3024AE9D">
            <w:pPr>
              <w:keepNext/>
              <w:adjustRightInd w:val="0"/>
              <w:snapToGrid w:val="0"/>
              <w:jc w:val="center"/>
              <w:rPr>
                <w:color w:val="auto"/>
                <w:sz w:val="21"/>
                <w:highlight w:val="none"/>
              </w:rPr>
            </w:pPr>
            <w:r>
              <w:rPr>
                <w:color w:val="auto"/>
                <w:sz w:val="21"/>
                <w:highlight w:val="none"/>
              </w:rPr>
              <w:t>IV</w:t>
            </w:r>
          </w:p>
        </w:tc>
        <w:tc>
          <w:tcPr>
            <w:tcW w:w="940" w:type="dxa"/>
            <w:vMerge w:val="restart"/>
            <w:shd w:val="clear" w:color="auto" w:fill="auto"/>
            <w:tcMar>
              <w:left w:w="0" w:type="dxa"/>
              <w:right w:w="0" w:type="dxa"/>
            </w:tcMar>
            <w:vAlign w:val="center"/>
          </w:tcPr>
          <w:p w14:paraId="7F6A3841">
            <w:pPr>
              <w:keepNext/>
              <w:adjustRightInd w:val="0"/>
              <w:snapToGrid w:val="0"/>
              <w:jc w:val="center"/>
              <w:rPr>
                <w:color w:val="auto"/>
                <w:sz w:val="21"/>
                <w:highlight w:val="none"/>
              </w:rPr>
            </w:pPr>
            <w:r>
              <w:rPr>
                <w:color w:val="auto"/>
                <w:sz w:val="21"/>
                <w:highlight w:val="none"/>
              </w:rPr>
              <w:t>合计</w:t>
            </w:r>
          </w:p>
        </w:tc>
        <w:tc>
          <w:tcPr>
            <w:tcW w:w="1206" w:type="dxa"/>
            <w:vMerge w:val="restart"/>
            <w:shd w:val="clear" w:color="auto" w:fill="auto"/>
            <w:tcMar>
              <w:left w:w="0" w:type="dxa"/>
              <w:right w:w="0" w:type="dxa"/>
            </w:tcMar>
            <w:vAlign w:val="center"/>
          </w:tcPr>
          <w:p w14:paraId="5AAFA86A">
            <w:pPr>
              <w:keepNext/>
              <w:adjustRightInd w:val="0"/>
              <w:snapToGrid w:val="0"/>
              <w:jc w:val="center"/>
              <w:rPr>
                <w:color w:val="auto"/>
                <w:sz w:val="21"/>
                <w:highlight w:val="none"/>
              </w:rPr>
            </w:pPr>
            <w:r>
              <w:rPr>
                <w:color w:val="auto"/>
                <w:sz w:val="21"/>
                <w:highlight w:val="none"/>
              </w:rPr>
              <w:t>其中外汇</w:t>
            </w:r>
          </w:p>
          <w:p w14:paraId="662A14A2">
            <w:pPr>
              <w:keepNext/>
              <w:adjustRightInd w:val="0"/>
              <w:snapToGrid w:val="0"/>
              <w:jc w:val="center"/>
              <w:rPr>
                <w:color w:val="auto"/>
                <w:sz w:val="21"/>
                <w:highlight w:val="none"/>
              </w:rPr>
            </w:pPr>
            <w:r>
              <w:rPr>
                <w:color w:val="auto"/>
                <w:sz w:val="21"/>
                <w:highlight w:val="none"/>
              </w:rPr>
              <w:t>（万美元）</w:t>
            </w:r>
          </w:p>
        </w:tc>
        <w:tc>
          <w:tcPr>
            <w:tcW w:w="945" w:type="dxa"/>
            <w:vMerge w:val="continue"/>
            <w:shd w:val="clear" w:color="auto" w:fill="auto"/>
            <w:tcMar>
              <w:left w:w="0" w:type="dxa"/>
              <w:right w:w="0" w:type="dxa"/>
            </w:tcMar>
            <w:vAlign w:val="center"/>
          </w:tcPr>
          <w:p w14:paraId="78099638">
            <w:pPr>
              <w:keepNext/>
              <w:adjustRightInd w:val="0"/>
              <w:snapToGrid w:val="0"/>
              <w:jc w:val="center"/>
              <w:rPr>
                <w:color w:val="auto"/>
                <w:sz w:val="21"/>
                <w:highlight w:val="none"/>
              </w:rPr>
            </w:pPr>
          </w:p>
        </w:tc>
      </w:tr>
      <w:tr w14:paraId="5044D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492" w:type="dxa"/>
            <w:vMerge w:val="continue"/>
            <w:shd w:val="clear" w:color="auto" w:fill="auto"/>
            <w:tcMar>
              <w:left w:w="0" w:type="dxa"/>
              <w:right w:w="0" w:type="dxa"/>
            </w:tcMar>
            <w:vAlign w:val="center"/>
          </w:tcPr>
          <w:p w14:paraId="6ADCB209">
            <w:pPr>
              <w:keepNext/>
              <w:adjustRightInd w:val="0"/>
              <w:snapToGrid w:val="0"/>
              <w:jc w:val="center"/>
              <w:rPr>
                <w:color w:val="auto"/>
                <w:sz w:val="21"/>
                <w:highlight w:val="none"/>
              </w:rPr>
            </w:pPr>
          </w:p>
        </w:tc>
        <w:tc>
          <w:tcPr>
            <w:tcW w:w="493" w:type="dxa"/>
            <w:vMerge w:val="continue"/>
            <w:shd w:val="clear" w:color="auto" w:fill="auto"/>
            <w:tcMar>
              <w:left w:w="0" w:type="dxa"/>
              <w:right w:w="0" w:type="dxa"/>
            </w:tcMar>
            <w:vAlign w:val="center"/>
          </w:tcPr>
          <w:p w14:paraId="3B2A8EB0">
            <w:pPr>
              <w:keepNext/>
              <w:adjustRightInd w:val="0"/>
              <w:snapToGrid w:val="0"/>
              <w:jc w:val="center"/>
              <w:rPr>
                <w:color w:val="auto"/>
                <w:sz w:val="21"/>
                <w:highlight w:val="none"/>
              </w:rPr>
            </w:pPr>
          </w:p>
        </w:tc>
        <w:tc>
          <w:tcPr>
            <w:tcW w:w="1877" w:type="dxa"/>
            <w:gridSpan w:val="2"/>
            <w:vMerge w:val="continue"/>
            <w:shd w:val="clear" w:color="auto" w:fill="auto"/>
            <w:tcMar>
              <w:left w:w="0" w:type="dxa"/>
              <w:right w:w="0" w:type="dxa"/>
            </w:tcMar>
            <w:vAlign w:val="center"/>
          </w:tcPr>
          <w:p w14:paraId="1D9067C1">
            <w:pPr>
              <w:keepNext/>
              <w:adjustRightInd w:val="0"/>
              <w:snapToGrid w:val="0"/>
              <w:jc w:val="center"/>
              <w:rPr>
                <w:color w:val="auto"/>
                <w:sz w:val="21"/>
                <w:highlight w:val="none"/>
              </w:rPr>
            </w:pPr>
          </w:p>
        </w:tc>
        <w:tc>
          <w:tcPr>
            <w:tcW w:w="827" w:type="dxa"/>
            <w:vMerge w:val="continue"/>
            <w:shd w:val="clear" w:color="auto" w:fill="auto"/>
            <w:tcMar>
              <w:left w:w="0" w:type="dxa"/>
              <w:right w:w="0" w:type="dxa"/>
            </w:tcMar>
            <w:vAlign w:val="center"/>
          </w:tcPr>
          <w:p w14:paraId="34D1956A">
            <w:pPr>
              <w:keepNext/>
              <w:adjustRightInd w:val="0"/>
              <w:snapToGrid w:val="0"/>
              <w:jc w:val="center"/>
              <w:rPr>
                <w:color w:val="auto"/>
                <w:sz w:val="21"/>
                <w:highlight w:val="none"/>
              </w:rPr>
            </w:pPr>
          </w:p>
        </w:tc>
        <w:tc>
          <w:tcPr>
            <w:tcW w:w="1540" w:type="dxa"/>
            <w:gridSpan w:val="2"/>
            <w:vMerge w:val="continue"/>
            <w:shd w:val="clear" w:color="auto" w:fill="auto"/>
            <w:tcMar>
              <w:left w:w="0" w:type="dxa"/>
              <w:right w:w="0" w:type="dxa"/>
            </w:tcMar>
            <w:vAlign w:val="center"/>
          </w:tcPr>
          <w:p w14:paraId="57CE15A7">
            <w:pPr>
              <w:keepNext/>
              <w:adjustRightInd w:val="0"/>
              <w:snapToGrid w:val="0"/>
              <w:jc w:val="center"/>
              <w:rPr>
                <w:color w:val="auto"/>
                <w:sz w:val="21"/>
                <w:highlight w:val="none"/>
              </w:rPr>
            </w:pPr>
          </w:p>
        </w:tc>
        <w:tc>
          <w:tcPr>
            <w:tcW w:w="1307" w:type="dxa"/>
            <w:gridSpan w:val="2"/>
            <w:shd w:val="clear" w:color="auto" w:fill="auto"/>
            <w:tcMar>
              <w:left w:w="0" w:type="dxa"/>
              <w:right w:w="0" w:type="dxa"/>
            </w:tcMar>
            <w:vAlign w:val="center"/>
          </w:tcPr>
          <w:p w14:paraId="41D87E3D">
            <w:pPr>
              <w:keepNext/>
              <w:adjustRightInd w:val="0"/>
              <w:snapToGrid w:val="0"/>
              <w:jc w:val="center"/>
              <w:rPr>
                <w:color w:val="auto"/>
                <w:sz w:val="21"/>
                <w:highlight w:val="none"/>
              </w:rPr>
            </w:pPr>
            <w:r>
              <w:rPr>
                <w:color w:val="auto"/>
                <w:sz w:val="21"/>
                <w:highlight w:val="none"/>
              </w:rPr>
              <w:t>建筑工程费</w:t>
            </w:r>
          </w:p>
        </w:tc>
        <w:tc>
          <w:tcPr>
            <w:tcW w:w="1365" w:type="dxa"/>
            <w:shd w:val="clear" w:color="auto" w:fill="auto"/>
            <w:tcMar>
              <w:left w:w="0" w:type="dxa"/>
              <w:right w:w="0" w:type="dxa"/>
            </w:tcMar>
            <w:vAlign w:val="center"/>
          </w:tcPr>
          <w:p w14:paraId="4102DB8D">
            <w:pPr>
              <w:keepNext/>
              <w:adjustRightInd w:val="0"/>
              <w:snapToGrid w:val="0"/>
              <w:jc w:val="center"/>
              <w:rPr>
                <w:color w:val="auto"/>
                <w:sz w:val="21"/>
                <w:highlight w:val="none"/>
              </w:rPr>
            </w:pPr>
            <w:r>
              <w:rPr>
                <w:color w:val="auto"/>
                <w:sz w:val="21"/>
                <w:highlight w:val="none"/>
              </w:rPr>
              <w:t>安装工程费</w:t>
            </w:r>
          </w:p>
        </w:tc>
        <w:tc>
          <w:tcPr>
            <w:tcW w:w="1324" w:type="dxa"/>
            <w:gridSpan w:val="2"/>
            <w:shd w:val="clear" w:color="auto" w:fill="auto"/>
            <w:tcMar>
              <w:left w:w="0" w:type="dxa"/>
              <w:right w:w="0" w:type="dxa"/>
            </w:tcMar>
            <w:vAlign w:val="center"/>
          </w:tcPr>
          <w:p w14:paraId="62639DBF">
            <w:pPr>
              <w:keepNext/>
              <w:adjustRightInd w:val="0"/>
              <w:snapToGrid w:val="0"/>
              <w:jc w:val="center"/>
              <w:rPr>
                <w:color w:val="auto"/>
                <w:sz w:val="21"/>
                <w:highlight w:val="none"/>
              </w:rPr>
            </w:pPr>
            <w:r>
              <w:rPr>
                <w:color w:val="auto"/>
                <w:sz w:val="21"/>
                <w:highlight w:val="none"/>
              </w:rPr>
              <w:t>设备购置费</w:t>
            </w:r>
          </w:p>
        </w:tc>
        <w:tc>
          <w:tcPr>
            <w:tcW w:w="1384" w:type="dxa"/>
            <w:shd w:val="clear" w:color="auto" w:fill="auto"/>
            <w:tcMar>
              <w:left w:w="0" w:type="dxa"/>
              <w:right w:w="0" w:type="dxa"/>
            </w:tcMar>
            <w:vAlign w:val="center"/>
          </w:tcPr>
          <w:p w14:paraId="1B783BD3">
            <w:pPr>
              <w:keepNext/>
              <w:adjustRightInd w:val="0"/>
              <w:snapToGrid w:val="0"/>
              <w:jc w:val="center"/>
              <w:rPr>
                <w:color w:val="auto"/>
                <w:sz w:val="21"/>
                <w:highlight w:val="none"/>
              </w:rPr>
            </w:pPr>
            <w:r>
              <w:rPr>
                <w:color w:val="auto"/>
                <w:sz w:val="21"/>
                <w:highlight w:val="none"/>
              </w:rPr>
              <w:t>工程建设</w:t>
            </w:r>
          </w:p>
          <w:p w14:paraId="0B60AC5E">
            <w:pPr>
              <w:keepNext/>
              <w:adjustRightInd w:val="0"/>
              <w:snapToGrid w:val="0"/>
              <w:jc w:val="center"/>
              <w:rPr>
                <w:color w:val="auto"/>
                <w:sz w:val="21"/>
                <w:highlight w:val="none"/>
              </w:rPr>
            </w:pPr>
            <w:r>
              <w:rPr>
                <w:color w:val="auto"/>
                <w:sz w:val="21"/>
                <w:highlight w:val="none"/>
              </w:rPr>
              <w:t>其他费用</w:t>
            </w:r>
          </w:p>
        </w:tc>
        <w:tc>
          <w:tcPr>
            <w:tcW w:w="940" w:type="dxa"/>
            <w:vMerge w:val="continue"/>
            <w:shd w:val="clear" w:color="auto" w:fill="auto"/>
            <w:tcMar>
              <w:left w:w="0" w:type="dxa"/>
              <w:right w:w="0" w:type="dxa"/>
            </w:tcMar>
            <w:vAlign w:val="center"/>
          </w:tcPr>
          <w:p w14:paraId="06B0103F">
            <w:pPr>
              <w:keepNext/>
              <w:adjustRightInd w:val="0"/>
              <w:snapToGrid w:val="0"/>
              <w:jc w:val="center"/>
              <w:rPr>
                <w:color w:val="auto"/>
                <w:sz w:val="21"/>
                <w:highlight w:val="none"/>
              </w:rPr>
            </w:pPr>
          </w:p>
        </w:tc>
        <w:tc>
          <w:tcPr>
            <w:tcW w:w="1206" w:type="dxa"/>
            <w:vMerge w:val="continue"/>
            <w:shd w:val="clear" w:color="auto" w:fill="auto"/>
            <w:tcMar>
              <w:left w:w="0" w:type="dxa"/>
              <w:right w:w="0" w:type="dxa"/>
            </w:tcMar>
            <w:vAlign w:val="center"/>
          </w:tcPr>
          <w:p w14:paraId="14F25C81">
            <w:pPr>
              <w:keepNext/>
              <w:adjustRightInd w:val="0"/>
              <w:snapToGrid w:val="0"/>
              <w:jc w:val="center"/>
              <w:rPr>
                <w:color w:val="auto"/>
                <w:sz w:val="21"/>
                <w:highlight w:val="none"/>
              </w:rPr>
            </w:pPr>
          </w:p>
        </w:tc>
        <w:tc>
          <w:tcPr>
            <w:tcW w:w="945" w:type="dxa"/>
            <w:vMerge w:val="continue"/>
            <w:shd w:val="clear" w:color="auto" w:fill="auto"/>
            <w:tcMar>
              <w:left w:w="0" w:type="dxa"/>
              <w:right w:w="0" w:type="dxa"/>
            </w:tcMar>
            <w:vAlign w:val="center"/>
          </w:tcPr>
          <w:p w14:paraId="3A992A83">
            <w:pPr>
              <w:keepNext/>
              <w:adjustRightInd w:val="0"/>
              <w:snapToGrid w:val="0"/>
              <w:jc w:val="center"/>
              <w:rPr>
                <w:color w:val="auto"/>
                <w:sz w:val="21"/>
                <w:highlight w:val="none"/>
              </w:rPr>
            </w:pPr>
          </w:p>
        </w:tc>
      </w:tr>
      <w:tr w14:paraId="2AF6D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75A52C7E">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514AB473">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3657793E">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7B1228A7">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3EBAA097">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330E53D0">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7E09634C">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562A9C78">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0490746C">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03E8D73B">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58E18AF9">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1902E23A">
            <w:pPr>
              <w:adjustRightInd w:val="0"/>
              <w:snapToGrid w:val="0"/>
              <w:jc w:val="center"/>
              <w:rPr>
                <w:color w:val="auto"/>
                <w:sz w:val="21"/>
                <w:highlight w:val="none"/>
              </w:rPr>
            </w:pPr>
            <w:r>
              <w:rPr>
                <w:color w:val="auto"/>
                <w:sz w:val="21"/>
                <w:highlight w:val="none"/>
              </w:rPr>
              <w:t>　</w:t>
            </w:r>
          </w:p>
        </w:tc>
      </w:tr>
      <w:tr w14:paraId="2839D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5069BD1B">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36B4D8F5">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2B357056">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03F7FF55">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683EE453">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16991855">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36B980A9">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3C857218">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46791BC6">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57DC590D">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270A12F2">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3B8CF592">
            <w:pPr>
              <w:adjustRightInd w:val="0"/>
              <w:snapToGrid w:val="0"/>
              <w:jc w:val="center"/>
              <w:rPr>
                <w:color w:val="auto"/>
                <w:sz w:val="21"/>
                <w:highlight w:val="none"/>
              </w:rPr>
            </w:pPr>
            <w:r>
              <w:rPr>
                <w:color w:val="auto"/>
                <w:sz w:val="21"/>
                <w:highlight w:val="none"/>
              </w:rPr>
              <w:t>　</w:t>
            </w:r>
          </w:p>
        </w:tc>
      </w:tr>
      <w:tr w14:paraId="2FB60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012CBDBD">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7BCD7A02">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1B5E56F5">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7E4EE28C">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6176A857">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4573B54C">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4FB19C42">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21235DC5">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465F495C">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2CD320D5">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5B7CAAF8">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7A3E1618">
            <w:pPr>
              <w:adjustRightInd w:val="0"/>
              <w:snapToGrid w:val="0"/>
              <w:jc w:val="center"/>
              <w:rPr>
                <w:color w:val="auto"/>
                <w:sz w:val="21"/>
                <w:highlight w:val="none"/>
              </w:rPr>
            </w:pPr>
            <w:r>
              <w:rPr>
                <w:color w:val="auto"/>
                <w:sz w:val="21"/>
                <w:highlight w:val="none"/>
              </w:rPr>
              <w:t>　</w:t>
            </w:r>
          </w:p>
        </w:tc>
      </w:tr>
      <w:tr w14:paraId="6F01D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528B43EB">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4878A635">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17D34BFA">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672CFA5F">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39E45DBD">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46EF1C28">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74FEDBC6">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3498004E">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389ED465">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7D312FE0">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59B15CDD">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602536A4">
            <w:pPr>
              <w:adjustRightInd w:val="0"/>
              <w:snapToGrid w:val="0"/>
              <w:jc w:val="center"/>
              <w:rPr>
                <w:color w:val="auto"/>
                <w:sz w:val="21"/>
                <w:highlight w:val="none"/>
              </w:rPr>
            </w:pPr>
            <w:r>
              <w:rPr>
                <w:color w:val="auto"/>
                <w:sz w:val="21"/>
                <w:highlight w:val="none"/>
              </w:rPr>
              <w:t>　</w:t>
            </w:r>
          </w:p>
        </w:tc>
      </w:tr>
      <w:tr w14:paraId="73922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564985D1">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360171D0">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53EEEB12">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6660ED01">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6CFD34CA">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3D96AC10">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2844B7F3">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598CAEDA">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015CF52D">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10894786">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7C07717D">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7D10DCD9">
            <w:pPr>
              <w:adjustRightInd w:val="0"/>
              <w:snapToGrid w:val="0"/>
              <w:jc w:val="center"/>
              <w:rPr>
                <w:color w:val="auto"/>
                <w:sz w:val="21"/>
                <w:highlight w:val="none"/>
              </w:rPr>
            </w:pPr>
            <w:r>
              <w:rPr>
                <w:color w:val="auto"/>
                <w:sz w:val="21"/>
                <w:highlight w:val="none"/>
              </w:rPr>
              <w:t>　</w:t>
            </w:r>
          </w:p>
        </w:tc>
      </w:tr>
      <w:tr w14:paraId="22F96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103959FE">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560EE588">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0FB1C871">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7866CB6F">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13E86371">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0051EA0E">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4DAB81D3">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7B4208BD">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3DA906B8">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14A29B57">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00F1C53F">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6C2DCF7B">
            <w:pPr>
              <w:adjustRightInd w:val="0"/>
              <w:snapToGrid w:val="0"/>
              <w:jc w:val="center"/>
              <w:rPr>
                <w:color w:val="auto"/>
                <w:sz w:val="21"/>
                <w:highlight w:val="none"/>
              </w:rPr>
            </w:pPr>
            <w:r>
              <w:rPr>
                <w:color w:val="auto"/>
                <w:sz w:val="21"/>
                <w:highlight w:val="none"/>
              </w:rPr>
              <w:t>　</w:t>
            </w:r>
          </w:p>
        </w:tc>
      </w:tr>
      <w:tr w14:paraId="39BC8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002D80CB">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1DBD32E4">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48E5F23D">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6B5216E5">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423CC137">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6CFBC1D6">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7E062648">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0BA2710B">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22E4249B">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2F6E097E">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14F2A2FC">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3E1C61BD">
            <w:pPr>
              <w:adjustRightInd w:val="0"/>
              <w:snapToGrid w:val="0"/>
              <w:jc w:val="center"/>
              <w:rPr>
                <w:color w:val="auto"/>
                <w:sz w:val="21"/>
                <w:highlight w:val="none"/>
              </w:rPr>
            </w:pPr>
            <w:r>
              <w:rPr>
                <w:color w:val="auto"/>
                <w:sz w:val="21"/>
                <w:highlight w:val="none"/>
              </w:rPr>
              <w:t>　</w:t>
            </w:r>
          </w:p>
        </w:tc>
      </w:tr>
      <w:tr w14:paraId="5410C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521BEE14">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43424313">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421702AE">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70D20835">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1B0149F8">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4310D2E6">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28AB1AF3">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62196D20">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1F16ED64">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3551DCA9">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2E33A39B">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57E00D16">
            <w:pPr>
              <w:adjustRightInd w:val="0"/>
              <w:snapToGrid w:val="0"/>
              <w:jc w:val="center"/>
              <w:rPr>
                <w:color w:val="auto"/>
                <w:sz w:val="21"/>
                <w:highlight w:val="none"/>
              </w:rPr>
            </w:pPr>
            <w:r>
              <w:rPr>
                <w:color w:val="auto"/>
                <w:sz w:val="21"/>
                <w:highlight w:val="none"/>
              </w:rPr>
              <w:t>　</w:t>
            </w:r>
          </w:p>
        </w:tc>
      </w:tr>
      <w:tr w14:paraId="47F6B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3C9E5BD0">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6F0E09F6">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7291BFD8">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4396A18F">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0ECED865">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2A2FF163">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6D1B96C4">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61754354">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3B098FE0">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13A26796">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69025049">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7BCC649E">
            <w:pPr>
              <w:adjustRightInd w:val="0"/>
              <w:snapToGrid w:val="0"/>
              <w:jc w:val="center"/>
              <w:rPr>
                <w:color w:val="auto"/>
                <w:sz w:val="21"/>
                <w:highlight w:val="none"/>
              </w:rPr>
            </w:pPr>
            <w:r>
              <w:rPr>
                <w:color w:val="auto"/>
                <w:sz w:val="21"/>
                <w:highlight w:val="none"/>
              </w:rPr>
              <w:t>　</w:t>
            </w:r>
          </w:p>
        </w:tc>
      </w:tr>
      <w:tr w14:paraId="0DC40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5D5B35CB">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1993BD2B">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1A9380A2">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4F686180">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51EB4507">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423CF339">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1E27C7C7">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32F6B43B">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43A2F29B">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5BCB1BC9">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39B12EB2">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6B37E18E">
            <w:pPr>
              <w:adjustRightInd w:val="0"/>
              <w:snapToGrid w:val="0"/>
              <w:jc w:val="center"/>
              <w:rPr>
                <w:color w:val="auto"/>
                <w:sz w:val="21"/>
                <w:highlight w:val="none"/>
              </w:rPr>
            </w:pPr>
            <w:r>
              <w:rPr>
                <w:color w:val="auto"/>
                <w:sz w:val="21"/>
                <w:highlight w:val="none"/>
              </w:rPr>
              <w:t>　</w:t>
            </w:r>
          </w:p>
        </w:tc>
      </w:tr>
      <w:tr w14:paraId="2DEC6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43D2A4E5">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12FA9575">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59EE6780">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506724F8">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799F067C">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343F21B1">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77082C5F">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4DD8947F">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77EDF2AA">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0E937694">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4F3845C5">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3DD607B3">
            <w:pPr>
              <w:adjustRightInd w:val="0"/>
              <w:snapToGrid w:val="0"/>
              <w:jc w:val="center"/>
              <w:rPr>
                <w:color w:val="auto"/>
                <w:sz w:val="21"/>
                <w:highlight w:val="none"/>
              </w:rPr>
            </w:pPr>
            <w:r>
              <w:rPr>
                <w:color w:val="auto"/>
                <w:sz w:val="21"/>
                <w:highlight w:val="none"/>
              </w:rPr>
              <w:t>　</w:t>
            </w:r>
          </w:p>
        </w:tc>
      </w:tr>
      <w:tr w14:paraId="4EC53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179F6FB5">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6C1627ED">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03AD7BF7">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1F05533C">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73C4F64D">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0A82EBF0">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51A2C965">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240E1D71">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14CBF9AD">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75DEAF5F">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29A6E620">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7CBAB921">
            <w:pPr>
              <w:adjustRightInd w:val="0"/>
              <w:snapToGrid w:val="0"/>
              <w:jc w:val="center"/>
              <w:rPr>
                <w:color w:val="auto"/>
                <w:sz w:val="21"/>
                <w:highlight w:val="none"/>
              </w:rPr>
            </w:pPr>
            <w:r>
              <w:rPr>
                <w:color w:val="auto"/>
                <w:sz w:val="21"/>
                <w:highlight w:val="none"/>
              </w:rPr>
              <w:t>　</w:t>
            </w:r>
          </w:p>
        </w:tc>
      </w:tr>
      <w:tr w14:paraId="3F1CF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6E085A8C">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4ADE008C">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48054E66">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6B93F746">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10FEDA73">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7E5F1F8E">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1D061C53">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636F1BB4">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71B82FE6">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0D4033D2">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1DDF0404">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4902E23E">
            <w:pPr>
              <w:adjustRightInd w:val="0"/>
              <w:snapToGrid w:val="0"/>
              <w:jc w:val="center"/>
              <w:rPr>
                <w:color w:val="auto"/>
                <w:sz w:val="21"/>
                <w:highlight w:val="none"/>
              </w:rPr>
            </w:pPr>
            <w:r>
              <w:rPr>
                <w:color w:val="auto"/>
                <w:sz w:val="21"/>
                <w:highlight w:val="none"/>
              </w:rPr>
              <w:t>　</w:t>
            </w:r>
          </w:p>
        </w:tc>
      </w:tr>
      <w:tr w14:paraId="3651F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4938C19F">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514C664D">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02D74B0F">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598F2DF2">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2CD816A8">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5F89AD4A">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20F8F991">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6BDBC7E0">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79190701">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07C46A1C">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76368B95">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41056572">
            <w:pPr>
              <w:adjustRightInd w:val="0"/>
              <w:snapToGrid w:val="0"/>
              <w:jc w:val="center"/>
              <w:rPr>
                <w:color w:val="auto"/>
                <w:sz w:val="21"/>
                <w:highlight w:val="none"/>
              </w:rPr>
            </w:pPr>
            <w:r>
              <w:rPr>
                <w:color w:val="auto"/>
                <w:sz w:val="21"/>
                <w:highlight w:val="none"/>
              </w:rPr>
              <w:t>　</w:t>
            </w:r>
          </w:p>
        </w:tc>
      </w:tr>
      <w:tr w14:paraId="24BC1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5696E183">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4266C6DD">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11555BFB">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701F2038">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5B39EF08">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49B663E1">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227AED50">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0632DDBD">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42F4DCBC">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473D7F0B">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0556A77A">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181C8A03">
            <w:pPr>
              <w:adjustRightInd w:val="0"/>
              <w:snapToGrid w:val="0"/>
              <w:jc w:val="center"/>
              <w:rPr>
                <w:color w:val="auto"/>
                <w:sz w:val="21"/>
                <w:highlight w:val="none"/>
              </w:rPr>
            </w:pPr>
            <w:r>
              <w:rPr>
                <w:color w:val="auto"/>
                <w:sz w:val="21"/>
                <w:highlight w:val="none"/>
              </w:rPr>
              <w:t>　</w:t>
            </w:r>
          </w:p>
        </w:tc>
      </w:tr>
      <w:tr w14:paraId="4D357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76B9C716">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3EC9394F">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62D9DA5A">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06F916AC">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292C6275">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1DD2A5FD">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52E48C69">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1B5C3379">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01463281">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0E5A0020">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4E4C633A">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2A4DCA7F">
            <w:pPr>
              <w:adjustRightInd w:val="0"/>
              <w:snapToGrid w:val="0"/>
              <w:jc w:val="center"/>
              <w:rPr>
                <w:color w:val="auto"/>
                <w:sz w:val="21"/>
                <w:highlight w:val="none"/>
              </w:rPr>
            </w:pPr>
            <w:r>
              <w:rPr>
                <w:color w:val="auto"/>
                <w:sz w:val="21"/>
                <w:highlight w:val="none"/>
              </w:rPr>
              <w:t>　</w:t>
            </w:r>
          </w:p>
        </w:tc>
      </w:tr>
      <w:tr w14:paraId="405B6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5BCF3F5F">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0CBBBBCB">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27841BE7">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7992374B">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6F3E87B9">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5F243CB6">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401BC35B">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663992E3">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253302FD">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0A847706">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70575441">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0E11EC56">
            <w:pPr>
              <w:adjustRightInd w:val="0"/>
              <w:snapToGrid w:val="0"/>
              <w:jc w:val="center"/>
              <w:rPr>
                <w:color w:val="auto"/>
                <w:sz w:val="21"/>
                <w:highlight w:val="none"/>
              </w:rPr>
            </w:pPr>
            <w:r>
              <w:rPr>
                <w:color w:val="auto"/>
                <w:sz w:val="21"/>
                <w:highlight w:val="none"/>
              </w:rPr>
              <w:t>　</w:t>
            </w:r>
          </w:p>
        </w:tc>
      </w:tr>
      <w:tr w14:paraId="217FA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0468C72E">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1045B201">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7E1747BA">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2934D3C1">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475F608D">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77313EE2">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628E6097">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48B81CDF">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703B4329">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225C19A3">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6D76E2EE">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7674780F">
            <w:pPr>
              <w:adjustRightInd w:val="0"/>
              <w:snapToGrid w:val="0"/>
              <w:jc w:val="center"/>
              <w:rPr>
                <w:color w:val="auto"/>
                <w:sz w:val="21"/>
                <w:highlight w:val="none"/>
              </w:rPr>
            </w:pPr>
            <w:r>
              <w:rPr>
                <w:color w:val="auto"/>
                <w:sz w:val="21"/>
                <w:highlight w:val="none"/>
              </w:rPr>
              <w:t>　</w:t>
            </w:r>
          </w:p>
        </w:tc>
      </w:tr>
      <w:tr w14:paraId="1C634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15665AD0">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32ECA965">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267D5726">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766CB22C">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542C9E04">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2024EF31">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36804EA8">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1901475F">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3F35403B">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01FF24A4">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6548F9D7">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586BF744">
            <w:pPr>
              <w:adjustRightInd w:val="0"/>
              <w:snapToGrid w:val="0"/>
              <w:jc w:val="center"/>
              <w:rPr>
                <w:color w:val="auto"/>
                <w:sz w:val="21"/>
                <w:highlight w:val="none"/>
              </w:rPr>
            </w:pPr>
            <w:r>
              <w:rPr>
                <w:color w:val="auto"/>
                <w:sz w:val="21"/>
                <w:highlight w:val="none"/>
              </w:rPr>
              <w:t>　</w:t>
            </w:r>
          </w:p>
        </w:tc>
      </w:tr>
      <w:tr w14:paraId="6486F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92" w:type="dxa"/>
            <w:shd w:val="clear" w:color="auto" w:fill="auto"/>
            <w:tcMar>
              <w:left w:w="0" w:type="dxa"/>
              <w:right w:w="0" w:type="dxa"/>
            </w:tcMar>
            <w:vAlign w:val="center"/>
          </w:tcPr>
          <w:p w14:paraId="7CB410F6">
            <w:pPr>
              <w:adjustRightInd w:val="0"/>
              <w:snapToGrid w:val="0"/>
              <w:jc w:val="center"/>
              <w:rPr>
                <w:color w:val="auto"/>
                <w:sz w:val="21"/>
                <w:highlight w:val="none"/>
              </w:rPr>
            </w:pPr>
            <w:r>
              <w:rPr>
                <w:color w:val="auto"/>
                <w:sz w:val="21"/>
                <w:highlight w:val="none"/>
              </w:rPr>
              <w:t>　</w:t>
            </w:r>
          </w:p>
        </w:tc>
        <w:tc>
          <w:tcPr>
            <w:tcW w:w="493" w:type="dxa"/>
            <w:shd w:val="clear" w:color="auto" w:fill="auto"/>
            <w:tcMar>
              <w:left w:w="0" w:type="dxa"/>
              <w:right w:w="0" w:type="dxa"/>
            </w:tcMar>
            <w:vAlign w:val="center"/>
          </w:tcPr>
          <w:p w14:paraId="505A86E7">
            <w:pPr>
              <w:adjustRightInd w:val="0"/>
              <w:snapToGrid w:val="0"/>
              <w:jc w:val="center"/>
              <w:rPr>
                <w:color w:val="auto"/>
                <w:sz w:val="21"/>
                <w:highlight w:val="none"/>
              </w:rPr>
            </w:pPr>
            <w:r>
              <w:rPr>
                <w:color w:val="auto"/>
                <w:sz w:val="21"/>
                <w:highlight w:val="none"/>
              </w:rPr>
              <w:t>　</w:t>
            </w:r>
          </w:p>
        </w:tc>
        <w:tc>
          <w:tcPr>
            <w:tcW w:w="1877" w:type="dxa"/>
            <w:gridSpan w:val="2"/>
            <w:shd w:val="clear" w:color="auto" w:fill="auto"/>
            <w:tcMar>
              <w:left w:w="0" w:type="dxa"/>
              <w:right w:w="0" w:type="dxa"/>
            </w:tcMar>
            <w:vAlign w:val="center"/>
          </w:tcPr>
          <w:p w14:paraId="46BA4EBE">
            <w:pPr>
              <w:adjustRightInd w:val="0"/>
              <w:snapToGrid w:val="0"/>
              <w:jc w:val="center"/>
              <w:rPr>
                <w:color w:val="auto"/>
                <w:sz w:val="21"/>
                <w:highlight w:val="none"/>
              </w:rPr>
            </w:pPr>
            <w:r>
              <w:rPr>
                <w:color w:val="auto"/>
                <w:sz w:val="21"/>
                <w:highlight w:val="none"/>
              </w:rPr>
              <w:t>　</w:t>
            </w:r>
          </w:p>
        </w:tc>
        <w:tc>
          <w:tcPr>
            <w:tcW w:w="827" w:type="dxa"/>
            <w:shd w:val="clear" w:color="auto" w:fill="auto"/>
            <w:tcMar>
              <w:left w:w="0" w:type="dxa"/>
              <w:right w:w="0" w:type="dxa"/>
            </w:tcMar>
            <w:vAlign w:val="center"/>
          </w:tcPr>
          <w:p w14:paraId="563F55FE">
            <w:pPr>
              <w:adjustRightInd w:val="0"/>
              <w:snapToGrid w:val="0"/>
              <w:jc w:val="center"/>
              <w:rPr>
                <w:color w:val="auto"/>
                <w:sz w:val="21"/>
                <w:highlight w:val="none"/>
              </w:rPr>
            </w:pPr>
            <w:r>
              <w:rPr>
                <w:color w:val="auto"/>
                <w:sz w:val="21"/>
                <w:highlight w:val="none"/>
              </w:rPr>
              <w:t>　</w:t>
            </w:r>
          </w:p>
        </w:tc>
        <w:tc>
          <w:tcPr>
            <w:tcW w:w="1540" w:type="dxa"/>
            <w:gridSpan w:val="2"/>
            <w:shd w:val="clear" w:color="auto" w:fill="auto"/>
            <w:tcMar>
              <w:left w:w="0" w:type="dxa"/>
              <w:right w:w="0" w:type="dxa"/>
            </w:tcMar>
            <w:vAlign w:val="center"/>
          </w:tcPr>
          <w:p w14:paraId="680FF81E">
            <w:pPr>
              <w:adjustRightInd w:val="0"/>
              <w:snapToGrid w:val="0"/>
              <w:jc w:val="center"/>
              <w:rPr>
                <w:color w:val="auto"/>
                <w:sz w:val="21"/>
                <w:highlight w:val="none"/>
              </w:rPr>
            </w:pPr>
            <w:r>
              <w:rPr>
                <w:color w:val="auto"/>
                <w:sz w:val="21"/>
                <w:highlight w:val="none"/>
              </w:rPr>
              <w:t>　</w:t>
            </w:r>
          </w:p>
        </w:tc>
        <w:tc>
          <w:tcPr>
            <w:tcW w:w="1307" w:type="dxa"/>
            <w:gridSpan w:val="2"/>
            <w:shd w:val="clear" w:color="auto" w:fill="auto"/>
            <w:tcMar>
              <w:left w:w="0" w:type="dxa"/>
              <w:right w:w="0" w:type="dxa"/>
            </w:tcMar>
            <w:vAlign w:val="center"/>
          </w:tcPr>
          <w:p w14:paraId="60C5FB21">
            <w:pPr>
              <w:adjustRightInd w:val="0"/>
              <w:snapToGrid w:val="0"/>
              <w:jc w:val="center"/>
              <w:rPr>
                <w:color w:val="auto"/>
                <w:sz w:val="21"/>
                <w:highlight w:val="none"/>
              </w:rPr>
            </w:pPr>
            <w:r>
              <w:rPr>
                <w:color w:val="auto"/>
                <w:sz w:val="21"/>
                <w:highlight w:val="none"/>
              </w:rPr>
              <w:t>　</w:t>
            </w:r>
          </w:p>
        </w:tc>
        <w:tc>
          <w:tcPr>
            <w:tcW w:w="1365" w:type="dxa"/>
            <w:shd w:val="clear" w:color="auto" w:fill="auto"/>
            <w:tcMar>
              <w:left w:w="0" w:type="dxa"/>
              <w:right w:w="0" w:type="dxa"/>
            </w:tcMar>
            <w:vAlign w:val="center"/>
          </w:tcPr>
          <w:p w14:paraId="2B494338">
            <w:pPr>
              <w:adjustRightInd w:val="0"/>
              <w:snapToGrid w:val="0"/>
              <w:jc w:val="center"/>
              <w:rPr>
                <w:color w:val="auto"/>
                <w:sz w:val="21"/>
                <w:highlight w:val="none"/>
              </w:rPr>
            </w:pPr>
            <w:r>
              <w:rPr>
                <w:color w:val="auto"/>
                <w:sz w:val="21"/>
                <w:highlight w:val="none"/>
              </w:rPr>
              <w:t>　</w:t>
            </w:r>
          </w:p>
        </w:tc>
        <w:tc>
          <w:tcPr>
            <w:tcW w:w="1324" w:type="dxa"/>
            <w:gridSpan w:val="2"/>
            <w:shd w:val="clear" w:color="auto" w:fill="auto"/>
            <w:tcMar>
              <w:left w:w="0" w:type="dxa"/>
              <w:right w:w="0" w:type="dxa"/>
            </w:tcMar>
            <w:vAlign w:val="center"/>
          </w:tcPr>
          <w:p w14:paraId="046F4DF3">
            <w:pPr>
              <w:adjustRightInd w:val="0"/>
              <w:snapToGrid w:val="0"/>
              <w:jc w:val="center"/>
              <w:rPr>
                <w:color w:val="auto"/>
                <w:sz w:val="21"/>
                <w:highlight w:val="none"/>
              </w:rPr>
            </w:pPr>
            <w:r>
              <w:rPr>
                <w:color w:val="auto"/>
                <w:sz w:val="21"/>
                <w:highlight w:val="none"/>
              </w:rPr>
              <w:t>　</w:t>
            </w:r>
          </w:p>
        </w:tc>
        <w:tc>
          <w:tcPr>
            <w:tcW w:w="1384" w:type="dxa"/>
            <w:shd w:val="clear" w:color="auto" w:fill="auto"/>
            <w:tcMar>
              <w:left w:w="0" w:type="dxa"/>
              <w:right w:w="0" w:type="dxa"/>
            </w:tcMar>
            <w:vAlign w:val="center"/>
          </w:tcPr>
          <w:p w14:paraId="4A5AD579">
            <w:pPr>
              <w:adjustRightInd w:val="0"/>
              <w:snapToGrid w:val="0"/>
              <w:jc w:val="center"/>
              <w:rPr>
                <w:color w:val="auto"/>
                <w:sz w:val="21"/>
                <w:highlight w:val="none"/>
              </w:rPr>
            </w:pPr>
            <w:r>
              <w:rPr>
                <w:color w:val="auto"/>
                <w:sz w:val="21"/>
                <w:highlight w:val="none"/>
              </w:rPr>
              <w:t>　</w:t>
            </w:r>
          </w:p>
        </w:tc>
        <w:tc>
          <w:tcPr>
            <w:tcW w:w="940" w:type="dxa"/>
            <w:shd w:val="clear" w:color="auto" w:fill="auto"/>
            <w:tcMar>
              <w:left w:w="0" w:type="dxa"/>
              <w:right w:w="0" w:type="dxa"/>
            </w:tcMar>
            <w:vAlign w:val="center"/>
          </w:tcPr>
          <w:p w14:paraId="0979EE98">
            <w:pPr>
              <w:adjustRightInd w:val="0"/>
              <w:snapToGrid w:val="0"/>
              <w:jc w:val="center"/>
              <w:rPr>
                <w:color w:val="auto"/>
                <w:sz w:val="21"/>
                <w:highlight w:val="none"/>
              </w:rPr>
            </w:pPr>
            <w:r>
              <w:rPr>
                <w:color w:val="auto"/>
                <w:sz w:val="21"/>
                <w:highlight w:val="none"/>
              </w:rPr>
              <w:t>　</w:t>
            </w:r>
          </w:p>
        </w:tc>
        <w:tc>
          <w:tcPr>
            <w:tcW w:w="1206" w:type="dxa"/>
            <w:shd w:val="clear" w:color="auto" w:fill="auto"/>
            <w:tcMar>
              <w:left w:w="0" w:type="dxa"/>
              <w:right w:w="0" w:type="dxa"/>
            </w:tcMar>
            <w:vAlign w:val="center"/>
          </w:tcPr>
          <w:p w14:paraId="092848A9">
            <w:pPr>
              <w:adjustRightInd w:val="0"/>
              <w:snapToGrid w:val="0"/>
              <w:jc w:val="center"/>
              <w:rPr>
                <w:color w:val="auto"/>
                <w:sz w:val="21"/>
                <w:highlight w:val="none"/>
              </w:rPr>
            </w:pPr>
            <w:r>
              <w:rPr>
                <w:color w:val="auto"/>
                <w:sz w:val="21"/>
                <w:highlight w:val="none"/>
              </w:rPr>
              <w:t>　</w:t>
            </w:r>
          </w:p>
        </w:tc>
        <w:tc>
          <w:tcPr>
            <w:tcW w:w="945" w:type="dxa"/>
            <w:shd w:val="clear" w:color="auto" w:fill="auto"/>
            <w:tcMar>
              <w:left w:w="0" w:type="dxa"/>
              <w:right w:w="0" w:type="dxa"/>
            </w:tcMar>
            <w:vAlign w:val="center"/>
          </w:tcPr>
          <w:p w14:paraId="2CEBCDD4">
            <w:pPr>
              <w:adjustRightInd w:val="0"/>
              <w:snapToGrid w:val="0"/>
              <w:jc w:val="center"/>
              <w:rPr>
                <w:color w:val="auto"/>
                <w:sz w:val="21"/>
                <w:highlight w:val="none"/>
              </w:rPr>
            </w:pPr>
            <w:r>
              <w:rPr>
                <w:color w:val="auto"/>
                <w:sz w:val="21"/>
                <w:highlight w:val="none"/>
              </w:rPr>
              <w:t>　</w:t>
            </w:r>
          </w:p>
        </w:tc>
      </w:tr>
    </w:tbl>
    <w:p w14:paraId="0E3CE1C7">
      <w:pPr>
        <w:rPr>
          <w:color w:val="auto"/>
          <w:sz w:val="21"/>
          <w:highlight w:val="none"/>
        </w:rPr>
      </w:pPr>
      <w:r>
        <w:rPr>
          <w:color w:val="auto"/>
          <w:sz w:val="21"/>
          <w:highlight w:val="none"/>
        </w:rPr>
        <w:t>编制      年      月      日      复核      年      月      日      审核      年      月      日      审定      年      月     日</w:t>
      </w:r>
    </w:p>
    <w:p w14:paraId="216E4ACB">
      <w:pPr>
        <w:ind w:firstLine="560" w:firstLineChars="200"/>
        <w:textAlignment w:val="center"/>
        <w:rPr>
          <w:color w:val="auto"/>
          <w:highlight w:val="none"/>
        </w:rPr>
      </w:pPr>
    </w:p>
    <w:p w14:paraId="051BB067">
      <w:pPr>
        <w:ind w:firstLine="560" w:firstLineChars="200"/>
        <w:textAlignment w:val="center"/>
        <w:rPr>
          <w:color w:val="auto"/>
          <w:highlight w:val="none"/>
        </w:rPr>
      </w:pPr>
    </w:p>
    <w:p w14:paraId="3EA35B15">
      <w:pPr>
        <w:ind w:firstLine="560" w:firstLineChars="200"/>
        <w:textAlignment w:val="center"/>
        <w:rPr>
          <w:color w:val="auto"/>
          <w:highlight w:val="none"/>
        </w:rPr>
      </w:pPr>
    </w:p>
    <w:p w14:paraId="3850E5B6">
      <w:pPr>
        <w:ind w:firstLine="560" w:firstLineChars="200"/>
        <w:textAlignment w:val="center"/>
        <w:rPr>
          <w:color w:val="auto"/>
          <w:highlight w:val="none"/>
        </w:rPr>
      </w:pPr>
    </w:p>
    <w:tbl>
      <w:tblPr>
        <w:tblStyle w:val="24"/>
        <w:tblW w:w="13440" w:type="dxa"/>
        <w:jc w:val="center"/>
        <w:tblLayout w:type="fixed"/>
        <w:tblCellMar>
          <w:top w:w="0" w:type="dxa"/>
          <w:left w:w="108" w:type="dxa"/>
          <w:bottom w:w="0" w:type="dxa"/>
          <w:right w:w="108" w:type="dxa"/>
        </w:tblCellMar>
      </w:tblPr>
      <w:tblGrid>
        <w:gridCol w:w="1400"/>
        <w:gridCol w:w="1400"/>
        <w:gridCol w:w="1883"/>
        <w:gridCol w:w="1400"/>
        <w:gridCol w:w="1400"/>
        <w:gridCol w:w="1325"/>
        <w:gridCol w:w="1475"/>
        <w:gridCol w:w="1400"/>
        <w:gridCol w:w="1655"/>
        <w:gridCol w:w="102"/>
      </w:tblGrid>
      <w:tr w14:paraId="763B9CE7">
        <w:tblPrEx>
          <w:tblCellMar>
            <w:top w:w="0" w:type="dxa"/>
            <w:left w:w="108" w:type="dxa"/>
            <w:bottom w:w="0" w:type="dxa"/>
            <w:right w:w="108" w:type="dxa"/>
          </w:tblCellMar>
        </w:tblPrEx>
        <w:trPr>
          <w:trHeight w:val="330" w:hRule="atLeast"/>
          <w:tblHeader/>
          <w:jc w:val="center"/>
        </w:trPr>
        <w:tc>
          <w:tcPr>
            <w:tcW w:w="13440" w:type="dxa"/>
            <w:gridSpan w:val="10"/>
            <w:tcBorders>
              <w:top w:val="nil"/>
              <w:left w:val="nil"/>
              <w:bottom w:val="single" w:color="auto" w:sz="4" w:space="0"/>
              <w:right w:val="nil"/>
            </w:tcBorders>
            <w:shd w:val="clear" w:color="000000" w:fill="FFFFFF"/>
            <w:vAlign w:val="center"/>
          </w:tcPr>
          <w:p w14:paraId="21F08AC9">
            <w:pPr>
              <w:keepNext/>
              <w:adjustRightInd w:val="0"/>
              <w:spacing w:line="400" w:lineRule="exact"/>
              <w:jc w:val="center"/>
              <w:textAlignment w:val="center"/>
              <w:outlineLvl w:val="0"/>
              <w:rPr>
                <w:color w:val="auto"/>
                <w:kern w:val="0"/>
                <w:sz w:val="21"/>
                <w:szCs w:val="21"/>
                <w:highlight w:val="none"/>
              </w:rPr>
            </w:pPr>
            <w:bookmarkStart w:id="200" w:name="_Toc8881"/>
            <w:bookmarkStart w:id="201" w:name="_Toc26264"/>
            <w:r>
              <w:rPr>
                <w:rFonts w:eastAsia="黑体"/>
                <w:color w:val="auto"/>
                <w:sz w:val="26"/>
                <w:highlight w:val="none"/>
              </w:rPr>
              <w:t xml:space="preserve">附录四 </w:t>
            </w:r>
            <w:bookmarkEnd w:id="200"/>
            <w:r>
              <w:rPr>
                <w:rFonts w:eastAsia="黑体"/>
                <w:color w:val="auto"/>
                <w:sz w:val="26"/>
                <w:highlight w:val="none"/>
              </w:rPr>
              <w:t>可行性研究估算与建设规划估算对照表</w:t>
            </w:r>
            <w:bookmarkEnd w:id="201"/>
          </w:p>
        </w:tc>
      </w:tr>
      <w:tr w14:paraId="05853DEC">
        <w:tblPrEx>
          <w:tblCellMar>
            <w:top w:w="0" w:type="dxa"/>
            <w:left w:w="108" w:type="dxa"/>
            <w:bottom w:w="0" w:type="dxa"/>
            <w:right w:w="108" w:type="dxa"/>
          </w:tblCellMar>
        </w:tblPrEx>
        <w:trPr>
          <w:gridAfter w:val="1"/>
          <w:wAfter w:w="102" w:type="dxa"/>
          <w:trHeight w:val="330" w:hRule="atLeast"/>
          <w:tblHeader/>
          <w:jc w:val="center"/>
        </w:trPr>
        <w:tc>
          <w:tcPr>
            <w:tcW w:w="1400" w:type="dxa"/>
            <w:tcBorders>
              <w:top w:val="single" w:color="auto" w:sz="4" w:space="0"/>
              <w:left w:val="single" w:color="auto" w:sz="4" w:space="0"/>
              <w:bottom w:val="single" w:color="auto" w:sz="4" w:space="0"/>
              <w:right w:val="single" w:color="auto" w:sz="4" w:space="0"/>
            </w:tcBorders>
            <w:shd w:val="clear" w:color="000000" w:fill="FFFFFF"/>
            <w:vAlign w:val="center"/>
          </w:tcPr>
          <w:p w14:paraId="50DB2B7A">
            <w:pPr>
              <w:widowControl/>
              <w:adjustRightInd w:val="0"/>
              <w:snapToGrid w:val="0"/>
              <w:jc w:val="center"/>
              <w:rPr>
                <w:color w:val="auto"/>
                <w:kern w:val="0"/>
                <w:sz w:val="21"/>
                <w:szCs w:val="21"/>
                <w:highlight w:val="none"/>
              </w:rPr>
            </w:pPr>
            <w:r>
              <w:rPr>
                <w:color w:val="auto"/>
                <w:kern w:val="0"/>
                <w:sz w:val="21"/>
                <w:szCs w:val="21"/>
                <w:highlight w:val="none"/>
              </w:rPr>
              <w:t>建设名称</w:t>
            </w:r>
          </w:p>
        </w:tc>
        <w:tc>
          <w:tcPr>
            <w:tcW w:w="3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BDD0ED2">
            <w:pPr>
              <w:widowControl/>
              <w:adjustRightInd w:val="0"/>
              <w:snapToGrid w:val="0"/>
              <w:jc w:val="center"/>
              <w:rPr>
                <w:color w:val="auto"/>
                <w:kern w:val="0"/>
                <w:sz w:val="21"/>
                <w:szCs w:val="21"/>
                <w:highlight w:val="none"/>
              </w:rPr>
            </w:pPr>
          </w:p>
        </w:tc>
        <w:tc>
          <w:tcPr>
            <w:tcW w:w="1400" w:type="dxa"/>
            <w:tcBorders>
              <w:top w:val="single" w:color="auto" w:sz="4" w:space="0"/>
              <w:left w:val="single" w:color="auto" w:sz="4" w:space="0"/>
              <w:bottom w:val="single" w:color="auto" w:sz="4" w:space="0"/>
              <w:right w:val="single" w:color="auto" w:sz="4" w:space="0"/>
            </w:tcBorders>
            <w:shd w:val="clear" w:color="000000" w:fill="FFFFFF"/>
            <w:vAlign w:val="center"/>
          </w:tcPr>
          <w:p w14:paraId="2C86C538">
            <w:pPr>
              <w:widowControl/>
              <w:adjustRightInd w:val="0"/>
              <w:snapToGrid w:val="0"/>
              <w:jc w:val="center"/>
              <w:rPr>
                <w:color w:val="auto"/>
                <w:kern w:val="0"/>
                <w:sz w:val="21"/>
                <w:szCs w:val="21"/>
                <w:highlight w:val="none"/>
              </w:rPr>
            </w:pPr>
            <w:r>
              <w:rPr>
                <w:color w:val="auto"/>
                <w:kern w:val="0"/>
                <w:sz w:val="21"/>
                <w:szCs w:val="21"/>
                <w:highlight w:val="none"/>
              </w:rPr>
              <w:t>编制范围</w:t>
            </w:r>
          </w:p>
        </w:tc>
        <w:tc>
          <w:tcPr>
            <w:tcW w:w="272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EDCBCFA">
            <w:pPr>
              <w:widowControl/>
              <w:adjustRightInd w:val="0"/>
              <w:snapToGrid w:val="0"/>
              <w:jc w:val="center"/>
              <w:rPr>
                <w:color w:val="auto"/>
                <w:kern w:val="0"/>
                <w:sz w:val="21"/>
                <w:szCs w:val="21"/>
                <w:highlight w:val="none"/>
              </w:rPr>
            </w:pPr>
          </w:p>
        </w:tc>
        <w:tc>
          <w:tcPr>
            <w:tcW w:w="1475" w:type="dxa"/>
            <w:tcBorders>
              <w:top w:val="single" w:color="auto" w:sz="4" w:space="0"/>
              <w:left w:val="single" w:color="auto" w:sz="4" w:space="0"/>
              <w:bottom w:val="single" w:color="auto" w:sz="4" w:space="0"/>
              <w:right w:val="single" w:color="auto" w:sz="4" w:space="0"/>
            </w:tcBorders>
            <w:shd w:val="clear" w:color="000000" w:fill="FFFFFF"/>
            <w:vAlign w:val="center"/>
          </w:tcPr>
          <w:p w14:paraId="656ACC73">
            <w:pPr>
              <w:widowControl/>
              <w:adjustRightInd w:val="0"/>
              <w:snapToGrid w:val="0"/>
              <w:jc w:val="center"/>
              <w:rPr>
                <w:color w:val="auto"/>
                <w:kern w:val="0"/>
                <w:sz w:val="21"/>
                <w:szCs w:val="21"/>
                <w:highlight w:val="none"/>
              </w:rPr>
            </w:pPr>
            <w:r>
              <w:rPr>
                <w:color w:val="auto"/>
                <w:kern w:val="0"/>
                <w:sz w:val="21"/>
                <w:szCs w:val="21"/>
                <w:highlight w:val="none"/>
              </w:rPr>
              <w:t>编号</w:t>
            </w:r>
          </w:p>
        </w:tc>
        <w:tc>
          <w:tcPr>
            <w:tcW w:w="305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99A954E">
            <w:pPr>
              <w:widowControl/>
              <w:adjustRightInd w:val="0"/>
              <w:snapToGrid w:val="0"/>
              <w:jc w:val="center"/>
              <w:rPr>
                <w:color w:val="auto"/>
                <w:kern w:val="0"/>
                <w:sz w:val="21"/>
                <w:szCs w:val="21"/>
                <w:highlight w:val="none"/>
              </w:rPr>
            </w:pPr>
          </w:p>
        </w:tc>
      </w:tr>
      <w:tr w14:paraId="68611958">
        <w:tblPrEx>
          <w:tblCellMar>
            <w:top w:w="0" w:type="dxa"/>
            <w:left w:w="108" w:type="dxa"/>
            <w:bottom w:w="0" w:type="dxa"/>
            <w:right w:w="108" w:type="dxa"/>
          </w:tblCellMar>
        </w:tblPrEx>
        <w:trPr>
          <w:gridAfter w:val="1"/>
          <w:wAfter w:w="102" w:type="dxa"/>
          <w:trHeight w:val="330" w:hRule="atLeast"/>
          <w:tblHeader/>
          <w:jc w:val="center"/>
        </w:trPr>
        <w:tc>
          <w:tcPr>
            <w:tcW w:w="14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0850C8E5">
            <w:pPr>
              <w:widowControl/>
              <w:adjustRightInd w:val="0"/>
              <w:snapToGrid w:val="0"/>
              <w:jc w:val="center"/>
              <w:rPr>
                <w:color w:val="auto"/>
                <w:kern w:val="0"/>
                <w:sz w:val="21"/>
                <w:szCs w:val="21"/>
                <w:highlight w:val="none"/>
              </w:rPr>
            </w:pPr>
            <w:r>
              <w:rPr>
                <w:color w:val="auto"/>
                <w:kern w:val="0"/>
                <w:sz w:val="21"/>
                <w:szCs w:val="21"/>
                <w:highlight w:val="none"/>
              </w:rPr>
              <w:t>工程总量</w:t>
            </w:r>
            <w:r>
              <w:rPr>
                <w:rFonts w:hint="eastAsia"/>
                <w:color w:val="auto"/>
                <w:kern w:val="0"/>
                <w:sz w:val="21"/>
                <w:szCs w:val="21"/>
                <w:highlight w:val="none"/>
              </w:rPr>
              <w:t xml:space="preserve"> </w:t>
            </w:r>
          </w:p>
        </w:tc>
        <w:tc>
          <w:tcPr>
            <w:tcW w:w="1400" w:type="dxa"/>
            <w:tcBorders>
              <w:top w:val="single" w:color="auto" w:sz="4" w:space="0"/>
              <w:left w:val="nil"/>
              <w:bottom w:val="single" w:color="auto" w:sz="4" w:space="0"/>
              <w:right w:val="single" w:color="auto" w:sz="4" w:space="0"/>
            </w:tcBorders>
            <w:shd w:val="clear" w:color="000000" w:fill="FFFFFF"/>
            <w:vAlign w:val="center"/>
          </w:tcPr>
          <w:p w14:paraId="759F515A">
            <w:pPr>
              <w:widowControl/>
              <w:adjustRightInd w:val="0"/>
              <w:snapToGrid w:val="0"/>
              <w:jc w:val="center"/>
              <w:rPr>
                <w:color w:val="auto"/>
                <w:kern w:val="0"/>
                <w:sz w:val="21"/>
                <w:szCs w:val="21"/>
                <w:highlight w:val="none"/>
              </w:rPr>
            </w:pPr>
            <w:r>
              <w:rPr>
                <w:color w:val="auto"/>
                <w:kern w:val="0"/>
                <w:sz w:val="21"/>
                <w:szCs w:val="21"/>
                <w:highlight w:val="none"/>
              </w:rPr>
              <w:t>建设规划</w:t>
            </w:r>
          </w:p>
        </w:tc>
        <w:tc>
          <w:tcPr>
            <w:tcW w:w="1883" w:type="dxa"/>
            <w:tcBorders>
              <w:top w:val="single" w:color="auto" w:sz="4" w:space="0"/>
              <w:left w:val="nil"/>
              <w:bottom w:val="single" w:color="auto" w:sz="4" w:space="0"/>
              <w:right w:val="single" w:color="auto" w:sz="4" w:space="0"/>
            </w:tcBorders>
            <w:shd w:val="clear" w:color="000000" w:fill="FFFFFF"/>
            <w:vAlign w:val="center"/>
          </w:tcPr>
          <w:p w14:paraId="7FB93EB9">
            <w:pPr>
              <w:widowControl/>
              <w:adjustRightInd w:val="0"/>
              <w:snapToGrid w:val="0"/>
              <w:jc w:val="right"/>
              <w:rPr>
                <w:color w:val="auto"/>
                <w:kern w:val="0"/>
                <w:sz w:val="21"/>
                <w:szCs w:val="21"/>
                <w:highlight w:val="none"/>
              </w:rPr>
            </w:pPr>
            <w:r>
              <w:rPr>
                <w:rFonts w:hint="eastAsia"/>
                <w:color w:val="auto"/>
                <w:kern w:val="0"/>
                <w:sz w:val="21"/>
                <w:szCs w:val="21"/>
                <w:highlight w:val="none"/>
              </w:rPr>
              <w:t>正线公里</w:t>
            </w:r>
          </w:p>
        </w:tc>
        <w:tc>
          <w:tcPr>
            <w:tcW w:w="14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326CCAD6">
            <w:pPr>
              <w:widowControl/>
              <w:adjustRightInd w:val="0"/>
              <w:snapToGrid w:val="0"/>
              <w:jc w:val="center"/>
              <w:rPr>
                <w:color w:val="auto"/>
                <w:kern w:val="0"/>
                <w:sz w:val="21"/>
                <w:szCs w:val="21"/>
                <w:highlight w:val="none"/>
              </w:rPr>
            </w:pPr>
            <w:r>
              <w:rPr>
                <w:color w:val="auto"/>
                <w:kern w:val="0"/>
                <w:sz w:val="21"/>
                <w:szCs w:val="21"/>
                <w:highlight w:val="none"/>
              </w:rPr>
              <w:t>估算总额</w:t>
            </w:r>
          </w:p>
        </w:tc>
        <w:tc>
          <w:tcPr>
            <w:tcW w:w="1400" w:type="dxa"/>
            <w:tcBorders>
              <w:top w:val="single" w:color="auto" w:sz="4" w:space="0"/>
              <w:left w:val="nil"/>
              <w:bottom w:val="single" w:color="auto" w:sz="4" w:space="0"/>
              <w:right w:val="single" w:color="auto" w:sz="4" w:space="0"/>
            </w:tcBorders>
            <w:shd w:val="clear" w:color="000000" w:fill="FFFFFF"/>
            <w:vAlign w:val="center"/>
          </w:tcPr>
          <w:p w14:paraId="39765ECA">
            <w:pPr>
              <w:widowControl/>
              <w:adjustRightInd w:val="0"/>
              <w:snapToGrid w:val="0"/>
              <w:jc w:val="center"/>
              <w:rPr>
                <w:color w:val="auto"/>
                <w:kern w:val="0"/>
                <w:sz w:val="21"/>
                <w:szCs w:val="21"/>
                <w:highlight w:val="none"/>
              </w:rPr>
            </w:pPr>
            <w:r>
              <w:rPr>
                <w:color w:val="auto"/>
                <w:kern w:val="0"/>
                <w:sz w:val="21"/>
                <w:szCs w:val="21"/>
                <w:highlight w:val="none"/>
              </w:rPr>
              <w:t>建设规划</w:t>
            </w:r>
          </w:p>
        </w:tc>
        <w:tc>
          <w:tcPr>
            <w:tcW w:w="1325" w:type="dxa"/>
            <w:tcBorders>
              <w:top w:val="single" w:color="auto" w:sz="4" w:space="0"/>
              <w:left w:val="nil"/>
              <w:bottom w:val="single" w:color="auto" w:sz="4" w:space="0"/>
              <w:right w:val="single" w:color="auto" w:sz="4" w:space="0"/>
            </w:tcBorders>
            <w:shd w:val="clear" w:color="000000" w:fill="FFFFFF"/>
            <w:vAlign w:val="center"/>
          </w:tcPr>
          <w:p w14:paraId="3B8E3E17">
            <w:pPr>
              <w:widowControl/>
              <w:adjustRightInd w:val="0"/>
              <w:snapToGrid w:val="0"/>
              <w:jc w:val="right"/>
              <w:rPr>
                <w:color w:val="auto"/>
                <w:kern w:val="0"/>
                <w:sz w:val="21"/>
                <w:szCs w:val="21"/>
                <w:highlight w:val="none"/>
              </w:rPr>
            </w:pPr>
            <w:r>
              <w:rPr>
                <w:rFonts w:hint="eastAsia"/>
                <w:color w:val="auto"/>
                <w:kern w:val="0"/>
                <w:sz w:val="21"/>
                <w:szCs w:val="21"/>
                <w:highlight w:val="none"/>
              </w:rPr>
              <w:t>万元</w:t>
            </w:r>
          </w:p>
        </w:tc>
        <w:tc>
          <w:tcPr>
            <w:tcW w:w="1475"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326172AF">
            <w:pPr>
              <w:widowControl/>
              <w:adjustRightInd w:val="0"/>
              <w:snapToGrid w:val="0"/>
              <w:jc w:val="center"/>
              <w:rPr>
                <w:color w:val="auto"/>
                <w:kern w:val="0"/>
                <w:sz w:val="21"/>
                <w:szCs w:val="21"/>
                <w:highlight w:val="none"/>
              </w:rPr>
            </w:pPr>
            <w:r>
              <w:rPr>
                <w:color w:val="auto"/>
                <w:kern w:val="0"/>
                <w:sz w:val="21"/>
                <w:szCs w:val="21"/>
                <w:highlight w:val="none"/>
              </w:rPr>
              <w:t>技术经济</w:t>
            </w:r>
          </w:p>
          <w:p w14:paraId="42985F5E">
            <w:pPr>
              <w:widowControl/>
              <w:adjustRightInd w:val="0"/>
              <w:snapToGrid w:val="0"/>
              <w:jc w:val="center"/>
              <w:rPr>
                <w:color w:val="auto"/>
                <w:kern w:val="0"/>
                <w:sz w:val="21"/>
                <w:szCs w:val="21"/>
                <w:highlight w:val="none"/>
              </w:rPr>
            </w:pPr>
            <w:r>
              <w:rPr>
                <w:color w:val="auto"/>
                <w:kern w:val="0"/>
                <w:sz w:val="21"/>
                <w:szCs w:val="21"/>
                <w:highlight w:val="none"/>
              </w:rPr>
              <w:t>指标</w:t>
            </w:r>
          </w:p>
        </w:tc>
        <w:tc>
          <w:tcPr>
            <w:tcW w:w="1400" w:type="dxa"/>
            <w:tcBorders>
              <w:top w:val="single" w:color="auto" w:sz="4" w:space="0"/>
              <w:left w:val="nil"/>
              <w:bottom w:val="single" w:color="auto" w:sz="4" w:space="0"/>
              <w:right w:val="single" w:color="auto" w:sz="4" w:space="0"/>
            </w:tcBorders>
            <w:shd w:val="clear" w:color="000000" w:fill="FFFFFF"/>
            <w:vAlign w:val="center"/>
          </w:tcPr>
          <w:p w14:paraId="639D80F2">
            <w:pPr>
              <w:widowControl/>
              <w:adjustRightInd w:val="0"/>
              <w:snapToGrid w:val="0"/>
              <w:jc w:val="center"/>
              <w:rPr>
                <w:color w:val="auto"/>
                <w:kern w:val="0"/>
                <w:sz w:val="21"/>
                <w:szCs w:val="21"/>
                <w:highlight w:val="none"/>
              </w:rPr>
            </w:pPr>
            <w:r>
              <w:rPr>
                <w:color w:val="auto"/>
                <w:kern w:val="0"/>
                <w:sz w:val="21"/>
                <w:szCs w:val="21"/>
                <w:highlight w:val="none"/>
              </w:rPr>
              <w:t>建设规划</w:t>
            </w:r>
          </w:p>
        </w:tc>
        <w:tc>
          <w:tcPr>
            <w:tcW w:w="1655" w:type="dxa"/>
            <w:tcBorders>
              <w:top w:val="single" w:color="auto" w:sz="4" w:space="0"/>
              <w:left w:val="nil"/>
              <w:bottom w:val="single" w:color="auto" w:sz="4" w:space="0"/>
              <w:right w:val="single" w:color="auto" w:sz="4" w:space="0"/>
            </w:tcBorders>
            <w:shd w:val="clear" w:color="000000" w:fill="FFFFFF"/>
            <w:vAlign w:val="center"/>
          </w:tcPr>
          <w:p w14:paraId="5476ABD9">
            <w:pPr>
              <w:widowControl/>
              <w:adjustRightInd w:val="0"/>
              <w:snapToGrid w:val="0"/>
              <w:jc w:val="right"/>
              <w:rPr>
                <w:color w:val="auto"/>
                <w:kern w:val="0"/>
                <w:sz w:val="21"/>
                <w:szCs w:val="21"/>
                <w:highlight w:val="none"/>
              </w:rPr>
            </w:pPr>
            <w:r>
              <w:rPr>
                <w:rFonts w:hint="eastAsia"/>
                <w:color w:val="auto"/>
                <w:kern w:val="0"/>
                <w:sz w:val="21"/>
                <w:szCs w:val="21"/>
                <w:highlight w:val="none"/>
              </w:rPr>
              <w:t>万元/正线公里</w:t>
            </w:r>
          </w:p>
        </w:tc>
      </w:tr>
      <w:tr w14:paraId="056FC184">
        <w:tblPrEx>
          <w:tblCellMar>
            <w:top w:w="0" w:type="dxa"/>
            <w:left w:w="108" w:type="dxa"/>
            <w:bottom w:w="0" w:type="dxa"/>
            <w:right w:w="108" w:type="dxa"/>
          </w:tblCellMar>
        </w:tblPrEx>
        <w:trPr>
          <w:gridAfter w:val="1"/>
          <w:wAfter w:w="102" w:type="dxa"/>
          <w:trHeight w:val="330" w:hRule="atLeast"/>
          <w:tblHeader/>
          <w:jc w:val="center"/>
        </w:trPr>
        <w:tc>
          <w:tcPr>
            <w:tcW w:w="1400" w:type="dxa"/>
            <w:vMerge w:val="continue"/>
            <w:tcBorders>
              <w:top w:val="nil"/>
              <w:left w:val="single" w:color="auto" w:sz="4" w:space="0"/>
              <w:bottom w:val="single" w:color="000000" w:sz="4" w:space="0"/>
              <w:right w:val="single" w:color="auto" w:sz="4" w:space="0"/>
            </w:tcBorders>
            <w:vAlign w:val="center"/>
          </w:tcPr>
          <w:p w14:paraId="339E381A">
            <w:pPr>
              <w:widowControl/>
              <w:adjustRightInd w:val="0"/>
              <w:snapToGrid w:val="0"/>
              <w:jc w:val="left"/>
              <w:rPr>
                <w:color w:val="auto"/>
                <w:kern w:val="0"/>
                <w:sz w:val="21"/>
                <w:szCs w:val="21"/>
                <w:highlight w:val="none"/>
              </w:rPr>
            </w:pPr>
          </w:p>
        </w:tc>
        <w:tc>
          <w:tcPr>
            <w:tcW w:w="1400" w:type="dxa"/>
            <w:tcBorders>
              <w:top w:val="nil"/>
              <w:left w:val="nil"/>
              <w:bottom w:val="single" w:color="auto" w:sz="4" w:space="0"/>
              <w:right w:val="single" w:color="auto" w:sz="4" w:space="0"/>
            </w:tcBorders>
            <w:shd w:val="clear" w:color="000000" w:fill="FFFFFF"/>
            <w:vAlign w:val="center"/>
          </w:tcPr>
          <w:p w14:paraId="0CAD4F6E">
            <w:pPr>
              <w:widowControl/>
              <w:adjustRightInd w:val="0"/>
              <w:snapToGrid w:val="0"/>
              <w:jc w:val="center"/>
              <w:rPr>
                <w:color w:val="auto"/>
                <w:kern w:val="0"/>
                <w:sz w:val="21"/>
                <w:szCs w:val="21"/>
                <w:highlight w:val="none"/>
              </w:rPr>
            </w:pPr>
            <w:r>
              <w:rPr>
                <w:color w:val="auto"/>
                <w:kern w:val="0"/>
                <w:sz w:val="21"/>
                <w:szCs w:val="21"/>
                <w:highlight w:val="none"/>
              </w:rPr>
              <w:t>可行性研究</w:t>
            </w:r>
          </w:p>
        </w:tc>
        <w:tc>
          <w:tcPr>
            <w:tcW w:w="1883" w:type="dxa"/>
            <w:tcBorders>
              <w:top w:val="nil"/>
              <w:left w:val="nil"/>
              <w:bottom w:val="single" w:color="auto" w:sz="4" w:space="0"/>
              <w:right w:val="single" w:color="auto" w:sz="4" w:space="0"/>
            </w:tcBorders>
            <w:shd w:val="clear" w:color="000000" w:fill="FFFFFF"/>
            <w:vAlign w:val="center"/>
          </w:tcPr>
          <w:p w14:paraId="7BB4951B">
            <w:pPr>
              <w:widowControl/>
              <w:adjustRightInd w:val="0"/>
              <w:snapToGrid w:val="0"/>
              <w:jc w:val="right"/>
              <w:rPr>
                <w:color w:val="auto"/>
                <w:kern w:val="0"/>
                <w:sz w:val="21"/>
                <w:szCs w:val="21"/>
                <w:highlight w:val="none"/>
              </w:rPr>
            </w:pPr>
            <w:r>
              <w:rPr>
                <w:rFonts w:hint="eastAsia"/>
                <w:color w:val="auto"/>
                <w:kern w:val="0"/>
                <w:sz w:val="21"/>
                <w:szCs w:val="21"/>
                <w:highlight w:val="none"/>
              </w:rPr>
              <w:t>正线公里</w:t>
            </w:r>
          </w:p>
        </w:tc>
        <w:tc>
          <w:tcPr>
            <w:tcW w:w="1400" w:type="dxa"/>
            <w:vMerge w:val="continue"/>
            <w:tcBorders>
              <w:top w:val="nil"/>
              <w:left w:val="single" w:color="auto" w:sz="4" w:space="0"/>
              <w:bottom w:val="single" w:color="000000" w:sz="4" w:space="0"/>
              <w:right w:val="single" w:color="auto" w:sz="4" w:space="0"/>
            </w:tcBorders>
            <w:vAlign w:val="center"/>
          </w:tcPr>
          <w:p w14:paraId="21406D67">
            <w:pPr>
              <w:widowControl/>
              <w:adjustRightInd w:val="0"/>
              <w:snapToGrid w:val="0"/>
              <w:jc w:val="left"/>
              <w:rPr>
                <w:color w:val="auto"/>
                <w:kern w:val="0"/>
                <w:sz w:val="21"/>
                <w:szCs w:val="21"/>
                <w:highlight w:val="none"/>
              </w:rPr>
            </w:pPr>
          </w:p>
        </w:tc>
        <w:tc>
          <w:tcPr>
            <w:tcW w:w="1400" w:type="dxa"/>
            <w:tcBorders>
              <w:top w:val="nil"/>
              <w:left w:val="nil"/>
              <w:bottom w:val="single" w:color="auto" w:sz="4" w:space="0"/>
              <w:right w:val="single" w:color="auto" w:sz="4" w:space="0"/>
            </w:tcBorders>
            <w:shd w:val="clear" w:color="000000" w:fill="FFFFFF"/>
            <w:vAlign w:val="center"/>
          </w:tcPr>
          <w:p w14:paraId="7EB4E7C7">
            <w:pPr>
              <w:widowControl/>
              <w:adjustRightInd w:val="0"/>
              <w:snapToGrid w:val="0"/>
              <w:jc w:val="center"/>
              <w:rPr>
                <w:color w:val="auto"/>
                <w:kern w:val="0"/>
                <w:sz w:val="21"/>
                <w:szCs w:val="21"/>
                <w:highlight w:val="none"/>
              </w:rPr>
            </w:pPr>
            <w:r>
              <w:rPr>
                <w:color w:val="auto"/>
                <w:kern w:val="0"/>
                <w:sz w:val="21"/>
                <w:szCs w:val="21"/>
                <w:highlight w:val="none"/>
              </w:rPr>
              <w:t>可行性研究</w:t>
            </w:r>
          </w:p>
        </w:tc>
        <w:tc>
          <w:tcPr>
            <w:tcW w:w="1325" w:type="dxa"/>
            <w:tcBorders>
              <w:top w:val="nil"/>
              <w:left w:val="nil"/>
              <w:bottom w:val="single" w:color="auto" w:sz="4" w:space="0"/>
              <w:right w:val="single" w:color="auto" w:sz="4" w:space="0"/>
            </w:tcBorders>
            <w:shd w:val="clear" w:color="000000" w:fill="FFFFFF"/>
            <w:vAlign w:val="center"/>
          </w:tcPr>
          <w:p w14:paraId="4F7B5514">
            <w:pPr>
              <w:widowControl/>
              <w:adjustRightInd w:val="0"/>
              <w:snapToGrid w:val="0"/>
              <w:jc w:val="right"/>
              <w:rPr>
                <w:color w:val="auto"/>
                <w:kern w:val="0"/>
                <w:sz w:val="21"/>
                <w:szCs w:val="21"/>
                <w:highlight w:val="none"/>
              </w:rPr>
            </w:pPr>
            <w:r>
              <w:rPr>
                <w:rFonts w:hint="eastAsia"/>
                <w:color w:val="auto"/>
                <w:kern w:val="0"/>
                <w:sz w:val="21"/>
                <w:szCs w:val="21"/>
                <w:highlight w:val="none"/>
              </w:rPr>
              <w:t>万元</w:t>
            </w:r>
          </w:p>
        </w:tc>
        <w:tc>
          <w:tcPr>
            <w:tcW w:w="1475" w:type="dxa"/>
            <w:vMerge w:val="continue"/>
            <w:tcBorders>
              <w:top w:val="nil"/>
              <w:left w:val="single" w:color="auto" w:sz="4" w:space="0"/>
              <w:bottom w:val="single" w:color="000000" w:sz="4" w:space="0"/>
              <w:right w:val="single" w:color="auto" w:sz="4" w:space="0"/>
            </w:tcBorders>
            <w:vAlign w:val="center"/>
          </w:tcPr>
          <w:p w14:paraId="07A0C478">
            <w:pPr>
              <w:widowControl/>
              <w:adjustRightInd w:val="0"/>
              <w:snapToGrid w:val="0"/>
              <w:jc w:val="left"/>
              <w:rPr>
                <w:color w:val="auto"/>
                <w:kern w:val="0"/>
                <w:sz w:val="21"/>
                <w:szCs w:val="21"/>
                <w:highlight w:val="none"/>
              </w:rPr>
            </w:pPr>
          </w:p>
        </w:tc>
        <w:tc>
          <w:tcPr>
            <w:tcW w:w="1400" w:type="dxa"/>
            <w:tcBorders>
              <w:top w:val="nil"/>
              <w:left w:val="nil"/>
              <w:bottom w:val="single" w:color="auto" w:sz="4" w:space="0"/>
              <w:right w:val="single" w:color="auto" w:sz="4" w:space="0"/>
            </w:tcBorders>
            <w:shd w:val="clear" w:color="000000" w:fill="FFFFFF"/>
            <w:vAlign w:val="center"/>
          </w:tcPr>
          <w:p w14:paraId="45E031B7">
            <w:pPr>
              <w:widowControl/>
              <w:adjustRightInd w:val="0"/>
              <w:snapToGrid w:val="0"/>
              <w:jc w:val="center"/>
              <w:rPr>
                <w:color w:val="auto"/>
                <w:kern w:val="0"/>
                <w:sz w:val="21"/>
                <w:szCs w:val="21"/>
                <w:highlight w:val="none"/>
              </w:rPr>
            </w:pPr>
            <w:r>
              <w:rPr>
                <w:color w:val="auto"/>
                <w:kern w:val="0"/>
                <w:sz w:val="21"/>
                <w:szCs w:val="21"/>
                <w:highlight w:val="none"/>
              </w:rPr>
              <w:t>可行性研究</w:t>
            </w:r>
          </w:p>
        </w:tc>
        <w:tc>
          <w:tcPr>
            <w:tcW w:w="1655" w:type="dxa"/>
            <w:tcBorders>
              <w:top w:val="nil"/>
              <w:left w:val="nil"/>
              <w:bottom w:val="single" w:color="auto" w:sz="4" w:space="0"/>
              <w:right w:val="single" w:color="auto" w:sz="4" w:space="0"/>
            </w:tcBorders>
            <w:shd w:val="clear" w:color="000000" w:fill="FFFFFF"/>
            <w:vAlign w:val="center"/>
          </w:tcPr>
          <w:p w14:paraId="2DB8566D">
            <w:pPr>
              <w:widowControl/>
              <w:adjustRightInd w:val="0"/>
              <w:snapToGrid w:val="0"/>
              <w:jc w:val="right"/>
              <w:rPr>
                <w:color w:val="auto"/>
                <w:kern w:val="0"/>
                <w:sz w:val="21"/>
                <w:szCs w:val="21"/>
                <w:highlight w:val="none"/>
              </w:rPr>
            </w:pPr>
            <w:r>
              <w:rPr>
                <w:rFonts w:hint="eastAsia"/>
                <w:color w:val="auto"/>
                <w:kern w:val="0"/>
                <w:sz w:val="21"/>
                <w:szCs w:val="21"/>
                <w:highlight w:val="none"/>
              </w:rPr>
              <w:t>万元/正线公里</w:t>
            </w:r>
          </w:p>
        </w:tc>
      </w:tr>
      <w:tr w14:paraId="54C8FA3E">
        <w:tblPrEx>
          <w:tblCellMar>
            <w:top w:w="0" w:type="dxa"/>
            <w:left w:w="108" w:type="dxa"/>
            <w:bottom w:w="0" w:type="dxa"/>
            <w:right w:w="108" w:type="dxa"/>
          </w:tblCellMar>
        </w:tblPrEx>
        <w:trPr>
          <w:gridAfter w:val="1"/>
          <w:wAfter w:w="102" w:type="dxa"/>
          <w:trHeight w:val="330" w:hRule="atLeast"/>
          <w:tblHeader/>
          <w:jc w:val="center"/>
        </w:trPr>
        <w:tc>
          <w:tcPr>
            <w:tcW w:w="1400" w:type="dxa"/>
            <w:vMerge w:val="restart"/>
            <w:tcBorders>
              <w:top w:val="nil"/>
              <w:left w:val="single" w:color="auto" w:sz="4" w:space="0"/>
              <w:bottom w:val="single" w:color="000000" w:sz="4" w:space="0"/>
              <w:right w:val="single" w:color="auto" w:sz="4" w:space="0"/>
            </w:tcBorders>
            <w:shd w:val="clear" w:color="000000" w:fill="FFFFFF"/>
            <w:vAlign w:val="center"/>
          </w:tcPr>
          <w:p w14:paraId="4F04D7B6">
            <w:pPr>
              <w:widowControl/>
              <w:adjustRightInd w:val="0"/>
              <w:snapToGrid w:val="0"/>
              <w:jc w:val="center"/>
              <w:rPr>
                <w:color w:val="auto"/>
                <w:kern w:val="0"/>
                <w:sz w:val="21"/>
                <w:szCs w:val="21"/>
                <w:highlight w:val="none"/>
              </w:rPr>
            </w:pPr>
            <w:r>
              <w:rPr>
                <w:color w:val="auto"/>
                <w:kern w:val="0"/>
                <w:sz w:val="21"/>
                <w:szCs w:val="21"/>
                <w:highlight w:val="none"/>
              </w:rPr>
              <w:t>章别</w:t>
            </w:r>
          </w:p>
        </w:tc>
        <w:tc>
          <w:tcPr>
            <w:tcW w:w="3283"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2E2414D7">
            <w:pPr>
              <w:widowControl/>
              <w:adjustRightInd w:val="0"/>
              <w:snapToGrid w:val="0"/>
              <w:jc w:val="center"/>
              <w:rPr>
                <w:color w:val="auto"/>
                <w:kern w:val="0"/>
                <w:sz w:val="21"/>
                <w:szCs w:val="21"/>
                <w:highlight w:val="none"/>
              </w:rPr>
            </w:pPr>
            <w:r>
              <w:rPr>
                <w:color w:val="auto"/>
                <w:kern w:val="0"/>
                <w:sz w:val="21"/>
                <w:szCs w:val="21"/>
                <w:highlight w:val="none"/>
              </w:rPr>
              <w:t>工程及费用名称</w:t>
            </w:r>
          </w:p>
        </w:tc>
        <w:tc>
          <w:tcPr>
            <w:tcW w:w="4125" w:type="dxa"/>
            <w:gridSpan w:val="3"/>
            <w:tcBorders>
              <w:top w:val="single" w:color="auto" w:sz="4" w:space="0"/>
              <w:left w:val="nil"/>
              <w:bottom w:val="single" w:color="auto" w:sz="4" w:space="0"/>
              <w:right w:val="single" w:color="auto" w:sz="4" w:space="0"/>
            </w:tcBorders>
            <w:shd w:val="clear" w:color="000000" w:fill="FFFFFF"/>
            <w:vAlign w:val="center"/>
          </w:tcPr>
          <w:p w14:paraId="0ECD2A6E">
            <w:pPr>
              <w:widowControl/>
              <w:adjustRightInd w:val="0"/>
              <w:snapToGrid w:val="0"/>
              <w:jc w:val="center"/>
              <w:rPr>
                <w:color w:val="auto"/>
                <w:kern w:val="0"/>
                <w:sz w:val="21"/>
                <w:szCs w:val="21"/>
                <w:highlight w:val="none"/>
              </w:rPr>
            </w:pPr>
            <w:r>
              <w:rPr>
                <w:color w:val="auto"/>
                <w:kern w:val="0"/>
                <w:sz w:val="21"/>
                <w:szCs w:val="21"/>
                <w:highlight w:val="none"/>
              </w:rPr>
              <w:t>估算价值（万元）</w:t>
            </w:r>
          </w:p>
        </w:tc>
        <w:tc>
          <w:tcPr>
            <w:tcW w:w="4530" w:type="dxa"/>
            <w:gridSpan w:val="3"/>
            <w:tcBorders>
              <w:top w:val="single" w:color="auto" w:sz="4" w:space="0"/>
              <w:left w:val="nil"/>
              <w:bottom w:val="single" w:color="auto" w:sz="4" w:space="0"/>
              <w:right w:val="single" w:color="000000" w:sz="4" w:space="0"/>
            </w:tcBorders>
            <w:shd w:val="clear" w:color="000000" w:fill="FFFFFF"/>
            <w:vAlign w:val="center"/>
          </w:tcPr>
          <w:p w14:paraId="427481AB">
            <w:pPr>
              <w:widowControl/>
              <w:adjustRightInd w:val="0"/>
              <w:snapToGrid w:val="0"/>
              <w:jc w:val="center"/>
              <w:rPr>
                <w:color w:val="auto"/>
                <w:kern w:val="0"/>
                <w:sz w:val="21"/>
                <w:szCs w:val="21"/>
                <w:highlight w:val="none"/>
              </w:rPr>
            </w:pPr>
            <w:r>
              <w:rPr>
                <w:color w:val="auto"/>
                <w:kern w:val="0"/>
                <w:sz w:val="21"/>
                <w:szCs w:val="21"/>
                <w:highlight w:val="none"/>
              </w:rPr>
              <w:t>指标（万元/正线公里）</w:t>
            </w:r>
          </w:p>
        </w:tc>
      </w:tr>
      <w:tr w14:paraId="1E99B3DF">
        <w:tblPrEx>
          <w:tblCellMar>
            <w:top w:w="0" w:type="dxa"/>
            <w:left w:w="108" w:type="dxa"/>
            <w:bottom w:w="0" w:type="dxa"/>
            <w:right w:w="108" w:type="dxa"/>
          </w:tblCellMar>
        </w:tblPrEx>
        <w:trPr>
          <w:gridAfter w:val="1"/>
          <w:wAfter w:w="102" w:type="dxa"/>
          <w:trHeight w:val="330" w:hRule="atLeast"/>
          <w:tblHeader/>
          <w:jc w:val="center"/>
        </w:trPr>
        <w:tc>
          <w:tcPr>
            <w:tcW w:w="1400" w:type="dxa"/>
            <w:vMerge w:val="continue"/>
            <w:tcBorders>
              <w:top w:val="nil"/>
              <w:left w:val="single" w:color="auto" w:sz="4" w:space="0"/>
              <w:bottom w:val="single" w:color="000000" w:sz="4" w:space="0"/>
              <w:right w:val="single" w:color="auto" w:sz="4" w:space="0"/>
            </w:tcBorders>
            <w:vAlign w:val="center"/>
          </w:tcPr>
          <w:p w14:paraId="1EC8665C">
            <w:pPr>
              <w:widowControl/>
              <w:adjustRightInd w:val="0"/>
              <w:snapToGrid w:val="0"/>
              <w:jc w:val="left"/>
              <w:rPr>
                <w:color w:val="auto"/>
                <w:kern w:val="0"/>
                <w:sz w:val="21"/>
                <w:szCs w:val="21"/>
                <w:highlight w:val="none"/>
              </w:rPr>
            </w:pPr>
          </w:p>
        </w:tc>
        <w:tc>
          <w:tcPr>
            <w:tcW w:w="3283" w:type="dxa"/>
            <w:gridSpan w:val="2"/>
            <w:vMerge w:val="continue"/>
            <w:tcBorders>
              <w:top w:val="single" w:color="auto" w:sz="4" w:space="0"/>
              <w:left w:val="single" w:color="auto" w:sz="4" w:space="0"/>
              <w:bottom w:val="single" w:color="000000" w:sz="4" w:space="0"/>
              <w:right w:val="single" w:color="000000" w:sz="4" w:space="0"/>
            </w:tcBorders>
            <w:vAlign w:val="center"/>
          </w:tcPr>
          <w:p w14:paraId="215956AC">
            <w:pPr>
              <w:widowControl/>
              <w:adjustRightInd w:val="0"/>
              <w:snapToGrid w:val="0"/>
              <w:jc w:val="left"/>
              <w:rPr>
                <w:color w:val="auto"/>
                <w:kern w:val="0"/>
                <w:sz w:val="21"/>
                <w:szCs w:val="21"/>
                <w:highlight w:val="none"/>
              </w:rPr>
            </w:pPr>
          </w:p>
        </w:tc>
        <w:tc>
          <w:tcPr>
            <w:tcW w:w="1400" w:type="dxa"/>
            <w:tcBorders>
              <w:top w:val="nil"/>
              <w:left w:val="nil"/>
              <w:bottom w:val="single" w:color="auto" w:sz="4" w:space="0"/>
              <w:right w:val="single" w:color="auto" w:sz="4" w:space="0"/>
            </w:tcBorders>
            <w:shd w:val="clear" w:color="000000" w:fill="FFFFFF"/>
            <w:vAlign w:val="center"/>
          </w:tcPr>
          <w:p w14:paraId="66276941">
            <w:pPr>
              <w:widowControl/>
              <w:adjustRightInd w:val="0"/>
              <w:snapToGrid w:val="0"/>
              <w:jc w:val="center"/>
              <w:rPr>
                <w:color w:val="auto"/>
                <w:kern w:val="0"/>
                <w:sz w:val="21"/>
                <w:szCs w:val="21"/>
                <w:highlight w:val="none"/>
              </w:rPr>
            </w:pPr>
            <w:r>
              <w:rPr>
                <w:color w:val="auto"/>
                <w:kern w:val="0"/>
                <w:sz w:val="21"/>
                <w:szCs w:val="21"/>
                <w:highlight w:val="none"/>
              </w:rPr>
              <w:t>建设规划</w:t>
            </w:r>
          </w:p>
        </w:tc>
        <w:tc>
          <w:tcPr>
            <w:tcW w:w="1400" w:type="dxa"/>
            <w:tcBorders>
              <w:top w:val="nil"/>
              <w:left w:val="nil"/>
              <w:bottom w:val="single" w:color="auto" w:sz="4" w:space="0"/>
              <w:right w:val="single" w:color="auto" w:sz="4" w:space="0"/>
            </w:tcBorders>
            <w:shd w:val="clear" w:color="000000" w:fill="FFFFFF"/>
            <w:vAlign w:val="center"/>
          </w:tcPr>
          <w:p w14:paraId="65B96AEA">
            <w:pPr>
              <w:widowControl/>
              <w:adjustRightInd w:val="0"/>
              <w:snapToGrid w:val="0"/>
              <w:jc w:val="center"/>
              <w:rPr>
                <w:color w:val="auto"/>
                <w:kern w:val="0"/>
                <w:sz w:val="21"/>
                <w:szCs w:val="21"/>
                <w:highlight w:val="none"/>
              </w:rPr>
            </w:pPr>
            <w:r>
              <w:rPr>
                <w:color w:val="auto"/>
                <w:kern w:val="0"/>
                <w:sz w:val="21"/>
                <w:szCs w:val="21"/>
                <w:highlight w:val="none"/>
              </w:rPr>
              <w:t>可行性研究</w:t>
            </w:r>
          </w:p>
        </w:tc>
        <w:tc>
          <w:tcPr>
            <w:tcW w:w="1325" w:type="dxa"/>
            <w:tcBorders>
              <w:top w:val="nil"/>
              <w:left w:val="nil"/>
              <w:bottom w:val="single" w:color="auto" w:sz="4" w:space="0"/>
              <w:right w:val="single" w:color="auto" w:sz="4" w:space="0"/>
            </w:tcBorders>
            <w:shd w:val="clear" w:color="000000" w:fill="FFFFFF"/>
            <w:vAlign w:val="center"/>
          </w:tcPr>
          <w:p w14:paraId="18C24026">
            <w:pPr>
              <w:widowControl/>
              <w:adjustRightInd w:val="0"/>
              <w:snapToGrid w:val="0"/>
              <w:jc w:val="center"/>
              <w:rPr>
                <w:color w:val="auto"/>
                <w:kern w:val="0"/>
                <w:sz w:val="21"/>
                <w:szCs w:val="21"/>
                <w:highlight w:val="none"/>
              </w:rPr>
            </w:pPr>
            <w:r>
              <w:rPr>
                <w:color w:val="auto"/>
                <w:kern w:val="0"/>
                <w:sz w:val="21"/>
                <w:szCs w:val="21"/>
                <w:highlight w:val="none"/>
              </w:rPr>
              <w:t>增减</w:t>
            </w:r>
          </w:p>
        </w:tc>
        <w:tc>
          <w:tcPr>
            <w:tcW w:w="1475" w:type="dxa"/>
            <w:tcBorders>
              <w:top w:val="nil"/>
              <w:left w:val="nil"/>
              <w:bottom w:val="single" w:color="auto" w:sz="4" w:space="0"/>
              <w:right w:val="single" w:color="auto" w:sz="4" w:space="0"/>
            </w:tcBorders>
            <w:shd w:val="clear" w:color="000000" w:fill="FFFFFF"/>
            <w:vAlign w:val="center"/>
          </w:tcPr>
          <w:p w14:paraId="5BDFF731">
            <w:pPr>
              <w:widowControl/>
              <w:adjustRightInd w:val="0"/>
              <w:snapToGrid w:val="0"/>
              <w:jc w:val="center"/>
              <w:rPr>
                <w:color w:val="auto"/>
                <w:kern w:val="0"/>
                <w:sz w:val="21"/>
                <w:szCs w:val="21"/>
                <w:highlight w:val="none"/>
              </w:rPr>
            </w:pPr>
            <w:r>
              <w:rPr>
                <w:color w:val="auto"/>
                <w:kern w:val="0"/>
                <w:sz w:val="21"/>
                <w:szCs w:val="21"/>
                <w:highlight w:val="none"/>
              </w:rPr>
              <w:t>建设规划</w:t>
            </w:r>
          </w:p>
        </w:tc>
        <w:tc>
          <w:tcPr>
            <w:tcW w:w="1400" w:type="dxa"/>
            <w:tcBorders>
              <w:top w:val="nil"/>
              <w:left w:val="nil"/>
              <w:bottom w:val="single" w:color="auto" w:sz="4" w:space="0"/>
              <w:right w:val="single" w:color="auto" w:sz="4" w:space="0"/>
            </w:tcBorders>
            <w:shd w:val="clear" w:color="000000" w:fill="FFFFFF"/>
            <w:vAlign w:val="center"/>
          </w:tcPr>
          <w:p w14:paraId="0F9F74ED">
            <w:pPr>
              <w:widowControl/>
              <w:adjustRightInd w:val="0"/>
              <w:snapToGrid w:val="0"/>
              <w:jc w:val="center"/>
              <w:rPr>
                <w:color w:val="auto"/>
                <w:kern w:val="0"/>
                <w:sz w:val="21"/>
                <w:szCs w:val="21"/>
                <w:highlight w:val="none"/>
              </w:rPr>
            </w:pPr>
            <w:r>
              <w:rPr>
                <w:color w:val="auto"/>
                <w:kern w:val="0"/>
                <w:sz w:val="21"/>
                <w:szCs w:val="21"/>
                <w:highlight w:val="none"/>
              </w:rPr>
              <w:t>可行性研究</w:t>
            </w:r>
          </w:p>
        </w:tc>
        <w:tc>
          <w:tcPr>
            <w:tcW w:w="1655" w:type="dxa"/>
            <w:tcBorders>
              <w:top w:val="nil"/>
              <w:left w:val="nil"/>
              <w:bottom w:val="single" w:color="auto" w:sz="4" w:space="0"/>
              <w:right w:val="single" w:color="auto" w:sz="4" w:space="0"/>
            </w:tcBorders>
            <w:shd w:val="clear" w:color="000000" w:fill="FFFFFF"/>
            <w:vAlign w:val="center"/>
          </w:tcPr>
          <w:p w14:paraId="698F6B1E">
            <w:pPr>
              <w:widowControl/>
              <w:adjustRightInd w:val="0"/>
              <w:snapToGrid w:val="0"/>
              <w:jc w:val="center"/>
              <w:rPr>
                <w:color w:val="auto"/>
                <w:kern w:val="0"/>
                <w:sz w:val="21"/>
                <w:szCs w:val="21"/>
                <w:highlight w:val="none"/>
              </w:rPr>
            </w:pPr>
            <w:r>
              <w:rPr>
                <w:color w:val="auto"/>
                <w:kern w:val="0"/>
                <w:sz w:val="21"/>
                <w:szCs w:val="21"/>
                <w:highlight w:val="none"/>
              </w:rPr>
              <w:t>增减</w:t>
            </w:r>
          </w:p>
        </w:tc>
      </w:tr>
      <w:tr w14:paraId="1E9F6D3E">
        <w:tblPrEx>
          <w:tblCellMar>
            <w:top w:w="0" w:type="dxa"/>
            <w:left w:w="108" w:type="dxa"/>
            <w:bottom w:w="0" w:type="dxa"/>
            <w:right w:w="108" w:type="dxa"/>
          </w:tblCellMar>
        </w:tblPrEx>
        <w:trPr>
          <w:gridAfter w:val="1"/>
          <w:wAfter w:w="102" w:type="dxa"/>
          <w:trHeight w:val="330" w:hRule="atLeast"/>
          <w:jc w:val="center"/>
        </w:trPr>
        <w:tc>
          <w:tcPr>
            <w:tcW w:w="4683"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14:paraId="1DE8EAA6">
            <w:pPr>
              <w:widowControl/>
              <w:adjustRightInd w:val="0"/>
              <w:snapToGrid w:val="0"/>
              <w:spacing w:line="400" w:lineRule="exact"/>
              <w:jc w:val="center"/>
              <w:rPr>
                <w:b/>
                <w:bCs/>
                <w:color w:val="auto"/>
                <w:kern w:val="0"/>
                <w:sz w:val="21"/>
                <w:szCs w:val="21"/>
                <w:highlight w:val="none"/>
              </w:rPr>
            </w:pPr>
            <w:r>
              <w:rPr>
                <w:color w:val="auto"/>
                <w:kern w:val="0"/>
                <w:sz w:val="21"/>
                <w:szCs w:val="21"/>
                <w:highlight w:val="none"/>
              </w:rPr>
              <w:t>第一部分 工程费用</w:t>
            </w:r>
          </w:p>
        </w:tc>
        <w:tc>
          <w:tcPr>
            <w:tcW w:w="1400" w:type="dxa"/>
            <w:tcBorders>
              <w:top w:val="nil"/>
              <w:left w:val="nil"/>
              <w:bottom w:val="single" w:color="auto" w:sz="4" w:space="0"/>
              <w:right w:val="single" w:color="auto" w:sz="4" w:space="0"/>
            </w:tcBorders>
            <w:shd w:val="clear" w:color="000000" w:fill="FFFFFF"/>
            <w:vAlign w:val="center"/>
          </w:tcPr>
          <w:p w14:paraId="15214BAF">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45AF51C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22E26DD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374ADF5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3E0BA90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41D944AF">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0C327B48">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2E41BA1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一</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2AF9964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车站</w:t>
            </w:r>
          </w:p>
        </w:tc>
        <w:tc>
          <w:tcPr>
            <w:tcW w:w="1400" w:type="dxa"/>
            <w:tcBorders>
              <w:top w:val="nil"/>
              <w:left w:val="nil"/>
              <w:bottom w:val="single" w:color="auto" w:sz="4" w:space="0"/>
              <w:right w:val="single" w:color="auto" w:sz="4" w:space="0"/>
            </w:tcBorders>
            <w:shd w:val="clear" w:color="000000" w:fill="FFFFFF"/>
            <w:vAlign w:val="center"/>
          </w:tcPr>
          <w:p w14:paraId="679DD6C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2FCAB62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2A33DC2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743886C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0EFAE90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673ACC4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298E1F36">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646B2A83">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二</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144AD5F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区间</w:t>
            </w:r>
          </w:p>
        </w:tc>
        <w:tc>
          <w:tcPr>
            <w:tcW w:w="1400" w:type="dxa"/>
            <w:tcBorders>
              <w:top w:val="nil"/>
              <w:left w:val="nil"/>
              <w:bottom w:val="single" w:color="auto" w:sz="4" w:space="0"/>
              <w:right w:val="single" w:color="auto" w:sz="4" w:space="0"/>
            </w:tcBorders>
            <w:shd w:val="clear" w:color="000000" w:fill="FFFFFF"/>
            <w:vAlign w:val="center"/>
          </w:tcPr>
          <w:p w14:paraId="0B9759E2">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150AD88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3B7C533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64457FD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227E541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347B57C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5A1B4C0A">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5AF7D3F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三</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0EFC4E7F">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轨道</w:t>
            </w:r>
          </w:p>
        </w:tc>
        <w:tc>
          <w:tcPr>
            <w:tcW w:w="1400" w:type="dxa"/>
            <w:tcBorders>
              <w:top w:val="nil"/>
              <w:left w:val="nil"/>
              <w:bottom w:val="single" w:color="auto" w:sz="4" w:space="0"/>
              <w:right w:val="single" w:color="auto" w:sz="4" w:space="0"/>
            </w:tcBorders>
            <w:shd w:val="clear" w:color="000000" w:fill="FFFFFF"/>
            <w:vAlign w:val="center"/>
          </w:tcPr>
          <w:p w14:paraId="1145018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68E3FA2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1EC3DF4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7B489AD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724B4EF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6B60490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55970E10">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7E94D19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四</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7A8916A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通信</w:t>
            </w:r>
          </w:p>
        </w:tc>
        <w:tc>
          <w:tcPr>
            <w:tcW w:w="1400" w:type="dxa"/>
            <w:tcBorders>
              <w:top w:val="nil"/>
              <w:left w:val="nil"/>
              <w:bottom w:val="single" w:color="auto" w:sz="4" w:space="0"/>
              <w:right w:val="single" w:color="auto" w:sz="4" w:space="0"/>
            </w:tcBorders>
            <w:shd w:val="clear" w:color="000000" w:fill="FFFFFF"/>
            <w:vAlign w:val="center"/>
          </w:tcPr>
          <w:p w14:paraId="670B8E6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0C30917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74090D0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374FD100">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0F25D43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7C65A3B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541C36EE">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04BA5E8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五</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0770394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信号</w:t>
            </w:r>
          </w:p>
        </w:tc>
        <w:tc>
          <w:tcPr>
            <w:tcW w:w="1400" w:type="dxa"/>
            <w:tcBorders>
              <w:top w:val="nil"/>
              <w:left w:val="nil"/>
              <w:bottom w:val="single" w:color="auto" w:sz="4" w:space="0"/>
              <w:right w:val="single" w:color="auto" w:sz="4" w:space="0"/>
            </w:tcBorders>
            <w:shd w:val="clear" w:color="000000" w:fill="FFFFFF"/>
            <w:vAlign w:val="center"/>
          </w:tcPr>
          <w:p w14:paraId="50A4DA03">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5061EB5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4922BD7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0C20CDA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33F87DAD">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22EA392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7F7F2A54">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133C1DD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六</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6EF6E8B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供电</w:t>
            </w:r>
          </w:p>
        </w:tc>
        <w:tc>
          <w:tcPr>
            <w:tcW w:w="1400" w:type="dxa"/>
            <w:tcBorders>
              <w:top w:val="nil"/>
              <w:left w:val="nil"/>
              <w:bottom w:val="single" w:color="auto" w:sz="4" w:space="0"/>
              <w:right w:val="single" w:color="auto" w:sz="4" w:space="0"/>
            </w:tcBorders>
            <w:shd w:val="clear" w:color="000000" w:fill="FFFFFF"/>
            <w:vAlign w:val="center"/>
          </w:tcPr>
          <w:p w14:paraId="47AA19D2">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466AF8B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4A68CF2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511560E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7671B8F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7A4FBC5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19572A0F">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617870F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七</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41F6718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综合监控（ISCS）</w:t>
            </w:r>
          </w:p>
        </w:tc>
        <w:tc>
          <w:tcPr>
            <w:tcW w:w="1400" w:type="dxa"/>
            <w:tcBorders>
              <w:top w:val="nil"/>
              <w:left w:val="nil"/>
              <w:bottom w:val="single" w:color="auto" w:sz="4" w:space="0"/>
              <w:right w:val="single" w:color="auto" w:sz="4" w:space="0"/>
            </w:tcBorders>
            <w:shd w:val="clear" w:color="000000" w:fill="FFFFFF"/>
            <w:vAlign w:val="center"/>
          </w:tcPr>
          <w:p w14:paraId="486267D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7A14B4B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085433F0">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655EB8C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693322F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3FFE239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1AEF528B">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0835FE3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八</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0C248D8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火灾自动报警、环境与设备监控</w:t>
            </w:r>
          </w:p>
        </w:tc>
        <w:tc>
          <w:tcPr>
            <w:tcW w:w="1400" w:type="dxa"/>
            <w:tcBorders>
              <w:top w:val="nil"/>
              <w:left w:val="nil"/>
              <w:bottom w:val="single" w:color="auto" w:sz="4" w:space="0"/>
              <w:right w:val="single" w:color="auto" w:sz="4" w:space="0"/>
            </w:tcBorders>
            <w:shd w:val="clear" w:color="000000" w:fill="FFFFFF"/>
            <w:vAlign w:val="center"/>
          </w:tcPr>
          <w:p w14:paraId="77B26C6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1A8A022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147CB9E2">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56C1AAD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3AD77F8D">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70A0733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65B4779B">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1C1BD88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九</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10D25BE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安防与门禁</w:t>
            </w:r>
          </w:p>
        </w:tc>
        <w:tc>
          <w:tcPr>
            <w:tcW w:w="1400" w:type="dxa"/>
            <w:tcBorders>
              <w:top w:val="nil"/>
              <w:left w:val="nil"/>
              <w:bottom w:val="single" w:color="auto" w:sz="4" w:space="0"/>
              <w:right w:val="single" w:color="auto" w:sz="4" w:space="0"/>
            </w:tcBorders>
            <w:shd w:val="clear" w:color="000000" w:fill="FFFFFF"/>
            <w:vAlign w:val="center"/>
          </w:tcPr>
          <w:p w14:paraId="3BB03E5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251195C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45F25AA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5CC355A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1FF6A03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63BC477F">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3A89AE88">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79CBA832">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十</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7932856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通风、空调与供暖</w:t>
            </w:r>
          </w:p>
        </w:tc>
        <w:tc>
          <w:tcPr>
            <w:tcW w:w="1400" w:type="dxa"/>
            <w:tcBorders>
              <w:top w:val="nil"/>
              <w:left w:val="nil"/>
              <w:bottom w:val="single" w:color="auto" w:sz="4" w:space="0"/>
              <w:right w:val="single" w:color="auto" w:sz="4" w:space="0"/>
            </w:tcBorders>
            <w:shd w:val="clear" w:color="000000" w:fill="FFFFFF"/>
            <w:vAlign w:val="center"/>
          </w:tcPr>
          <w:p w14:paraId="19E07BA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61C3334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573D745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07562D6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335EE72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40E1E18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27EDDBB0">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21C4857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十一</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77F79D9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给水与排水、消防</w:t>
            </w:r>
          </w:p>
        </w:tc>
        <w:tc>
          <w:tcPr>
            <w:tcW w:w="1400" w:type="dxa"/>
            <w:tcBorders>
              <w:top w:val="nil"/>
              <w:left w:val="nil"/>
              <w:bottom w:val="single" w:color="auto" w:sz="4" w:space="0"/>
              <w:right w:val="single" w:color="auto" w:sz="4" w:space="0"/>
            </w:tcBorders>
            <w:shd w:val="clear" w:color="000000" w:fill="FFFFFF"/>
            <w:vAlign w:val="center"/>
          </w:tcPr>
          <w:p w14:paraId="3C791AF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55089BA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0ADE4E9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5C8F080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1F84C7C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2004E6F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2164C4E4">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0BA4292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十二</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0D5C217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自动售检票（AFC）</w:t>
            </w:r>
          </w:p>
        </w:tc>
        <w:tc>
          <w:tcPr>
            <w:tcW w:w="1400" w:type="dxa"/>
            <w:tcBorders>
              <w:top w:val="nil"/>
              <w:left w:val="nil"/>
              <w:bottom w:val="single" w:color="auto" w:sz="4" w:space="0"/>
              <w:right w:val="single" w:color="auto" w:sz="4" w:space="0"/>
            </w:tcBorders>
            <w:shd w:val="clear" w:color="000000" w:fill="FFFFFF"/>
            <w:vAlign w:val="center"/>
          </w:tcPr>
          <w:p w14:paraId="5FFE02E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721D542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6F56024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408B7E5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270AA9BD">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7462836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1400F050">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7278C86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十三</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7B8D4C1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站内客运设备、站台门</w:t>
            </w:r>
          </w:p>
        </w:tc>
        <w:tc>
          <w:tcPr>
            <w:tcW w:w="1400" w:type="dxa"/>
            <w:tcBorders>
              <w:top w:val="nil"/>
              <w:left w:val="nil"/>
              <w:bottom w:val="single" w:color="auto" w:sz="4" w:space="0"/>
              <w:right w:val="single" w:color="auto" w:sz="4" w:space="0"/>
            </w:tcBorders>
            <w:shd w:val="clear" w:color="000000" w:fill="FFFFFF"/>
            <w:vAlign w:val="center"/>
          </w:tcPr>
          <w:p w14:paraId="788A932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1C5C685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10865360">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6F6BEB0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2DB5C9F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7F98641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53D858B8">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45F2C8A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十四</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0797803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运营管理房屋</w:t>
            </w:r>
          </w:p>
        </w:tc>
        <w:tc>
          <w:tcPr>
            <w:tcW w:w="1400" w:type="dxa"/>
            <w:tcBorders>
              <w:top w:val="nil"/>
              <w:left w:val="nil"/>
              <w:bottom w:val="single" w:color="auto" w:sz="4" w:space="0"/>
              <w:right w:val="single" w:color="auto" w:sz="4" w:space="0"/>
            </w:tcBorders>
            <w:shd w:val="clear" w:color="000000" w:fill="FFFFFF"/>
            <w:vAlign w:val="center"/>
          </w:tcPr>
          <w:p w14:paraId="4DF3A5B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7ACC42F2">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3C631A8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7569897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3A2CE99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75CDDE5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2E4FB970">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5067495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十五</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2116E2F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车辆基地</w:t>
            </w:r>
          </w:p>
        </w:tc>
        <w:tc>
          <w:tcPr>
            <w:tcW w:w="1400" w:type="dxa"/>
            <w:tcBorders>
              <w:top w:val="nil"/>
              <w:left w:val="nil"/>
              <w:bottom w:val="single" w:color="auto" w:sz="4" w:space="0"/>
              <w:right w:val="single" w:color="auto" w:sz="4" w:space="0"/>
            </w:tcBorders>
            <w:shd w:val="clear" w:color="000000" w:fill="FFFFFF"/>
            <w:vAlign w:val="center"/>
          </w:tcPr>
          <w:p w14:paraId="44901A9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155550D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0CD2DFB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74A3FAC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4BE6FB3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4FEBF43D">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2930D1D2">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76CFEA6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十六</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4D091E5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人防</w:t>
            </w:r>
          </w:p>
        </w:tc>
        <w:tc>
          <w:tcPr>
            <w:tcW w:w="1400" w:type="dxa"/>
            <w:tcBorders>
              <w:top w:val="nil"/>
              <w:left w:val="nil"/>
              <w:bottom w:val="single" w:color="auto" w:sz="4" w:space="0"/>
              <w:right w:val="single" w:color="auto" w:sz="4" w:space="0"/>
            </w:tcBorders>
            <w:shd w:val="clear" w:color="000000" w:fill="FFFFFF"/>
            <w:vAlign w:val="center"/>
          </w:tcPr>
          <w:p w14:paraId="0569F49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05826D4F">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27383D9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2651C60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3D15F6A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462E477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6257ABBC">
        <w:tblPrEx>
          <w:tblCellMar>
            <w:top w:w="0" w:type="dxa"/>
            <w:left w:w="108" w:type="dxa"/>
            <w:bottom w:w="0" w:type="dxa"/>
            <w:right w:w="108" w:type="dxa"/>
          </w:tblCellMar>
        </w:tblPrEx>
        <w:trPr>
          <w:gridAfter w:val="1"/>
          <w:wAfter w:w="102" w:type="dxa"/>
          <w:trHeight w:val="330" w:hRule="atLeast"/>
          <w:jc w:val="center"/>
        </w:trPr>
        <w:tc>
          <w:tcPr>
            <w:tcW w:w="468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5CED070">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第二部分 工程建设其他费用</w:t>
            </w:r>
          </w:p>
        </w:tc>
        <w:tc>
          <w:tcPr>
            <w:tcW w:w="1400" w:type="dxa"/>
            <w:tcBorders>
              <w:top w:val="nil"/>
              <w:left w:val="nil"/>
              <w:bottom w:val="single" w:color="auto" w:sz="4" w:space="0"/>
              <w:right w:val="single" w:color="auto" w:sz="4" w:space="0"/>
            </w:tcBorders>
            <w:shd w:val="clear" w:color="000000" w:fill="FFFFFF"/>
            <w:vAlign w:val="center"/>
          </w:tcPr>
          <w:p w14:paraId="6DE2873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47921AF0">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5100813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1A302F6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10E5914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1A1DE5C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7A1E7263">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1620B3A3">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十七</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4237D620">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工程建设其他费用</w:t>
            </w:r>
          </w:p>
        </w:tc>
        <w:tc>
          <w:tcPr>
            <w:tcW w:w="1400" w:type="dxa"/>
            <w:tcBorders>
              <w:top w:val="nil"/>
              <w:left w:val="nil"/>
              <w:bottom w:val="single" w:color="auto" w:sz="4" w:space="0"/>
              <w:right w:val="single" w:color="auto" w:sz="4" w:space="0"/>
            </w:tcBorders>
            <w:shd w:val="clear" w:color="000000" w:fill="FFFFFF"/>
            <w:vAlign w:val="center"/>
          </w:tcPr>
          <w:p w14:paraId="71145BB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360959E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7040789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0F78BAB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419E0FDF">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7E68615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41004EDE">
        <w:tblPrEx>
          <w:tblCellMar>
            <w:top w:w="0" w:type="dxa"/>
            <w:left w:w="108" w:type="dxa"/>
            <w:bottom w:w="0" w:type="dxa"/>
            <w:right w:w="108" w:type="dxa"/>
          </w:tblCellMar>
        </w:tblPrEx>
        <w:trPr>
          <w:gridAfter w:val="1"/>
          <w:wAfter w:w="102" w:type="dxa"/>
          <w:trHeight w:val="330" w:hRule="atLeast"/>
          <w:jc w:val="center"/>
        </w:trPr>
        <w:tc>
          <w:tcPr>
            <w:tcW w:w="468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A67BF7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第三部分 预备费</w:t>
            </w:r>
          </w:p>
        </w:tc>
        <w:tc>
          <w:tcPr>
            <w:tcW w:w="1400" w:type="dxa"/>
            <w:tcBorders>
              <w:top w:val="nil"/>
              <w:left w:val="nil"/>
              <w:bottom w:val="single" w:color="auto" w:sz="4" w:space="0"/>
              <w:right w:val="single" w:color="auto" w:sz="4" w:space="0"/>
            </w:tcBorders>
            <w:shd w:val="clear" w:color="000000" w:fill="FFFFFF"/>
            <w:vAlign w:val="center"/>
          </w:tcPr>
          <w:p w14:paraId="5A10B00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7956869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7AD91A1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27E49A4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6D1F8EAC">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17DBA2B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7783A220">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4B7D9E1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十八</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6690F602">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预备费</w:t>
            </w:r>
          </w:p>
        </w:tc>
        <w:tc>
          <w:tcPr>
            <w:tcW w:w="1400" w:type="dxa"/>
            <w:tcBorders>
              <w:top w:val="nil"/>
              <w:left w:val="nil"/>
              <w:bottom w:val="single" w:color="auto" w:sz="4" w:space="0"/>
              <w:right w:val="single" w:color="auto" w:sz="4" w:space="0"/>
            </w:tcBorders>
            <w:shd w:val="clear" w:color="000000" w:fill="FFFFFF"/>
            <w:vAlign w:val="center"/>
          </w:tcPr>
          <w:p w14:paraId="6750FBC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70926D7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247BFB4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22BBC5E0">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525DA47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393297D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17C60987">
        <w:tblPrEx>
          <w:tblCellMar>
            <w:top w:w="0" w:type="dxa"/>
            <w:left w:w="108" w:type="dxa"/>
            <w:bottom w:w="0" w:type="dxa"/>
            <w:right w:w="108" w:type="dxa"/>
          </w:tblCellMar>
        </w:tblPrEx>
        <w:trPr>
          <w:gridAfter w:val="1"/>
          <w:wAfter w:w="102" w:type="dxa"/>
          <w:trHeight w:val="330" w:hRule="atLeast"/>
          <w:jc w:val="center"/>
        </w:trPr>
        <w:tc>
          <w:tcPr>
            <w:tcW w:w="468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4F138C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第四部分 专项费用</w:t>
            </w:r>
          </w:p>
        </w:tc>
        <w:tc>
          <w:tcPr>
            <w:tcW w:w="1400" w:type="dxa"/>
            <w:tcBorders>
              <w:top w:val="nil"/>
              <w:left w:val="nil"/>
              <w:bottom w:val="single" w:color="auto" w:sz="4" w:space="0"/>
              <w:right w:val="single" w:color="auto" w:sz="4" w:space="0"/>
            </w:tcBorders>
            <w:shd w:val="clear" w:color="000000" w:fill="FFFFFF"/>
            <w:vAlign w:val="center"/>
          </w:tcPr>
          <w:p w14:paraId="6A8F133F">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397722E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5705B2A2">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1877C66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3A5892C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75D28E3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5732CD15">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7889CAD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十九</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705F40D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专项费用</w:t>
            </w:r>
          </w:p>
        </w:tc>
        <w:tc>
          <w:tcPr>
            <w:tcW w:w="1400" w:type="dxa"/>
            <w:tcBorders>
              <w:top w:val="nil"/>
              <w:left w:val="nil"/>
              <w:bottom w:val="single" w:color="auto" w:sz="4" w:space="0"/>
              <w:right w:val="single" w:color="auto" w:sz="4" w:space="0"/>
            </w:tcBorders>
            <w:shd w:val="clear" w:color="000000" w:fill="FFFFFF"/>
            <w:vAlign w:val="center"/>
          </w:tcPr>
          <w:p w14:paraId="4A58545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4FC07B5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6A1AD4F7">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4D491EA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47BE541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56848922">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3ED7EBDB">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0659FF48">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49096F3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一、车辆购置费</w:t>
            </w:r>
          </w:p>
        </w:tc>
        <w:tc>
          <w:tcPr>
            <w:tcW w:w="1400" w:type="dxa"/>
            <w:tcBorders>
              <w:top w:val="nil"/>
              <w:left w:val="nil"/>
              <w:bottom w:val="single" w:color="auto" w:sz="4" w:space="0"/>
              <w:right w:val="single" w:color="auto" w:sz="4" w:space="0"/>
            </w:tcBorders>
            <w:shd w:val="clear" w:color="000000" w:fill="FFFFFF"/>
            <w:vAlign w:val="center"/>
          </w:tcPr>
          <w:p w14:paraId="3447797D">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7A7368E5">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35D4677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4F4F3E5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3C56FEA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1EDA5846">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3313EAC8">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2617D42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4205941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二、建设期利息</w:t>
            </w:r>
          </w:p>
        </w:tc>
        <w:tc>
          <w:tcPr>
            <w:tcW w:w="1400" w:type="dxa"/>
            <w:tcBorders>
              <w:top w:val="nil"/>
              <w:left w:val="nil"/>
              <w:bottom w:val="single" w:color="auto" w:sz="4" w:space="0"/>
              <w:right w:val="single" w:color="auto" w:sz="4" w:space="0"/>
            </w:tcBorders>
            <w:shd w:val="clear" w:color="000000" w:fill="FFFFFF"/>
            <w:vAlign w:val="center"/>
          </w:tcPr>
          <w:p w14:paraId="2E9046DD">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047D1EF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112C0DE1">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23299203">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136782F3">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0616688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0771732C">
        <w:tblPrEx>
          <w:tblCellMar>
            <w:top w:w="0" w:type="dxa"/>
            <w:left w:w="108" w:type="dxa"/>
            <w:bottom w:w="0" w:type="dxa"/>
            <w:right w:w="108" w:type="dxa"/>
          </w:tblCellMar>
        </w:tblPrEx>
        <w:trPr>
          <w:gridAfter w:val="1"/>
          <w:wAfter w:w="102" w:type="dxa"/>
          <w:trHeight w:val="330" w:hRule="atLeast"/>
          <w:jc w:val="center"/>
        </w:trPr>
        <w:tc>
          <w:tcPr>
            <w:tcW w:w="1400" w:type="dxa"/>
            <w:tcBorders>
              <w:top w:val="nil"/>
              <w:left w:val="single" w:color="auto" w:sz="4" w:space="0"/>
              <w:bottom w:val="single" w:color="auto" w:sz="4" w:space="0"/>
              <w:right w:val="single" w:color="auto" w:sz="4" w:space="0"/>
            </w:tcBorders>
            <w:shd w:val="clear" w:color="000000" w:fill="FFFFFF"/>
            <w:vAlign w:val="center"/>
          </w:tcPr>
          <w:p w14:paraId="1F006144">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3283" w:type="dxa"/>
            <w:gridSpan w:val="2"/>
            <w:tcBorders>
              <w:top w:val="single" w:color="auto" w:sz="4" w:space="0"/>
              <w:left w:val="nil"/>
              <w:bottom w:val="single" w:color="auto" w:sz="4" w:space="0"/>
              <w:right w:val="single" w:color="auto" w:sz="4" w:space="0"/>
            </w:tcBorders>
            <w:shd w:val="clear" w:color="000000" w:fill="FFFFFF"/>
            <w:vAlign w:val="center"/>
          </w:tcPr>
          <w:p w14:paraId="72EF34D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三、铺底流动资金</w:t>
            </w:r>
          </w:p>
        </w:tc>
        <w:tc>
          <w:tcPr>
            <w:tcW w:w="1400" w:type="dxa"/>
            <w:tcBorders>
              <w:top w:val="nil"/>
              <w:left w:val="nil"/>
              <w:bottom w:val="single" w:color="auto" w:sz="4" w:space="0"/>
              <w:right w:val="single" w:color="auto" w:sz="4" w:space="0"/>
            </w:tcBorders>
            <w:shd w:val="clear" w:color="000000" w:fill="FFFFFF"/>
            <w:vAlign w:val="center"/>
          </w:tcPr>
          <w:p w14:paraId="3F1C78F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2167BBE2">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601C962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27F7A89A">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01ECB3C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036F779D">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7FCC577F">
        <w:tblPrEx>
          <w:tblCellMar>
            <w:top w:w="0" w:type="dxa"/>
            <w:left w:w="108" w:type="dxa"/>
            <w:bottom w:w="0" w:type="dxa"/>
            <w:right w:w="108" w:type="dxa"/>
          </w:tblCellMar>
        </w:tblPrEx>
        <w:trPr>
          <w:gridAfter w:val="1"/>
          <w:wAfter w:w="102" w:type="dxa"/>
          <w:trHeight w:val="330" w:hRule="atLeast"/>
          <w:jc w:val="center"/>
        </w:trPr>
        <w:tc>
          <w:tcPr>
            <w:tcW w:w="468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6AC9BA3">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估算总额</w:t>
            </w:r>
          </w:p>
        </w:tc>
        <w:tc>
          <w:tcPr>
            <w:tcW w:w="1400" w:type="dxa"/>
            <w:tcBorders>
              <w:top w:val="nil"/>
              <w:left w:val="nil"/>
              <w:bottom w:val="single" w:color="auto" w:sz="4" w:space="0"/>
              <w:right w:val="single" w:color="auto" w:sz="4" w:space="0"/>
            </w:tcBorders>
            <w:shd w:val="clear" w:color="000000" w:fill="FFFFFF"/>
            <w:vAlign w:val="center"/>
          </w:tcPr>
          <w:p w14:paraId="47AE01AB">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30B6D560">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41CCB690">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36E6EA2F">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7F722FD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4114DB50">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r w14:paraId="5335DA9D">
        <w:tblPrEx>
          <w:tblCellMar>
            <w:top w:w="0" w:type="dxa"/>
            <w:left w:w="108" w:type="dxa"/>
            <w:bottom w:w="0" w:type="dxa"/>
            <w:right w:w="108" w:type="dxa"/>
          </w:tblCellMar>
        </w:tblPrEx>
        <w:trPr>
          <w:gridAfter w:val="1"/>
          <w:wAfter w:w="102" w:type="dxa"/>
          <w:trHeight w:val="330" w:hRule="atLeast"/>
          <w:jc w:val="center"/>
        </w:trPr>
        <w:tc>
          <w:tcPr>
            <w:tcW w:w="468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F3FFDB9">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其中：直接工程投资</w:t>
            </w:r>
          </w:p>
        </w:tc>
        <w:tc>
          <w:tcPr>
            <w:tcW w:w="1400" w:type="dxa"/>
            <w:tcBorders>
              <w:top w:val="nil"/>
              <w:left w:val="nil"/>
              <w:bottom w:val="single" w:color="auto" w:sz="4" w:space="0"/>
              <w:right w:val="single" w:color="auto" w:sz="4" w:space="0"/>
            </w:tcBorders>
            <w:shd w:val="clear" w:color="000000" w:fill="FFFFFF"/>
            <w:vAlign w:val="center"/>
          </w:tcPr>
          <w:p w14:paraId="517231AD">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483FF293">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325" w:type="dxa"/>
            <w:tcBorders>
              <w:top w:val="nil"/>
              <w:left w:val="nil"/>
              <w:bottom w:val="single" w:color="auto" w:sz="4" w:space="0"/>
              <w:right w:val="single" w:color="auto" w:sz="4" w:space="0"/>
            </w:tcBorders>
            <w:shd w:val="clear" w:color="000000" w:fill="FFFFFF"/>
            <w:vAlign w:val="center"/>
          </w:tcPr>
          <w:p w14:paraId="04D20CD0">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75" w:type="dxa"/>
            <w:tcBorders>
              <w:top w:val="nil"/>
              <w:left w:val="nil"/>
              <w:bottom w:val="single" w:color="auto" w:sz="4" w:space="0"/>
              <w:right w:val="single" w:color="auto" w:sz="4" w:space="0"/>
            </w:tcBorders>
            <w:shd w:val="clear" w:color="000000" w:fill="FFFFFF"/>
            <w:vAlign w:val="center"/>
          </w:tcPr>
          <w:p w14:paraId="57D2AD82">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400" w:type="dxa"/>
            <w:tcBorders>
              <w:top w:val="nil"/>
              <w:left w:val="nil"/>
              <w:bottom w:val="single" w:color="auto" w:sz="4" w:space="0"/>
              <w:right w:val="single" w:color="auto" w:sz="4" w:space="0"/>
            </w:tcBorders>
            <w:shd w:val="clear" w:color="000000" w:fill="FFFFFF"/>
            <w:vAlign w:val="center"/>
          </w:tcPr>
          <w:p w14:paraId="40E74BBF">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c>
          <w:tcPr>
            <w:tcW w:w="1655" w:type="dxa"/>
            <w:tcBorders>
              <w:top w:val="nil"/>
              <w:left w:val="nil"/>
              <w:bottom w:val="single" w:color="auto" w:sz="4" w:space="0"/>
              <w:right w:val="single" w:color="auto" w:sz="4" w:space="0"/>
            </w:tcBorders>
            <w:shd w:val="clear" w:color="000000" w:fill="FFFFFF"/>
            <w:vAlign w:val="center"/>
          </w:tcPr>
          <w:p w14:paraId="1244DA0E">
            <w:pPr>
              <w:widowControl/>
              <w:adjustRightInd w:val="0"/>
              <w:snapToGrid w:val="0"/>
              <w:spacing w:line="400" w:lineRule="exact"/>
              <w:jc w:val="center"/>
              <w:rPr>
                <w:color w:val="auto"/>
                <w:kern w:val="0"/>
                <w:sz w:val="21"/>
                <w:szCs w:val="21"/>
                <w:highlight w:val="none"/>
              </w:rPr>
            </w:pPr>
            <w:r>
              <w:rPr>
                <w:color w:val="auto"/>
                <w:kern w:val="0"/>
                <w:sz w:val="21"/>
                <w:szCs w:val="21"/>
                <w:highlight w:val="none"/>
              </w:rPr>
              <w:t>　</w:t>
            </w:r>
          </w:p>
        </w:tc>
      </w:tr>
    </w:tbl>
    <w:p w14:paraId="6A1E8973">
      <w:pPr>
        <w:spacing w:line="360" w:lineRule="exact"/>
        <w:ind w:left="420" w:hanging="420" w:hangingChars="200"/>
        <w:rPr>
          <w:rFonts w:eastAsia="仿宋_GB2312"/>
          <w:color w:val="auto"/>
          <w:sz w:val="21"/>
          <w:highlight w:val="none"/>
        </w:rPr>
      </w:pPr>
      <w:r>
        <w:rPr>
          <w:rFonts w:eastAsia="仿宋_GB2312"/>
          <w:color w:val="auto"/>
          <w:sz w:val="21"/>
          <w:highlight w:val="none"/>
        </w:rPr>
        <w:t>注：</w:t>
      </w:r>
      <w:r>
        <w:rPr>
          <w:rFonts w:eastAsia="仿宋_GB2312"/>
          <w:color w:val="auto"/>
          <w:kern w:val="0"/>
          <w:sz w:val="21"/>
          <w:szCs w:val="21"/>
          <w:highlight w:val="none"/>
        </w:rPr>
        <w:t>直接工程投资由工程费用和车辆购置费组成</w:t>
      </w:r>
      <w:r>
        <w:rPr>
          <w:rFonts w:eastAsia="仿宋_GB2312"/>
          <w:color w:val="auto"/>
          <w:sz w:val="21"/>
          <w:highlight w:val="none"/>
        </w:rPr>
        <w:t>。</w:t>
      </w:r>
    </w:p>
    <w:p w14:paraId="5ED0CD78">
      <w:pPr>
        <w:spacing w:line="360" w:lineRule="exact"/>
        <w:ind w:left="420" w:hanging="420" w:hangingChars="200"/>
        <w:rPr>
          <w:rFonts w:eastAsia="仿宋_GB2312"/>
          <w:color w:val="auto"/>
          <w:sz w:val="21"/>
          <w:highlight w:val="none"/>
        </w:rPr>
      </w:pPr>
    </w:p>
    <w:p w14:paraId="6E81CDA2">
      <w:pPr>
        <w:spacing w:line="360" w:lineRule="exact"/>
        <w:ind w:left="420" w:hanging="420" w:hangingChars="200"/>
        <w:rPr>
          <w:rFonts w:eastAsia="仿宋_GB2312"/>
          <w:color w:val="auto"/>
          <w:sz w:val="21"/>
          <w:highlight w:val="none"/>
        </w:rPr>
      </w:pPr>
    </w:p>
    <w:p w14:paraId="3D28C9CA">
      <w:pPr>
        <w:spacing w:line="360" w:lineRule="exact"/>
        <w:ind w:left="420" w:hanging="420" w:hangingChars="200"/>
        <w:rPr>
          <w:rFonts w:eastAsia="仿宋_GB2312"/>
          <w:color w:val="auto"/>
          <w:sz w:val="21"/>
          <w:highlight w:val="none"/>
        </w:rPr>
      </w:pPr>
    </w:p>
    <w:p w14:paraId="56BCC0A8">
      <w:pPr>
        <w:spacing w:line="360" w:lineRule="exact"/>
        <w:ind w:left="420" w:hanging="420" w:hangingChars="200"/>
        <w:rPr>
          <w:rFonts w:eastAsia="仿宋_GB2312"/>
          <w:color w:val="auto"/>
          <w:sz w:val="21"/>
          <w:highlight w:val="none"/>
        </w:rPr>
      </w:pPr>
    </w:p>
    <w:tbl>
      <w:tblPr>
        <w:tblStyle w:val="24"/>
        <w:tblW w:w="13598" w:type="dxa"/>
        <w:tblInd w:w="0" w:type="dxa"/>
        <w:tblLayout w:type="fixed"/>
        <w:tblCellMar>
          <w:top w:w="0" w:type="dxa"/>
          <w:left w:w="108" w:type="dxa"/>
          <w:bottom w:w="0" w:type="dxa"/>
          <w:right w:w="108" w:type="dxa"/>
        </w:tblCellMar>
      </w:tblPr>
      <w:tblGrid>
        <w:gridCol w:w="1311"/>
        <w:gridCol w:w="1882"/>
        <w:gridCol w:w="2518"/>
        <w:gridCol w:w="1781"/>
        <w:gridCol w:w="1072"/>
        <w:gridCol w:w="5034"/>
      </w:tblGrid>
      <w:tr w14:paraId="6EDC67AC">
        <w:tblPrEx>
          <w:tblCellMar>
            <w:top w:w="0" w:type="dxa"/>
            <w:left w:w="108" w:type="dxa"/>
            <w:bottom w:w="0" w:type="dxa"/>
            <w:right w:w="108" w:type="dxa"/>
          </w:tblCellMar>
        </w:tblPrEx>
        <w:trPr>
          <w:trHeight w:val="353" w:hRule="atLeast"/>
          <w:tblHeader/>
        </w:trPr>
        <w:tc>
          <w:tcPr>
            <w:tcW w:w="13598" w:type="dxa"/>
            <w:gridSpan w:val="6"/>
            <w:tcBorders>
              <w:top w:val="nil"/>
              <w:left w:val="nil"/>
              <w:bottom w:val="single" w:color="auto" w:sz="4" w:space="0"/>
              <w:right w:val="nil"/>
              <w:tl2br w:val="nil"/>
            </w:tcBorders>
            <w:shd w:val="clear" w:color="auto" w:fill="FFFFFF"/>
            <w:vAlign w:val="center"/>
          </w:tcPr>
          <w:p w14:paraId="7488F0A8">
            <w:pPr>
              <w:keepLines/>
              <w:widowControl/>
              <w:spacing w:line="400" w:lineRule="exact"/>
              <w:jc w:val="center"/>
              <w:rPr>
                <w:color w:val="auto"/>
                <w:kern w:val="0"/>
                <w:sz w:val="21"/>
                <w:szCs w:val="21"/>
                <w:highlight w:val="none"/>
              </w:rPr>
            </w:pPr>
            <w:r>
              <w:rPr>
                <w:rFonts w:eastAsia="黑体"/>
                <w:color w:val="auto"/>
                <w:sz w:val="26"/>
                <w:highlight w:val="none"/>
              </w:rPr>
              <w:t>附录五 主要工程数量表</w:t>
            </w:r>
          </w:p>
        </w:tc>
      </w:tr>
      <w:tr w14:paraId="278919CC">
        <w:tblPrEx>
          <w:tblCellMar>
            <w:top w:w="0" w:type="dxa"/>
            <w:left w:w="108" w:type="dxa"/>
            <w:bottom w:w="0" w:type="dxa"/>
            <w:right w:w="108" w:type="dxa"/>
          </w:tblCellMar>
        </w:tblPrEx>
        <w:trPr>
          <w:trHeight w:val="20" w:hRule="atLeast"/>
          <w:tblHeader/>
        </w:trPr>
        <w:tc>
          <w:tcPr>
            <w:tcW w:w="57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C7EE6E3">
            <w:pPr>
              <w:widowControl/>
              <w:spacing w:line="400" w:lineRule="exact"/>
              <w:jc w:val="center"/>
              <w:rPr>
                <w:color w:val="auto"/>
                <w:kern w:val="0"/>
                <w:sz w:val="21"/>
                <w:szCs w:val="21"/>
                <w:highlight w:val="none"/>
              </w:rPr>
            </w:pPr>
            <w:r>
              <w:rPr>
                <w:color w:val="auto"/>
                <w:kern w:val="0"/>
                <w:sz w:val="21"/>
                <w:szCs w:val="21"/>
                <w:highlight w:val="none"/>
              </w:rPr>
              <w:t>项目</w:t>
            </w:r>
          </w:p>
        </w:tc>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14:paraId="20013106">
            <w:pPr>
              <w:widowControl/>
              <w:spacing w:line="400" w:lineRule="exact"/>
              <w:jc w:val="center"/>
              <w:rPr>
                <w:color w:val="auto"/>
                <w:kern w:val="0"/>
                <w:sz w:val="21"/>
                <w:szCs w:val="21"/>
                <w:highlight w:val="none"/>
              </w:rPr>
            </w:pPr>
            <w:r>
              <w:rPr>
                <w:color w:val="auto"/>
                <w:kern w:val="0"/>
                <w:sz w:val="21"/>
                <w:szCs w:val="21"/>
                <w:highlight w:val="none"/>
              </w:rPr>
              <w:t>单位</w:t>
            </w:r>
          </w:p>
        </w:tc>
        <w:tc>
          <w:tcPr>
            <w:tcW w:w="1072" w:type="dxa"/>
            <w:tcBorders>
              <w:top w:val="single" w:color="auto" w:sz="4" w:space="0"/>
              <w:left w:val="single" w:color="auto" w:sz="4" w:space="0"/>
              <w:bottom w:val="single" w:color="auto" w:sz="4" w:space="0"/>
              <w:right w:val="single" w:color="auto" w:sz="4" w:space="0"/>
            </w:tcBorders>
            <w:shd w:val="clear" w:color="auto" w:fill="FFFFFF"/>
            <w:vAlign w:val="center"/>
          </w:tcPr>
          <w:p w14:paraId="620B703E">
            <w:pPr>
              <w:widowControl/>
              <w:spacing w:line="400" w:lineRule="exact"/>
              <w:jc w:val="center"/>
              <w:rPr>
                <w:color w:val="auto"/>
                <w:kern w:val="0"/>
                <w:sz w:val="21"/>
                <w:szCs w:val="21"/>
                <w:highlight w:val="none"/>
              </w:rPr>
            </w:pPr>
            <w:r>
              <w:rPr>
                <w:color w:val="auto"/>
                <w:kern w:val="0"/>
                <w:sz w:val="21"/>
                <w:szCs w:val="21"/>
                <w:highlight w:val="none"/>
              </w:rPr>
              <w:t>数量</w:t>
            </w:r>
          </w:p>
        </w:tc>
        <w:tc>
          <w:tcPr>
            <w:tcW w:w="5034" w:type="dxa"/>
            <w:tcBorders>
              <w:top w:val="single" w:color="auto" w:sz="4" w:space="0"/>
              <w:left w:val="single" w:color="auto" w:sz="4" w:space="0"/>
              <w:bottom w:val="single" w:color="auto" w:sz="4" w:space="0"/>
              <w:right w:val="single" w:color="auto" w:sz="4" w:space="0"/>
            </w:tcBorders>
            <w:shd w:val="clear" w:color="auto" w:fill="FFFFFF"/>
            <w:vAlign w:val="center"/>
          </w:tcPr>
          <w:p w14:paraId="3B7512C3">
            <w:pPr>
              <w:widowControl/>
              <w:spacing w:line="400" w:lineRule="exact"/>
              <w:jc w:val="center"/>
              <w:rPr>
                <w:color w:val="auto"/>
                <w:kern w:val="0"/>
                <w:sz w:val="21"/>
                <w:szCs w:val="21"/>
                <w:highlight w:val="none"/>
              </w:rPr>
            </w:pPr>
            <w:r>
              <w:rPr>
                <w:color w:val="auto"/>
                <w:kern w:val="0"/>
                <w:sz w:val="21"/>
                <w:szCs w:val="21"/>
                <w:highlight w:val="none"/>
              </w:rPr>
              <w:t>说明</w:t>
            </w:r>
          </w:p>
        </w:tc>
      </w:tr>
      <w:tr w14:paraId="6E84945F">
        <w:tblPrEx>
          <w:tblCellMar>
            <w:top w:w="0" w:type="dxa"/>
            <w:left w:w="108" w:type="dxa"/>
            <w:bottom w:w="0" w:type="dxa"/>
            <w:right w:w="108" w:type="dxa"/>
          </w:tblCellMar>
        </w:tblPrEx>
        <w:trPr>
          <w:cantSplit/>
          <w:trHeight w:val="20" w:hRule="atLeast"/>
        </w:trPr>
        <w:tc>
          <w:tcPr>
            <w:tcW w:w="1311"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14:paraId="085B6E4D">
            <w:pPr>
              <w:widowControl/>
              <w:spacing w:line="400" w:lineRule="exact"/>
              <w:jc w:val="center"/>
              <w:rPr>
                <w:color w:val="auto"/>
                <w:kern w:val="0"/>
                <w:sz w:val="21"/>
                <w:szCs w:val="21"/>
                <w:highlight w:val="none"/>
              </w:rPr>
            </w:pPr>
            <w:r>
              <w:rPr>
                <w:color w:val="auto"/>
                <w:kern w:val="0"/>
                <w:sz w:val="21"/>
                <w:szCs w:val="21"/>
                <w:highlight w:val="none"/>
              </w:rPr>
              <w:t>车站</w:t>
            </w:r>
          </w:p>
        </w:tc>
        <w:tc>
          <w:tcPr>
            <w:tcW w:w="1882"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14:paraId="03020BB3">
            <w:pPr>
              <w:widowControl/>
              <w:spacing w:line="400" w:lineRule="exact"/>
              <w:jc w:val="center"/>
              <w:rPr>
                <w:color w:val="auto"/>
                <w:kern w:val="0"/>
                <w:sz w:val="21"/>
                <w:szCs w:val="21"/>
                <w:highlight w:val="none"/>
              </w:rPr>
            </w:pPr>
            <w:r>
              <w:rPr>
                <w:color w:val="auto"/>
                <w:kern w:val="0"/>
                <w:sz w:val="21"/>
                <w:szCs w:val="21"/>
                <w:highlight w:val="none"/>
              </w:rPr>
              <w:t>地下站</w:t>
            </w:r>
          </w:p>
        </w:tc>
        <w:tc>
          <w:tcPr>
            <w:tcW w:w="2518"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D5EABBA">
            <w:pPr>
              <w:widowControl/>
              <w:spacing w:line="400" w:lineRule="exact"/>
              <w:jc w:val="center"/>
              <w:rPr>
                <w:color w:val="auto"/>
                <w:kern w:val="0"/>
                <w:sz w:val="21"/>
                <w:szCs w:val="21"/>
                <w:highlight w:val="none"/>
              </w:rPr>
            </w:pPr>
            <w:r>
              <w:rPr>
                <w:color w:val="auto"/>
                <w:kern w:val="0"/>
                <w:sz w:val="21"/>
                <w:szCs w:val="21"/>
                <w:highlight w:val="none"/>
              </w:rPr>
              <w:t>数量</w:t>
            </w:r>
          </w:p>
        </w:tc>
        <w:tc>
          <w:tcPr>
            <w:tcW w:w="178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4522276">
            <w:pPr>
              <w:widowControl/>
              <w:spacing w:line="400" w:lineRule="exact"/>
              <w:jc w:val="center"/>
              <w:rPr>
                <w:color w:val="auto"/>
                <w:kern w:val="0"/>
                <w:sz w:val="21"/>
                <w:szCs w:val="21"/>
                <w:highlight w:val="none"/>
              </w:rPr>
            </w:pPr>
            <w:r>
              <w:rPr>
                <w:color w:val="auto"/>
                <w:kern w:val="0"/>
                <w:sz w:val="21"/>
                <w:szCs w:val="21"/>
                <w:highlight w:val="none"/>
              </w:rPr>
              <w:t>座</w:t>
            </w:r>
          </w:p>
        </w:tc>
        <w:tc>
          <w:tcPr>
            <w:tcW w:w="107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6091949">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C788FD3">
            <w:pPr>
              <w:widowControl/>
              <w:spacing w:line="400" w:lineRule="exact"/>
              <w:jc w:val="center"/>
              <w:rPr>
                <w:color w:val="auto"/>
                <w:kern w:val="0"/>
                <w:sz w:val="21"/>
                <w:szCs w:val="21"/>
                <w:highlight w:val="none"/>
              </w:rPr>
            </w:pPr>
            <w:r>
              <w:rPr>
                <w:color w:val="auto"/>
                <w:kern w:val="0"/>
                <w:sz w:val="21"/>
                <w:szCs w:val="21"/>
                <w:highlight w:val="none"/>
              </w:rPr>
              <w:t>　</w:t>
            </w:r>
          </w:p>
        </w:tc>
      </w:tr>
      <w:tr w14:paraId="1AFCAA87">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16B9C">
            <w:pPr>
              <w:widowControl/>
              <w:spacing w:line="400" w:lineRule="exact"/>
              <w:jc w:val="left"/>
              <w:rPr>
                <w:color w:val="auto"/>
                <w:kern w:val="0"/>
                <w:sz w:val="21"/>
                <w:szCs w:val="21"/>
                <w:highlight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26980">
            <w:pPr>
              <w:widowControl/>
              <w:spacing w:line="400" w:lineRule="exact"/>
              <w:jc w:val="left"/>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A415">
            <w:pPr>
              <w:widowControl/>
              <w:spacing w:line="400" w:lineRule="exact"/>
              <w:jc w:val="center"/>
              <w:rPr>
                <w:color w:val="auto"/>
                <w:kern w:val="0"/>
                <w:sz w:val="21"/>
                <w:szCs w:val="21"/>
                <w:highlight w:val="none"/>
              </w:rPr>
            </w:pPr>
            <w:r>
              <w:rPr>
                <w:color w:val="auto"/>
                <w:kern w:val="0"/>
                <w:sz w:val="21"/>
                <w:szCs w:val="21"/>
                <w:highlight w:val="none"/>
              </w:rPr>
              <w:t>建筑面积</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58134">
            <w:pPr>
              <w:widowControl/>
              <w:spacing w:line="400" w:lineRule="exact"/>
              <w:jc w:val="center"/>
              <w:rPr>
                <w:color w:val="auto"/>
                <w:kern w:val="0"/>
                <w:sz w:val="21"/>
                <w:szCs w:val="21"/>
                <w:highlight w:val="none"/>
              </w:rPr>
            </w:pPr>
            <w:r>
              <w:rPr>
                <w:color w:val="auto"/>
                <w:kern w:val="0"/>
                <w:sz w:val="21"/>
                <w:szCs w:val="21"/>
                <w:highlight w:val="none"/>
              </w:rPr>
              <w:t>平方米</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3006F">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79327">
            <w:pPr>
              <w:widowControl/>
              <w:spacing w:line="400" w:lineRule="exact"/>
              <w:jc w:val="center"/>
              <w:rPr>
                <w:color w:val="auto"/>
                <w:kern w:val="0"/>
                <w:sz w:val="21"/>
                <w:szCs w:val="21"/>
                <w:highlight w:val="none"/>
              </w:rPr>
            </w:pPr>
            <w:r>
              <w:rPr>
                <w:color w:val="auto"/>
                <w:kern w:val="0"/>
                <w:sz w:val="21"/>
                <w:szCs w:val="21"/>
                <w:highlight w:val="none"/>
              </w:rPr>
              <w:t>　</w:t>
            </w:r>
          </w:p>
        </w:tc>
      </w:tr>
      <w:tr w14:paraId="5382E6AE">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BA088">
            <w:pPr>
              <w:widowControl/>
              <w:spacing w:line="400" w:lineRule="exact"/>
              <w:jc w:val="left"/>
              <w:rPr>
                <w:color w:val="auto"/>
                <w:kern w:val="0"/>
                <w:sz w:val="21"/>
                <w:szCs w:val="21"/>
                <w:highlight w:val="none"/>
              </w:rPr>
            </w:pP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04462B">
            <w:pPr>
              <w:widowControl/>
              <w:spacing w:line="400" w:lineRule="exact"/>
              <w:jc w:val="center"/>
              <w:rPr>
                <w:color w:val="auto"/>
                <w:kern w:val="0"/>
                <w:sz w:val="21"/>
                <w:szCs w:val="21"/>
                <w:highlight w:val="none"/>
              </w:rPr>
            </w:pPr>
            <w:r>
              <w:rPr>
                <w:color w:val="auto"/>
                <w:kern w:val="0"/>
                <w:sz w:val="21"/>
                <w:szCs w:val="21"/>
                <w:highlight w:val="none"/>
              </w:rPr>
              <w:t>高架站</w:t>
            </w: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1EE61">
            <w:pPr>
              <w:widowControl/>
              <w:spacing w:line="400" w:lineRule="exact"/>
              <w:jc w:val="center"/>
              <w:rPr>
                <w:color w:val="auto"/>
                <w:kern w:val="0"/>
                <w:sz w:val="21"/>
                <w:szCs w:val="21"/>
                <w:highlight w:val="none"/>
              </w:rPr>
            </w:pPr>
            <w:r>
              <w:rPr>
                <w:color w:val="auto"/>
                <w:kern w:val="0"/>
                <w:sz w:val="21"/>
                <w:szCs w:val="21"/>
                <w:highlight w:val="none"/>
              </w:rPr>
              <w:t>数量</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470D">
            <w:pPr>
              <w:widowControl/>
              <w:spacing w:line="400" w:lineRule="exact"/>
              <w:jc w:val="center"/>
              <w:rPr>
                <w:color w:val="auto"/>
                <w:kern w:val="0"/>
                <w:sz w:val="21"/>
                <w:szCs w:val="21"/>
                <w:highlight w:val="none"/>
              </w:rPr>
            </w:pPr>
            <w:r>
              <w:rPr>
                <w:color w:val="auto"/>
                <w:kern w:val="0"/>
                <w:sz w:val="21"/>
                <w:szCs w:val="21"/>
                <w:highlight w:val="none"/>
              </w:rPr>
              <w:t>座</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58218">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5AE50">
            <w:pPr>
              <w:widowControl/>
              <w:spacing w:line="400" w:lineRule="exact"/>
              <w:jc w:val="center"/>
              <w:rPr>
                <w:color w:val="auto"/>
                <w:kern w:val="0"/>
                <w:sz w:val="21"/>
                <w:szCs w:val="21"/>
                <w:highlight w:val="none"/>
              </w:rPr>
            </w:pPr>
            <w:r>
              <w:rPr>
                <w:color w:val="auto"/>
                <w:kern w:val="0"/>
                <w:sz w:val="21"/>
                <w:szCs w:val="21"/>
                <w:highlight w:val="none"/>
              </w:rPr>
              <w:t>　</w:t>
            </w:r>
          </w:p>
        </w:tc>
      </w:tr>
      <w:tr w14:paraId="43A777C9">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C71F4">
            <w:pPr>
              <w:widowControl/>
              <w:spacing w:line="400" w:lineRule="exact"/>
              <w:jc w:val="left"/>
              <w:rPr>
                <w:color w:val="auto"/>
                <w:kern w:val="0"/>
                <w:sz w:val="21"/>
                <w:szCs w:val="21"/>
                <w:highlight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BE6D0">
            <w:pPr>
              <w:widowControl/>
              <w:spacing w:line="400" w:lineRule="exact"/>
              <w:jc w:val="left"/>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EA809">
            <w:pPr>
              <w:widowControl/>
              <w:spacing w:line="400" w:lineRule="exact"/>
              <w:jc w:val="center"/>
              <w:rPr>
                <w:color w:val="auto"/>
                <w:kern w:val="0"/>
                <w:sz w:val="21"/>
                <w:szCs w:val="21"/>
                <w:highlight w:val="none"/>
              </w:rPr>
            </w:pPr>
            <w:r>
              <w:rPr>
                <w:color w:val="auto"/>
                <w:kern w:val="0"/>
                <w:sz w:val="21"/>
                <w:szCs w:val="21"/>
                <w:highlight w:val="none"/>
              </w:rPr>
              <w:t>建筑面积</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E851D">
            <w:pPr>
              <w:widowControl/>
              <w:spacing w:line="400" w:lineRule="exact"/>
              <w:jc w:val="center"/>
              <w:rPr>
                <w:color w:val="auto"/>
                <w:kern w:val="0"/>
                <w:sz w:val="21"/>
                <w:szCs w:val="21"/>
                <w:highlight w:val="none"/>
              </w:rPr>
            </w:pPr>
            <w:r>
              <w:rPr>
                <w:color w:val="auto"/>
                <w:kern w:val="0"/>
                <w:sz w:val="21"/>
                <w:szCs w:val="21"/>
                <w:highlight w:val="none"/>
              </w:rPr>
              <w:t>平方米</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1473C">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276A6">
            <w:pPr>
              <w:widowControl/>
              <w:spacing w:line="400" w:lineRule="exact"/>
              <w:jc w:val="center"/>
              <w:rPr>
                <w:color w:val="auto"/>
                <w:kern w:val="0"/>
                <w:sz w:val="21"/>
                <w:szCs w:val="21"/>
                <w:highlight w:val="none"/>
              </w:rPr>
            </w:pPr>
            <w:r>
              <w:rPr>
                <w:color w:val="auto"/>
                <w:kern w:val="0"/>
                <w:sz w:val="21"/>
                <w:szCs w:val="21"/>
                <w:highlight w:val="none"/>
              </w:rPr>
              <w:t>　</w:t>
            </w:r>
          </w:p>
        </w:tc>
      </w:tr>
      <w:tr w14:paraId="5293CF92">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C9B35">
            <w:pPr>
              <w:widowControl/>
              <w:spacing w:line="400" w:lineRule="exact"/>
              <w:jc w:val="left"/>
              <w:rPr>
                <w:color w:val="auto"/>
                <w:kern w:val="0"/>
                <w:sz w:val="21"/>
                <w:szCs w:val="21"/>
                <w:highlight w:val="none"/>
              </w:rPr>
            </w:pP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CC46B">
            <w:pPr>
              <w:widowControl/>
              <w:spacing w:line="400" w:lineRule="exact"/>
              <w:jc w:val="center"/>
              <w:rPr>
                <w:color w:val="auto"/>
                <w:kern w:val="0"/>
                <w:sz w:val="21"/>
                <w:szCs w:val="21"/>
                <w:highlight w:val="none"/>
              </w:rPr>
            </w:pPr>
            <w:r>
              <w:rPr>
                <w:color w:val="auto"/>
                <w:kern w:val="0"/>
                <w:sz w:val="21"/>
                <w:szCs w:val="21"/>
                <w:highlight w:val="none"/>
              </w:rPr>
              <w:t>地面站</w:t>
            </w: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7828">
            <w:pPr>
              <w:widowControl/>
              <w:spacing w:line="400" w:lineRule="exact"/>
              <w:jc w:val="center"/>
              <w:rPr>
                <w:color w:val="auto"/>
                <w:kern w:val="0"/>
                <w:sz w:val="21"/>
                <w:szCs w:val="21"/>
                <w:highlight w:val="none"/>
              </w:rPr>
            </w:pPr>
            <w:r>
              <w:rPr>
                <w:color w:val="auto"/>
                <w:kern w:val="0"/>
                <w:sz w:val="21"/>
                <w:szCs w:val="21"/>
                <w:highlight w:val="none"/>
              </w:rPr>
              <w:t>数量</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C0F7">
            <w:pPr>
              <w:widowControl/>
              <w:spacing w:line="400" w:lineRule="exact"/>
              <w:jc w:val="center"/>
              <w:rPr>
                <w:color w:val="auto"/>
                <w:kern w:val="0"/>
                <w:sz w:val="21"/>
                <w:szCs w:val="21"/>
                <w:highlight w:val="none"/>
              </w:rPr>
            </w:pPr>
            <w:r>
              <w:rPr>
                <w:color w:val="auto"/>
                <w:kern w:val="0"/>
                <w:sz w:val="21"/>
                <w:szCs w:val="21"/>
                <w:highlight w:val="none"/>
              </w:rPr>
              <w:t>座</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EAE51">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6928E">
            <w:pPr>
              <w:widowControl/>
              <w:spacing w:line="400" w:lineRule="exact"/>
              <w:jc w:val="center"/>
              <w:rPr>
                <w:color w:val="auto"/>
                <w:kern w:val="0"/>
                <w:sz w:val="21"/>
                <w:szCs w:val="21"/>
                <w:highlight w:val="none"/>
              </w:rPr>
            </w:pPr>
            <w:r>
              <w:rPr>
                <w:color w:val="auto"/>
                <w:kern w:val="0"/>
                <w:sz w:val="21"/>
                <w:szCs w:val="21"/>
                <w:highlight w:val="none"/>
              </w:rPr>
              <w:t>　</w:t>
            </w:r>
          </w:p>
        </w:tc>
      </w:tr>
      <w:tr w14:paraId="586CF17B">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9E1DC">
            <w:pPr>
              <w:widowControl/>
              <w:spacing w:line="400" w:lineRule="exact"/>
              <w:jc w:val="left"/>
              <w:rPr>
                <w:color w:val="auto"/>
                <w:kern w:val="0"/>
                <w:sz w:val="21"/>
                <w:szCs w:val="21"/>
                <w:highlight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CE641">
            <w:pPr>
              <w:widowControl/>
              <w:spacing w:line="400" w:lineRule="exact"/>
              <w:jc w:val="left"/>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6D86A">
            <w:pPr>
              <w:widowControl/>
              <w:spacing w:line="400" w:lineRule="exact"/>
              <w:jc w:val="center"/>
              <w:rPr>
                <w:color w:val="auto"/>
                <w:kern w:val="0"/>
                <w:sz w:val="21"/>
                <w:szCs w:val="21"/>
                <w:highlight w:val="none"/>
              </w:rPr>
            </w:pPr>
            <w:r>
              <w:rPr>
                <w:color w:val="auto"/>
                <w:kern w:val="0"/>
                <w:sz w:val="21"/>
                <w:szCs w:val="21"/>
                <w:highlight w:val="none"/>
              </w:rPr>
              <w:t>建筑面积</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3EE13">
            <w:pPr>
              <w:widowControl/>
              <w:spacing w:line="400" w:lineRule="exact"/>
              <w:jc w:val="center"/>
              <w:rPr>
                <w:color w:val="auto"/>
                <w:kern w:val="0"/>
                <w:sz w:val="21"/>
                <w:szCs w:val="21"/>
                <w:highlight w:val="none"/>
              </w:rPr>
            </w:pPr>
            <w:r>
              <w:rPr>
                <w:color w:val="auto"/>
                <w:kern w:val="0"/>
                <w:sz w:val="21"/>
                <w:szCs w:val="21"/>
                <w:highlight w:val="none"/>
              </w:rPr>
              <w:t>平方米</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35581">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5A44D">
            <w:pPr>
              <w:widowControl/>
              <w:spacing w:line="400" w:lineRule="exact"/>
              <w:jc w:val="center"/>
              <w:rPr>
                <w:color w:val="auto"/>
                <w:kern w:val="0"/>
                <w:sz w:val="21"/>
                <w:szCs w:val="21"/>
                <w:highlight w:val="none"/>
              </w:rPr>
            </w:pPr>
            <w:r>
              <w:rPr>
                <w:color w:val="auto"/>
                <w:kern w:val="0"/>
                <w:sz w:val="21"/>
                <w:szCs w:val="21"/>
                <w:highlight w:val="none"/>
              </w:rPr>
              <w:t>　</w:t>
            </w:r>
          </w:p>
        </w:tc>
      </w:tr>
      <w:tr w14:paraId="5BC83282">
        <w:tblPrEx>
          <w:tblCellMar>
            <w:top w:w="0" w:type="dxa"/>
            <w:left w:w="108" w:type="dxa"/>
            <w:bottom w:w="0" w:type="dxa"/>
            <w:right w:w="108" w:type="dxa"/>
          </w:tblCellMar>
        </w:tblPrEx>
        <w:trPr>
          <w:cantSplit/>
          <w:trHeight w:val="20"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C6FD14">
            <w:pPr>
              <w:widowControl/>
              <w:spacing w:line="400" w:lineRule="exact"/>
              <w:jc w:val="center"/>
              <w:rPr>
                <w:color w:val="auto"/>
                <w:kern w:val="0"/>
                <w:sz w:val="21"/>
                <w:szCs w:val="21"/>
                <w:highlight w:val="none"/>
              </w:rPr>
            </w:pPr>
            <w:r>
              <w:rPr>
                <w:color w:val="auto"/>
                <w:kern w:val="0"/>
                <w:sz w:val="21"/>
                <w:szCs w:val="21"/>
                <w:highlight w:val="none"/>
              </w:rPr>
              <w:t>区间</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A9B041">
            <w:pPr>
              <w:widowControl/>
              <w:spacing w:line="400" w:lineRule="exact"/>
              <w:jc w:val="center"/>
              <w:rPr>
                <w:color w:val="auto"/>
                <w:kern w:val="0"/>
                <w:sz w:val="21"/>
                <w:szCs w:val="21"/>
                <w:highlight w:val="none"/>
              </w:rPr>
            </w:pPr>
            <w:r>
              <w:rPr>
                <w:color w:val="auto"/>
                <w:kern w:val="0"/>
                <w:sz w:val="21"/>
                <w:szCs w:val="21"/>
                <w:highlight w:val="none"/>
              </w:rPr>
              <w:t>正线</w:t>
            </w: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2E8F3">
            <w:pPr>
              <w:widowControl/>
              <w:spacing w:line="400" w:lineRule="exact"/>
              <w:jc w:val="center"/>
              <w:rPr>
                <w:color w:val="auto"/>
                <w:kern w:val="0"/>
                <w:sz w:val="21"/>
                <w:szCs w:val="21"/>
                <w:highlight w:val="none"/>
              </w:rPr>
            </w:pPr>
            <w:r>
              <w:rPr>
                <w:color w:val="auto"/>
                <w:kern w:val="0"/>
                <w:sz w:val="21"/>
                <w:szCs w:val="21"/>
                <w:highlight w:val="none"/>
              </w:rPr>
              <w:t>盾构区间</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39819">
            <w:pPr>
              <w:widowControl/>
              <w:spacing w:line="400" w:lineRule="exact"/>
              <w:jc w:val="center"/>
              <w:rPr>
                <w:color w:val="auto"/>
                <w:kern w:val="0"/>
                <w:sz w:val="21"/>
                <w:szCs w:val="21"/>
                <w:highlight w:val="none"/>
              </w:rPr>
            </w:pPr>
            <w:r>
              <w:rPr>
                <w:color w:val="auto"/>
                <w:kern w:val="0"/>
                <w:sz w:val="21"/>
                <w:szCs w:val="21"/>
                <w:highlight w:val="none"/>
              </w:rPr>
              <w:t>双线公里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04C4">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C2036">
            <w:pPr>
              <w:widowControl/>
              <w:spacing w:line="400" w:lineRule="exact"/>
              <w:jc w:val="left"/>
              <w:rPr>
                <w:color w:val="auto"/>
                <w:kern w:val="0"/>
                <w:sz w:val="21"/>
                <w:szCs w:val="21"/>
                <w:highlight w:val="none"/>
              </w:rPr>
            </w:pPr>
            <w:r>
              <w:rPr>
                <w:color w:val="auto"/>
                <w:kern w:val="0"/>
                <w:sz w:val="21"/>
                <w:szCs w:val="21"/>
                <w:highlight w:val="none"/>
              </w:rPr>
              <w:t>　</w:t>
            </w:r>
          </w:p>
        </w:tc>
      </w:tr>
      <w:tr w14:paraId="43D70338">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235AE">
            <w:pPr>
              <w:widowControl/>
              <w:spacing w:line="400" w:lineRule="exact"/>
              <w:jc w:val="left"/>
              <w:rPr>
                <w:color w:val="auto"/>
                <w:kern w:val="0"/>
                <w:sz w:val="21"/>
                <w:szCs w:val="21"/>
                <w:highlight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10806">
            <w:pPr>
              <w:widowControl/>
              <w:spacing w:line="400" w:lineRule="exact"/>
              <w:jc w:val="left"/>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4B34D">
            <w:pPr>
              <w:widowControl/>
              <w:spacing w:line="400" w:lineRule="exact"/>
              <w:jc w:val="center"/>
              <w:rPr>
                <w:color w:val="auto"/>
                <w:kern w:val="0"/>
                <w:sz w:val="21"/>
                <w:szCs w:val="21"/>
                <w:highlight w:val="none"/>
              </w:rPr>
            </w:pPr>
            <w:r>
              <w:rPr>
                <w:color w:val="auto"/>
                <w:kern w:val="0"/>
                <w:sz w:val="21"/>
                <w:szCs w:val="21"/>
                <w:highlight w:val="none"/>
              </w:rPr>
              <w:t>明挖区间</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EED8B">
            <w:pPr>
              <w:widowControl/>
              <w:spacing w:line="400" w:lineRule="exact"/>
              <w:jc w:val="center"/>
              <w:rPr>
                <w:color w:val="auto"/>
                <w:kern w:val="0"/>
                <w:sz w:val="21"/>
                <w:szCs w:val="21"/>
                <w:highlight w:val="none"/>
              </w:rPr>
            </w:pPr>
            <w:r>
              <w:rPr>
                <w:color w:val="auto"/>
                <w:kern w:val="0"/>
                <w:sz w:val="21"/>
                <w:szCs w:val="21"/>
                <w:highlight w:val="none"/>
              </w:rPr>
              <w:t>双线公里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F9430">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03C7">
            <w:pPr>
              <w:widowControl/>
              <w:spacing w:line="400" w:lineRule="exact"/>
              <w:jc w:val="center"/>
              <w:rPr>
                <w:color w:val="auto"/>
                <w:kern w:val="0"/>
                <w:sz w:val="21"/>
                <w:szCs w:val="21"/>
                <w:highlight w:val="none"/>
              </w:rPr>
            </w:pPr>
            <w:r>
              <w:rPr>
                <w:color w:val="auto"/>
                <w:kern w:val="0"/>
                <w:sz w:val="21"/>
                <w:szCs w:val="21"/>
                <w:highlight w:val="none"/>
              </w:rPr>
              <w:t>含敞开段</w:t>
            </w:r>
          </w:p>
        </w:tc>
      </w:tr>
      <w:tr w14:paraId="7FF185B9">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D5F2E">
            <w:pPr>
              <w:widowControl/>
              <w:spacing w:line="400" w:lineRule="exact"/>
              <w:jc w:val="left"/>
              <w:rPr>
                <w:color w:val="auto"/>
                <w:kern w:val="0"/>
                <w:sz w:val="21"/>
                <w:szCs w:val="21"/>
                <w:highlight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0FC8D">
            <w:pPr>
              <w:widowControl/>
              <w:spacing w:line="400" w:lineRule="exact"/>
              <w:jc w:val="left"/>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2599E">
            <w:pPr>
              <w:widowControl/>
              <w:spacing w:line="400" w:lineRule="exact"/>
              <w:jc w:val="center"/>
              <w:rPr>
                <w:color w:val="auto"/>
                <w:kern w:val="0"/>
                <w:sz w:val="21"/>
                <w:szCs w:val="21"/>
                <w:highlight w:val="none"/>
              </w:rPr>
            </w:pPr>
            <w:r>
              <w:rPr>
                <w:color w:val="auto"/>
                <w:kern w:val="0"/>
                <w:sz w:val="21"/>
                <w:szCs w:val="21"/>
                <w:highlight w:val="none"/>
              </w:rPr>
              <w:t>暗挖区间</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9CAEB">
            <w:pPr>
              <w:widowControl/>
              <w:spacing w:line="400" w:lineRule="exact"/>
              <w:jc w:val="center"/>
              <w:rPr>
                <w:color w:val="auto"/>
                <w:kern w:val="0"/>
                <w:sz w:val="21"/>
                <w:szCs w:val="21"/>
                <w:highlight w:val="none"/>
              </w:rPr>
            </w:pPr>
            <w:r>
              <w:rPr>
                <w:color w:val="auto"/>
                <w:kern w:val="0"/>
                <w:sz w:val="21"/>
                <w:szCs w:val="21"/>
                <w:highlight w:val="none"/>
              </w:rPr>
              <w:t>双线公里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20A3A">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C67F">
            <w:pPr>
              <w:widowControl/>
              <w:spacing w:line="400" w:lineRule="exact"/>
              <w:jc w:val="left"/>
              <w:rPr>
                <w:color w:val="auto"/>
                <w:kern w:val="0"/>
                <w:sz w:val="21"/>
                <w:szCs w:val="21"/>
                <w:highlight w:val="none"/>
              </w:rPr>
            </w:pPr>
            <w:r>
              <w:rPr>
                <w:color w:val="auto"/>
                <w:kern w:val="0"/>
                <w:sz w:val="21"/>
                <w:szCs w:val="21"/>
                <w:highlight w:val="none"/>
              </w:rPr>
              <w:t>　</w:t>
            </w:r>
          </w:p>
        </w:tc>
      </w:tr>
      <w:tr w14:paraId="1EA7FC81">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E21AF">
            <w:pPr>
              <w:widowControl/>
              <w:spacing w:line="400" w:lineRule="exact"/>
              <w:jc w:val="left"/>
              <w:rPr>
                <w:color w:val="auto"/>
                <w:kern w:val="0"/>
                <w:sz w:val="21"/>
                <w:szCs w:val="21"/>
                <w:highlight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2B389">
            <w:pPr>
              <w:widowControl/>
              <w:spacing w:line="400" w:lineRule="exact"/>
              <w:jc w:val="left"/>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742E">
            <w:pPr>
              <w:widowControl/>
              <w:spacing w:line="400" w:lineRule="exact"/>
              <w:jc w:val="center"/>
              <w:rPr>
                <w:color w:val="auto"/>
                <w:kern w:val="0"/>
                <w:sz w:val="21"/>
                <w:szCs w:val="21"/>
                <w:highlight w:val="none"/>
              </w:rPr>
            </w:pPr>
            <w:r>
              <w:rPr>
                <w:color w:val="auto"/>
                <w:kern w:val="0"/>
                <w:sz w:val="21"/>
                <w:szCs w:val="21"/>
                <w:highlight w:val="none"/>
              </w:rPr>
              <w:t>高架区间</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96D4">
            <w:pPr>
              <w:widowControl/>
              <w:spacing w:line="400" w:lineRule="exact"/>
              <w:jc w:val="center"/>
              <w:rPr>
                <w:color w:val="auto"/>
                <w:kern w:val="0"/>
                <w:sz w:val="21"/>
                <w:szCs w:val="21"/>
                <w:highlight w:val="none"/>
              </w:rPr>
            </w:pPr>
            <w:r>
              <w:rPr>
                <w:color w:val="auto"/>
                <w:kern w:val="0"/>
                <w:sz w:val="21"/>
                <w:szCs w:val="21"/>
                <w:highlight w:val="none"/>
              </w:rPr>
              <w:t>双线公里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3501">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C793B">
            <w:pPr>
              <w:widowControl/>
              <w:spacing w:line="400" w:lineRule="exact"/>
              <w:jc w:val="center"/>
              <w:rPr>
                <w:color w:val="auto"/>
                <w:kern w:val="0"/>
                <w:sz w:val="21"/>
                <w:szCs w:val="21"/>
                <w:highlight w:val="none"/>
              </w:rPr>
            </w:pPr>
            <w:r>
              <w:rPr>
                <w:color w:val="auto"/>
                <w:kern w:val="0"/>
                <w:sz w:val="21"/>
                <w:szCs w:val="21"/>
                <w:highlight w:val="none"/>
              </w:rPr>
              <w:t>　</w:t>
            </w:r>
          </w:p>
        </w:tc>
      </w:tr>
      <w:tr w14:paraId="3CF7345E">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8CA89">
            <w:pPr>
              <w:widowControl/>
              <w:spacing w:line="400" w:lineRule="exact"/>
              <w:jc w:val="left"/>
              <w:rPr>
                <w:color w:val="auto"/>
                <w:kern w:val="0"/>
                <w:sz w:val="21"/>
                <w:szCs w:val="21"/>
                <w:highlight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5D83D">
            <w:pPr>
              <w:widowControl/>
              <w:spacing w:line="400" w:lineRule="exact"/>
              <w:jc w:val="left"/>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AF344">
            <w:pPr>
              <w:widowControl/>
              <w:spacing w:line="400" w:lineRule="exact"/>
              <w:jc w:val="center"/>
              <w:rPr>
                <w:color w:val="auto"/>
                <w:kern w:val="0"/>
                <w:sz w:val="21"/>
                <w:szCs w:val="21"/>
                <w:highlight w:val="none"/>
              </w:rPr>
            </w:pPr>
            <w:r>
              <w:rPr>
                <w:color w:val="auto"/>
                <w:kern w:val="0"/>
                <w:sz w:val="21"/>
                <w:szCs w:val="21"/>
                <w:highlight w:val="none"/>
              </w:rPr>
              <w:t>地面区间</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CF00">
            <w:pPr>
              <w:widowControl/>
              <w:spacing w:line="400" w:lineRule="exact"/>
              <w:jc w:val="center"/>
              <w:rPr>
                <w:color w:val="auto"/>
                <w:kern w:val="0"/>
                <w:sz w:val="21"/>
                <w:szCs w:val="21"/>
                <w:highlight w:val="none"/>
              </w:rPr>
            </w:pPr>
            <w:r>
              <w:rPr>
                <w:color w:val="auto"/>
                <w:kern w:val="0"/>
                <w:sz w:val="21"/>
                <w:szCs w:val="21"/>
                <w:highlight w:val="none"/>
              </w:rPr>
              <w:t>双线公里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CAD1D">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3CDB">
            <w:pPr>
              <w:widowControl/>
              <w:spacing w:line="400" w:lineRule="exact"/>
              <w:jc w:val="center"/>
              <w:rPr>
                <w:color w:val="auto"/>
                <w:kern w:val="0"/>
                <w:sz w:val="21"/>
                <w:szCs w:val="21"/>
                <w:highlight w:val="none"/>
              </w:rPr>
            </w:pPr>
            <w:r>
              <w:rPr>
                <w:color w:val="auto"/>
                <w:kern w:val="0"/>
                <w:sz w:val="21"/>
                <w:szCs w:val="21"/>
                <w:highlight w:val="none"/>
              </w:rPr>
              <w:t>　</w:t>
            </w:r>
          </w:p>
        </w:tc>
      </w:tr>
      <w:tr w14:paraId="23348283">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678B4">
            <w:pPr>
              <w:widowControl/>
              <w:spacing w:line="400" w:lineRule="exact"/>
              <w:jc w:val="left"/>
              <w:rPr>
                <w:color w:val="auto"/>
                <w:kern w:val="0"/>
                <w:sz w:val="21"/>
                <w:szCs w:val="21"/>
                <w:highlight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33F87">
            <w:pPr>
              <w:widowControl/>
              <w:spacing w:line="400" w:lineRule="exact"/>
              <w:jc w:val="left"/>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98DD1">
            <w:pPr>
              <w:widowControl/>
              <w:spacing w:line="400" w:lineRule="exact"/>
              <w:jc w:val="center"/>
              <w:rPr>
                <w:color w:val="auto"/>
                <w:kern w:val="0"/>
                <w:sz w:val="21"/>
                <w:szCs w:val="21"/>
                <w:highlight w:val="none"/>
              </w:rPr>
            </w:pPr>
            <w:r>
              <w:rPr>
                <w:color w:val="auto"/>
                <w:kern w:val="0"/>
                <w:sz w:val="21"/>
                <w:szCs w:val="21"/>
                <w:highlight w:val="none"/>
              </w:rPr>
              <w:t>中间风井</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B5644">
            <w:pPr>
              <w:widowControl/>
              <w:spacing w:line="400" w:lineRule="exact"/>
              <w:jc w:val="center"/>
              <w:rPr>
                <w:color w:val="auto"/>
                <w:kern w:val="0"/>
                <w:sz w:val="21"/>
                <w:szCs w:val="21"/>
                <w:highlight w:val="none"/>
              </w:rPr>
            </w:pPr>
            <w:r>
              <w:rPr>
                <w:color w:val="auto"/>
                <w:kern w:val="0"/>
                <w:sz w:val="21"/>
                <w:szCs w:val="21"/>
                <w:highlight w:val="none"/>
              </w:rPr>
              <w:t>座</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6200">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4198">
            <w:pPr>
              <w:widowControl/>
              <w:spacing w:line="400" w:lineRule="exact"/>
              <w:jc w:val="center"/>
              <w:rPr>
                <w:color w:val="auto"/>
                <w:kern w:val="0"/>
                <w:sz w:val="21"/>
                <w:szCs w:val="21"/>
                <w:highlight w:val="none"/>
              </w:rPr>
            </w:pPr>
            <w:r>
              <w:rPr>
                <w:color w:val="auto"/>
                <w:kern w:val="0"/>
                <w:sz w:val="21"/>
                <w:szCs w:val="21"/>
                <w:highlight w:val="none"/>
              </w:rPr>
              <w:t>　</w:t>
            </w:r>
          </w:p>
        </w:tc>
      </w:tr>
      <w:tr w14:paraId="27A3D468">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D9E9E">
            <w:pPr>
              <w:widowControl/>
              <w:spacing w:line="400" w:lineRule="exact"/>
              <w:jc w:val="left"/>
              <w:rPr>
                <w:color w:val="auto"/>
                <w:kern w:val="0"/>
                <w:sz w:val="21"/>
                <w:szCs w:val="21"/>
                <w:highlight w:val="none"/>
              </w:rPr>
            </w:pP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F66117">
            <w:pPr>
              <w:widowControl/>
              <w:spacing w:line="400" w:lineRule="exact"/>
              <w:jc w:val="center"/>
              <w:rPr>
                <w:color w:val="auto"/>
                <w:kern w:val="0"/>
                <w:sz w:val="21"/>
                <w:szCs w:val="21"/>
                <w:highlight w:val="none"/>
              </w:rPr>
            </w:pPr>
            <w:r>
              <w:rPr>
                <w:color w:val="auto"/>
                <w:kern w:val="0"/>
                <w:sz w:val="21"/>
                <w:szCs w:val="21"/>
                <w:highlight w:val="none"/>
              </w:rPr>
              <w:t>出入线</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E51D6">
            <w:pPr>
              <w:widowControl/>
              <w:spacing w:line="400" w:lineRule="exact"/>
              <w:jc w:val="center"/>
              <w:rPr>
                <w:color w:val="auto"/>
                <w:kern w:val="0"/>
                <w:sz w:val="21"/>
                <w:szCs w:val="21"/>
                <w:highlight w:val="none"/>
              </w:rPr>
            </w:pPr>
            <w:r>
              <w:rPr>
                <w:color w:val="auto"/>
                <w:kern w:val="0"/>
                <w:sz w:val="21"/>
                <w:szCs w:val="21"/>
                <w:highlight w:val="none"/>
              </w:rPr>
              <w:t>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8377">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E59B">
            <w:pPr>
              <w:widowControl/>
              <w:spacing w:line="400" w:lineRule="exact"/>
              <w:jc w:val="center"/>
              <w:rPr>
                <w:color w:val="auto"/>
                <w:kern w:val="0"/>
                <w:sz w:val="21"/>
                <w:szCs w:val="21"/>
                <w:highlight w:val="none"/>
              </w:rPr>
            </w:pPr>
            <w:r>
              <w:rPr>
                <w:color w:val="auto"/>
                <w:kern w:val="0"/>
                <w:sz w:val="21"/>
                <w:szCs w:val="21"/>
                <w:highlight w:val="none"/>
              </w:rPr>
              <w:t>　</w:t>
            </w:r>
          </w:p>
        </w:tc>
      </w:tr>
      <w:tr w14:paraId="79A458EE">
        <w:tblPrEx>
          <w:tblCellMar>
            <w:top w:w="0" w:type="dxa"/>
            <w:left w:w="108" w:type="dxa"/>
            <w:bottom w:w="0" w:type="dxa"/>
            <w:right w:w="108" w:type="dxa"/>
          </w:tblCellMar>
        </w:tblPrEx>
        <w:trPr>
          <w:cantSplit/>
          <w:trHeight w:val="20"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E562BB">
            <w:pPr>
              <w:widowControl/>
              <w:spacing w:line="400" w:lineRule="exact"/>
              <w:jc w:val="center"/>
              <w:rPr>
                <w:color w:val="auto"/>
                <w:kern w:val="0"/>
                <w:sz w:val="21"/>
                <w:szCs w:val="21"/>
                <w:highlight w:val="none"/>
              </w:rPr>
            </w:pPr>
            <w:r>
              <w:rPr>
                <w:color w:val="auto"/>
                <w:kern w:val="0"/>
                <w:sz w:val="21"/>
                <w:szCs w:val="21"/>
                <w:highlight w:val="none"/>
              </w:rPr>
              <w:t>轨道</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4CEF0">
            <w:pPr>
              <w:widowControl/>
              <w:spacing w:line="400" w:lineRule="exact"/>
              <w:jc w:val="center"/>
              <w:rPr>
                <w:color w:val="auto"/>
                <w:kern w:val="0"/>
                <w:sz w:val="21"/>
                <w:szCs w:val="21"/>
                <w:highlight w:val="none"/>
              </w:rPr>
            </w:pPr>
            <w:r>
              <w:rPr>
                <w:color w:val="auto"/>
                <w:kern w:val="0"/>
                <w:sz w:val="21"/>
                <w:szCs w:val="21"/>
                <w:highlight w:val="none"/>
              </w:rPr>
              <w:t>铺轨</w:t>
            </w: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3A05">
            <w:pPr>
              <w:widowControl/>
              <w:spacing w:line="400" w:lineRule="exact"/>
              <w:jc w:val="center"/>
              <w:rPr>
                <w:color w:val="auto"/>
                <w:kern w:val="0"/>
                <w:sz w:val="21"/>
                <w:szCs w:val="21"/>
                <w:highlight w:val="none"/>
              </w:rPr>
            </w:pPr>
            <w:r>
              <w:rPr>
                <w:rFonts w:hint="eastAsia"/>
                <w:color w:val="auto"/>
                <w:kern w:val="0"/>
                <w:sz w:val="21"/>
                <w:szCs w:val="21"/>
                <w:highlight w:val="none"/>
              </w:rPr>
              <w:t>正线及配线</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E1A22">
            <w:pPr>
              <w:widowControl/>
              <w:spacing w:line="400" w:lineRule="exact"/>
              <w:jc w:val="center"/>
              <w:rPr>
                <w:color w:val="auto"/>
                <w:kern w:val="0"/>
                <w:sz w:val="21"/>
                <w:szCs w:val="21"/>
                <w:highlight w:val="none"/>
              </w:rPr>
            </w:pPr>
            <w:r>
              <w:rPr>
                <w:color w:val="auto"/>
                <w:kern w:val="0"/>
                <w:sz w:val="21"/>
                <w:szCs w:val="21"/>
                <w:highlight w:val="none"/>
              </w:rPr>
              <w:t>铺轨公里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09590">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E43BF">
            <w:pPr>
              <w:widowControl/>
              <w:spacing w:line="400" w:lineRule="exact"/>
              <w:jc w:val="center"/>
              <w:rPr>
                <w:color w:val="auto"/>
                <w:kern w:val="0"/>
                <w:sz w:val="21"/>
                <w:szCs w:val="21"/>
                <w:highlight w:val="none"/>
              </w:rPr>
            </w:pPr>
          </w:p>
        </w:tc>
      </w:tr>
      <w:tr w14:paraId="649D01B5">
        <w:tblPrEx>
          <w:tblCellMar>
            <w:top w:w="0" w:type="dxa"/>
            <w:left w:w="108" w:type="dxa"/>
            <w:bottom w:w="0" w:type="dxa"/>
            <w:right w:w="108" w:type="dxa"/>
          </w:tblCellMar>
        </w:tblPrEx>
        <w:trPr>
          <w:cantSplit/>
          <w:trHeight w:val="20" w:hRule="atLeast"/>
        </w:trPr>
        <w:tc>
          <w:tcPr>
            <w:tcW w:w="1311" w:type="dxa"/>
            <w:vMerge w:val="continue"/>
            <w:tcBorders>
              <w:left w:val="single" w:color="000000" w:sz="4" w:space="0"/>
              <w:right w:val="single" w:color="000000" w:sz="4" w:space="0"/>
            </w:tcBorders>
            <w:shd w:val="clear" w:color="auto" w:fill="FFFFFF"/>
            <w:vAlign w:val="center"/>
          </w:tcPr>
          <w:p w14:paraId="1CA9CCB3">
            <w:pPr>
              <w:widowControl/>
              <w:spacing w:line="400" w:lineRule="exact"/>
              <w:jc w:val="center"/>
              <w:rPr>
                <w:color w:val="auto"/>
                <w:kern w:val="0"/>
                <w:sz w:val="21"/>
                <w:szCs w:val="21"/>
                <w:highlight w:val="none"/>
              </w:rPr>
            </w:pPr>
          </w:p>
        </w:tc>
        <w:tc>
          <w:tcPr>
            <w:tcW w:w="1882" w:type="dxa"/>
            <w:vMerge w:val="continue"/>
            <w:tcBorders>
              <w:left w:val="single" w:color="000000" w:sz="4" w:space="0"/>
              <w:right w:val="single" w:color="000000" w:sz="4" w:space="0"/>
            </w:tcBorders>
            <w:shd w:val="clear" w:color="auto" w:fill="FFFFFF"/>
            <w:vAlign w:val="center"/>
          </w:tcPr>
          <w:p w14:paraId="1E9C0D69">
            <w:pPr>
              <w:widowControl/>
              <w:spacing w:line="400" w:lineRule="exact"/>
              <w:jc w:val="center"/>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44B74">
            <w:pPr>
              <w:widowControl/>
              <w:spacing w:line="400" w:lineRule="exact"/>
              <w:jc w:val="center"/>
              <w:rPr>
                <w:color w:val="auto"/>
                <w:kern w:val="0"/>
                <w:sz w:val="21"/>
                <w:szCs w:val="21"/>
                <w:highlight w:val="none"/>
              </w:rPr>
            </w:pPr>
            <w:r>
              <w:rPr>
                <w:rFonts w:hint="eastAsia"/>
                <w:color w:val="auto"/>
                <w:kern w:val="0"/>
                <w:sz w:val="21"/>
                <w:szCs w:val="21"/>
                <w:highlight w:val="none"/>
              </w:rPr>
              <w:t>出入线</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D54F0">
            <w:pPr>
              <w:widowControl/>
              <w:spacing w:line="400" w:lineRule="exact"/>
              <w:jc w:val="center"/>
              <w:rPr>
                <w:color w:val="auto"/>
                <w:kern w:val="0"/>
                <w:sz w:val="21"/>
                <w:szCs w:val="21"/>
                <w:highlight w:val="none"/>
              </w:rPr>
            </w:pPr>
            <w:r>
              <w:rPr>
                <w:color w:val="auto"/>
                <w:kern w:val="0"/>
                <w:sz w:val="21"/>
                <w:szCs w:val="21"/>
                <w:highlight w:val="none"/>
              </w:rPr>
              <w:t>铺轨公里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4A2AA">
            <w:pPr>
              <w:widowControl/>
              <w:spacing w:line="400" w:lineRule="exact"/>
              <w:jc w:val="left"/>
              <w:rPr>
                <w:color w:val="auto"/>
                <w:kern w:val="0"/>
                <w:sz w:val="21"/>
                <w:szCs w:val="21"/>
                <w:highlight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82A26">
            <w:pPr>
              <w:widowControl/>
              <w:spacing w:line="400" w:lineRule="exact"/>
              <w:jc w:val="center"/>
              <w:rPr>
                <w:color w:val="auto"/>
                <w:kern w:val="0"/>
                <w:sz w:val="21"/>
                <w:szCs w:val="21"/>
                <w:highlight w:val="none"/>
              </w:rPr>
            </w:pPr>
          </w:p>
        </w:tc>
      </w:tr>
      <w:tr w14:paraId="76C5DD2C">
        <w:tblPrEx>
          <w:tblCellMar>
            <w:top w:w="0" w:type="dxa"/>
            <w:left w:w="108" w:type="dxa"/>
            <w:bottom w:w="0" w:type="dxa"/>
            <w:right w:w="108" w:type="dxa"/>
          </w:tblCellMar>
        </w:tblPrEx>
        <w:trPr>
          <w:cantSplit/>
          <w:trHeight w:val="20" w:hRule="atLeast"/>
        </w:trPr>
        <w:tc>
          <w:tcPr>
            <w:tcW w:w="1311" w:type="dxa"/>
            <w:vMerge w:val="continue"/>
            <w:tcBorders>
              <w:left w:val="single" w:color="000000" w:sz="4" w:space="0"/>
              <w:right w:val="single" w:color="000000" w:sz="4" w:space="0"/>
            </w:tcBorders>
            <w:shd w:val="clear" w:color="auto" w:fill="FFFFFF"/>
            <w:vAlign w:val="center"/>
          </w:tcPr>
          <w:p w14:paraId="76E9A232">
            <w:pPr>
              <w:widowControl/>
              <w:spacing w:line="400" w:lineRule="exact"/>
              <w:jc w:val="center"/>
              <w:rPr>
                <w:color w:val="auto"/>
                <w:kern w:val="0"/>
                <w:sz w:val="21"/>
                <w:szCs w:val="21"/>
                <w:highlight w:val="none"/>
              </w:rPr>
            </w:pPr>
          </w:p>
        </w:tc>
        <w:tc>
          <w:tcPr>
            <w:tcW w:w="1882" w:type="dxa"/>
            <w:vMerge w:val="continue"/>
            <w:tcBorders>
              <w:left w:val="single" w:color="000000" w:sz="4" w:space="0"/>
              <w:right w:val="single" w:color="000000" w:sz="4" w:space="0"/>
            </w:tcBorders>
            <w:shd w:val="clear" w:color="auto" w:fill="FFFFFF"/>
            <w:vAlign w:val="center"/>
          </w:tcPr>
          <w:p w14:paraId="1A28C9FE">
            <w:pPr>
              <w:widowControl/>
              <w:spacing w:line="400" w:lineRule="exact"/>
              <w:jc w:val="center"/>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69C48">
            <w:pPr>
              <w:widowControl/>
              <w:spacing w:line="400" w:lineRule="exact"/>
              <w:jc w:val="center"/>
              <w:rPr>
                <w:color w:val="auto"/>
                <w:kern w:val="0"/>
                <w:sz w:val="21"/>
                <w:szCs w:val="21"/>
                <w:highlight w:val="none"/>
              </w:rPr>
            </w:pPr>
            <w:r>
              <w:rPr>
                <w:rFonts w:hint="eastAsia"/>
                <w:color w:val="auto"/>
                <w:kern w:val="0"/>
                <w:sz w:val="21"/>
                <w:szCs w:val="21"/>
                <w:highlight w:val="none"/>
              </w:rPr>
              <w:t>车辆段</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9D5A">
            <w:pPr>
              <w:widowControl/>
              <w:spacing w:line="400" w:lineRule="exact"/>
              <w:jc w:val="center"/>
              <w:rPr>
                <w:color w:val="auto"/>
                <w:kern w:val="0"/>
                <w:sz w:val="21"/>
                <w:szCs w:val="21"/>
                <w:highlight w:val="none"/>
              </w:rPr>
            </w:pPr>
            <w:r>
              <w:rPr>
                <w:color w:val="auto"/>
                <w:kern w:val="0"/>
                <w:sz w:val="21"/>
                <w:szCs w:val="21"/>
                <w:highlight w:val="none"/>
              </w:rPr>
              <w:t>铺轨公里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3606">
            <w:pPr>
              <w:widowControl/>
              <w:spacing w:line="400" w:lineRule="exact"/>
              <w:jc w:val="left"/>
              <w:rPr>
                <w:color w:val="auto"/>
                <w:kern w:val="0"/>
                <w:sz w:val="21"/>
                <w:szCs w:val="21"/>
                <w:highlight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263A5">
            <w:pPr>
              <w:widowControl/>
              <w:spacing w:line="400" w:lineRule="exact"/>
              <w:jc w:val="center"/>
              <w:rPr>
                <w:color w:val="auto"/>
                <w:kern w:val="0"/>
                <w:sz w:val="21"/>
                <w:szCs w:val="21"/>
                <w:highlight w:val="none"/>
              </w:rPr>
            </w:pPr>
          </w:p>
        </w:tc>
      </w:tr>
      <w:tr w14:paraId="71D81E4A">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5C7BF">
            <w:pPr>
              <w:widowControl/>
              <w:spacing w:line="400" w:lineRule="exact"/>
              <w:jc w:val="left"/>
              <w:rPr>
                <w:color w:val="auto"/>
                <w:kern w:val="0"/>
                <w:sz w:val="21"/>
                <w:szCs w:val="21"/>
                <w:highlight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2D468">
            <w:pPr>
              <w:widowControl/>
              <w:spacing w:line="400" w:lineRule="exact"/>
              <w:jc w:val="center"/>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80D5">
            <w:pPr>
              <w:widowControl/>
              <w:spacing w:line="400" w:lineRule="exact"/>
              <w:jc w:val="center"/>
              <w:rPr>
                <w:color w:val="auto"/>
                <w:kern w:val="0"/>
                <w:sz w:val="21"/>
                <w:szCs w:val="21"/>
                <w:highlight w:val="none"/>
              </w:rPr>
            </w:pPr>
            <w:r>
              <w:rPr>
                <w:rFonts w:hint="eastAsia"/>
                <w:color w:val="auto"/>
                <w:kern w:val="0"/>
                <w:sz w:val="21"/>
                <w:szCs w:val="21"/>
                <w:highlight w:val="none"/>
              </w:rPr>
              <w:t>停车场</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CAF4">
            <w:pPr>
              <w:widowControl/>
              <w:spacing w:line="400" w:lineRule="exact"/>
              <w:jc w:val="center"/>
              <w:rPr>
                <w:color w:val="auto"/>
                <w:kern w:val="0"/>
                <w:sz w:val="21"/>
                <w:szCs w:val="21"/>
                <w:highlight w:val="none"/>
              </w:rPr>
            </w:pPr>
            <w:r>
              <w:rPr>
                <w:color w:val="auto"/>
                <w:kern w:val="0"/>
                <w:sz w:val="21"/>
                <w:szCs w:val="21"/>
                <w:highlight w:val="none"/>
              </w:rPr>
              <w:t>铺轨公里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EBCD8">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71E87">
            <w:pPr>
              <w:widowControl/>
              <w:spacing w:line="400" w:lineRule="exact"/>
              <w:jc w:val="center"/>
              <w:rPr>
                <w:color w:val="auto"/>
                <w:kern w:val="0"/>
                <w:sz w:val="21"/>
                <w:szCs w:val="21"/>
                <w:highlight w:val="none"/>
              </w:rPr>
            </w:pPr>
          </w:p>
        </w:tc>
      </w:tr>
      <w:tr w14:paraId="4D24DF2C">
        <w:tblPrEx>
          <w:tblCellMar>
            <w:top w:w="0" w:type="dxa"/>
            <w:left w:w="108" w:type="dxa"/>
            <w:bottom w:w="0" w:type="dxa"/>
            <w:right w:w="108" w:type="dxa"/>
          </w:tblCellMar>
        </w:tblPrEx>
        <w:trPr>
          <w:cantSplit/>
          <w:trHeight w:val="20"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ACF361">
            <w:pPr>
              <w:widowControl/>
              <w:spacing w:line="400" w:lineRule="exact"/>
              <w:jc w:val="center"/>
              <w:rPr>
                <w:color w:val="auto"/>
                <w:kern w:val="0"/>
                <w:sz w:val="21"/>
                <w:szCs w:val="21"/>
                <w:highlight w:val="none"/>
              </w:rPr>
            </w:pPr>
            <w:r>
              <w:rPr>
                <w:color w:val="auto"/>
                <w:kern w:val="0"/>
                <w:sz w:val="21"/>
                <w:szCs w:val="21"/>
                <w:highlight w:val="none"/>
              </w:rPr>
              <w:t>供电</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138EC5">
            <w:pPr>
              <w:widowControl/>
              <w:spacing w:line="400" w:lineRule="exact"/>
              <w:jc w:val="center"/>
              <w:rPr>
                <w:color w:val="auto"/>
                <w:kern w:val="0"/>
                <w:sz w:val="21"/>
                <w:szCs w:val="21"/>
                <w:highlight w:val="none"/>
              </w:rPr>
            </w:pPr>
            <w:r>
              <w:rPr>
                <w:color w:val="auto"/>
                <w:kern w:val="0"/>
                <w:sz w:val="21"/>
                <w:szCs w:val="21"/>
                <w:highlight w:val="none"/>
              </w:rPr>
              <w:t>主变电站</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3D2F">
            <w:pPr>
              <w:widowControl/>
              <w:spacing w:line="400" w:lineRule="exact"/>
              <w:jc w:val="center"/>
              <w:rPr>
                <w:color w:val="auto"/>
                <w:kern w:val="0"/>
                <w:sz w:val="21"/>
                <w:szCs w:val="21"/>
                <w:highlight w:val="none"/>
              </w:rPr>
            </w:pPr>
            <w:r>
              <w:rPr>
                <w:color w:val="auto"/>
                <w:kern w:val="0"/>
                <w:sz w:val="21"/>
                <w:szCs w:val="21"/>
                <w:highlight w:val="none"/>
              </w:rPr>
              <w:t>座</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7A215">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A2C0">
            <w:pPr>
              <w:widowControl/>
              <w:spacing w:line="400" w:lineRule="exact"/>
              <w:jc w:val="center"/>
              <w:rPr>
                <w:color w:val="auto"/>
                <w:kern w:val="0"/>
                <w:sz w:val="21"/>
                <w:szCs w:val="21"/>
                <w:highlight w:val="none"/>
              </w:rPr>
            </w:pPr>
            <w:r>
              <w:rPr>
                <w:rFonts w:hint="eastAsia"/>
                <w:color w:val="auto"/>
                <w:kern w:val="0"/>
                <w:sz w:val="21"/>
                <w:szCs w:val="21"/>
                <w:highlight w:val="none"/>
              </w:rPr>
              <w:t>备注新建、共享情况。</w:t>
            </w:r>
            <w:r>
              <w:rPr>
                <w:color w:val="auto"/>
                <w:kern w:val="0"/>
                <w:sz w:val="21"/>
                <w:szCs w:val="21"/>
                <w:highlight w:val="none"/>
              </w:rPr>
              <w:t>　</w:t>
            </w:r>
          </w:p>
        </w:tc>
      </w:tr>
      <w:tr w14:paraId="50FA807B">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D68CA">
            <w:pPr>
              <w:widowControl/>
              <w:spacing w:line="400" w:lineRule="exact"/>
              <w:jc w:val="left"/>
              <w:rPr>
                <w:color w:val="auto"/>
                <w:kern w:val="0"/>
                <w:sz w:val="21"/>
                <w:szCs w:val="21"/>
                <w:highlight w:val="none"/>
              </w:rPr>
            </w:pP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34E2C2">
            <w:pPr>
              <w:widowControl/>
              <w:spacing w:line="400" w:lineRule="exact"/>
              <w:jc w:val="center"/>
              <w:rPr>
                <w:color w:val="auto"/>
                <w:kern w:val="0"/>
                <w:sz w:val="21"/>
                <w:szCs w:val="21"/>
                <w:highlight w:val="none"/>
              </w:rPr>
            </w:pPr>
            <w:r>
              <w:rPr>
                <w:color w:val="auto"/>
                <w:kern w:val="0"/>
                <w:sz w:val="21"/>
                <w:szCs w:val="21"/>
                <w:highlight w:val="none"/>
              </w:rPr>
              <w:t>开闭所</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61BD">
            <w:pPr>
              <w:widowControl/>
              <w:spacing w:line="400" w:lineRule="exact"/>
              <w:jc w:val="center"/>
              <w:rPr>
                <w:color w:val="auto"/>
                <w:kern w:val="0"/>
                <w:sz w:val="21"/>
                <w:szCs w:val="21"/>
                <w:highlight w:val="none"/>
              </w:rPr>
            </w:pPr>
            <w:r>
              <w:rPr>
                <w:color w:val="auto"/>
                <w:kern w:val="0"/>
                <w:sz w:val="21"/>
                <w:szCs w:val="21"/>
                <w:highlight w:val="none"/>
              </w:rPr>
              <w:t>座</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9627C">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F5E6E">
            <w:pPr>
              <w:widowControl/>
              <w:spacing w:line="400" w:lineRule="exact"/>
              <w:jc w:val="center"/>
              <w:rPr>
                <w:color w:val="auto"/>
                <w:kern w:val="0"/>
                <w:sz w:val="21"/>
                <w:szCs w:val="21"/>
                <w:highlight w:val="none"/>
              </w:rPr>
            </w:pPr>
            <w:r>
              <w:rPr>
                <w:color w:val="auto"/>
                <w:kern w:val="0"/>
                <w:sz w:val="21"/>
                <w:szCs w:val="21"/>
                <w:highlight w:val="none"/>
              </w:rPr>
              <w:t>　</w:t>
            </w:r>
          </w:p>
        </w:tc>
      </w:tr>
      <w:tr w14:paraId="41497E34">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5EE29">
            <w:pPr>
              <w:widowControl/>
              <w:spacing w:line="400" w:lineRule="exact"/>
              <w:jc w:val="left"/>
              <w:rPr>
                <w:color w:val="auto"/>
                <w:kern w:val="0"/>
                <w:sz w:val="21"/>
                <w:szCs w:val="21"/>
                <w:highlight w:val="none"/>
              </w:rPr>
            </w:pP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86E247">
            <w:pPr>
              <w:widowControl/>
              <w:spacing w:line="400" w:lineRule="exact"/>
              <w:jc w:val="center"/>
              <w:rPr>
                <w:color w:val="auto"/>
                <w:kern w:val="0"/>
                <w:sz w:val="21"/>
                <w:szCs w:val="21"/>
                <w:highlight w:val="none"/>
              </w:rPr>
            </w:pPr>
            <w:r>
              <w:rPr>
                <w:color w:val="auto"/>
                <w:kern w:val="0"/>
                <w:sz w:val="21"/>
                <w:szCs w:val="21"/>
                <w:highlight w:val="none"/>
              </w:rPr>
              <w:t>牵引降压混合变电所</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2812">
            <w:pPr>
              <w:widowControl/>
              <w:spacing w:line="400" w:lineRule="exact"/>
              <w:jc w:val="center"/>
              <w:rPr>
                <w:color w:val="auto"/>
                <w:kern w:val="0"/>
                <w:sz w:val="21"/>
                <w:szCs w:val="21"/>
                <w:highlight w:val="none"/>
              </w:rPr>
            </w:pPr>
            <w:r>
              <w:rPr>
                <w:color w:val="auto"/>
                <w:kern w:val="0"/>
                <w:sz w:val="21"/>
                <w:szCs w:val="21"/>
                <w:highlight w:val="none"/>
              </w:rPr>
              <w:t>座</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CA514">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6C334">
            <w:pPr>
              <w:widowControl/>
              <w:spacing w:line="400" w:lineRule="exact"/>
              <w:jc w:val="center"/>
              <w:rPr>
                <w:color w:val="auto"/>
                <w:kern w:val="0"/>
                <w:sz w:val="21"/>
                <w:szCs w:val="21"/>
                <w:highlight w:val="none"/>
              </w:rPr>
            </w:pPr>
            <w:r>
              <w:rPr>
                <w:color w:val="auto"/>
                <w:kern w:val="0"/>
                <w:sz w:val="21"/>
                <w:szCs w:val="21"/>
                <w:highlight w:val="none"/>
              </w:rPr>
              <w:t>　</w:t>
            </w:r>
          </w:p>
        </w:tc>
      </w:tr>
      <w:tr w14:paraId="7AE3DE08">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81F3A">
            <w:pPr>
              <w:widowControl/>
              <w:spacing w:line="400" w:lineRule="exact"/>
              <w:jc w:val="left"/>
              <w:rPr>
                <w:color w:val="auto"/>
                <w:kern w:val="0"/>
                <w:sz w:val="21"/>
                <w:szCs w:val="21"/>
                <w:highlight w:val="none"/>
              </w:rPr>
            </w:pP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1AF0CC">
            <w:pPr>
              <w:widowControl/>
              <w:spacing w:line="400" w:lineRule="exact"/>
              <w:jc w:val="center"/>
              <w:rPr>
                <w:color w:val="auto"/>
                <w:kern w:val="0"/>
                <w:sz w:val="21"/>
                <w:szCs w:val="21"/>
                <w:highlight w:val="none"/>
              </w:rPr>
            </w:pPr>
            <w:r>
              <w:rPr>
                <w:color w:val="auto"/>
                <w:kern w:val="0"/>
                <w:sz w:val="21"/>
                <w:szCs w:val="21"/>
                <w:highlight w:val="none"/>
              </w:rPr>
              <w:t>降压变电所</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45EA">
            <w:pPr>
              <w:widowControl/>
              <w:spacing w:line="400" w:lineRule="exact"/>
              <w:jc w:val="center"/>
              <w:rPr>
                <w:color w:val="auto"/>
                <w:kern w:val="0"/>
                <w:sz w:val="21"/>
                <w:szCs w:val="21"/>
                <w:highlight w:val="none"/>
              </w:rPr>
            </w:pPr>
            <w:r>
              <w:rPr>
                <w:color w:val="auto"/>
                <w:kern w:val="0"/>
                <w:sz w:val="21"/>
                <w:szCs w:val="21"/>
                <w:highlight w:val="none"/>
              </w:rPr>
              <w:t>座</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10440">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1D5A">
            <w:pPr>
              <w:widowControl/>
              <w:spacing w:line="400" w:lineRule="exact"/>
              <w:jc w:val="center"/>
              <w:rPr>
                <w:color w:val="auto"/>
                <w:kern w:val="0"/>
                <w:sz w:val="21"/>
                <w:szCs w:val="21"/>
                <w:highlight w:val="none"/>
              </w:rPr>
            </w:pPr>
            <w:r>
              <w:rPr>
                <w:color w:val="auto"/>
                <w:kern w:val="0"/>
                <w:sz w:val="21"/>
                <w:szCs w:val="21"/>
                <w:highlight w:val="none"/>
              </w:rPr>
              <w:t>含跟随所</w:t>
            </w:r>
          </w:p>
        </w:tc>
      </w:tr>
      <w:tr w14:paraId="2B0688D2">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40B42">
            <w:pPr>
              <w:widowControl/>
              <w:spacing w:line="400" w:lineRule="exact"/>
              <w:jc w:val="left"/>
              <w:rPr>
                <w:color w:val="auto"/>
                <w:kern w:val="0"/>
                <w:sz w:val="21"/>
                <w:szCs w:val="21"/>
                <w:highlight w:val="none"/>
              </w:rPr>
            </w:pP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7A298">
            <w:pPr>
              <w:widowControl/>
              <w:spacing w:line="400" w:lineRule="exact"/>
              <w:jc w:val="center"/>
              <w:rPr>
                <w:color w:val="auto"/>
                <w:kern w:val="0"/>
                <w:sz w:val="21"/>
                <w:szCs w:val="21"/>
                <w:highlight w:val="none"/>
              </w:rPr>
            </w:pPr>
            <w:r>
              <w:rPr>
                <w:color w:val="auto"/>
                <w:kern w:val="0"/>
                <w:sz w:val="21"/>
                <w:szCs w:val="21"/>
                <w:highlight w:val="none"/>
              </w:rPr>
              <w:t>环网电缆</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72B58">
            <w:pPr>
              <w:widowControl/>
              <w:spacing w:line="400" w:lineRule="exact"/>
              <w:jc w:val="center"/>
              <w:rPr>
                <w:color w:val="auto"/>
                <w:kern w:val="0"/>
                <w:sz w:val="21"/>
                <w:szCs w:val="21"/>
                <w:highlight w:val="none"/>
              </w:rPr>
            </w:pPr>
            <w:r>
              <w:rPr>
                <w:color w:val="auto"/>
                <w:kern w:val="0"/>
                <w:sz w:val="21"/>
                <w:szCs w:val="21"/>
                <w:highlight w:val="none"/>
              </w:rPr>
              <w:t>条公里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3CF2">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479EA">
            <w:pPr>
              <w:widowControl/>
              <w:spacing w:line="400" w:lineRule="exact"/>
              <w:jc w:val="center"/>
              <w:rPr>
                <w:color w:val="auto"/>
                <w:kern w:val="0"/>
                <w:sz w:val="21"/>
                <w:szCs w:val="21"/>
                <w:highlight w:val="none"/>
              </w:rPr>
            </w:pPr>
            <w:r>
              <w:rPr>
                <w:color w:val="auto"/>
                <w:kern w:val="0"/>
                <w:sz w:val="21"/>
                <w:szCs w:val="21"/>
                <w:highlight w:val="none"/>
              </w:rPr>
              <w:t>　</w:t>
            </w:r>
          </w:p>
        </w:tc>
      </w:tr>
      <w:tr w14:paraId="100E8CC8">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845B9">
            <w:pPr>
              <w:widowControl/>
              <w:spacing w:line="400" w:lineRule="exact"/>
              <w:jc w:val="left"/>
              <w:rPr>
                <w:color w:val="auto"/>
                <w:kern w:val="0"/>
                <w:sz w:val="21"/>
                <w:szCs w:val="21"/>
                <w:highlight w:val="none"/>
              </w:rPr>
            </w:pP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45D0A0">
            <w:pPr>
              <w:widowControl/>
              <w:spacing w:line="400" w:lineRule="exact"/>
              <w:jc w:val="center"/>
              <w:rPr>
                <w:color w:val="auto"/>
                <w:kern w:val="0"/>
                <w:sz w:val="21"/>
                <w:szCs w:val="21"/>
                <w:highlight w:val="none"/>
              </w:rPr>
            </w:pPr>
            <w:r>
              <w:rPr>
                <w:color w:val="auto"/>
                <w:kern w:val="0"/>
                <w:sz w:val="21"/>
                <w:szCs w:val="21"/>
                <w:highlight w:val="none"/>
              </w:rPr>
              <w:t>接触网（轨）</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11EB">
            <w:pPr>
              <w:widowControl/>
              <w:spacing w:line="400" w:lineRule="exact"/>
              <w:jc w:val="center"/>
              <w:rPr>
                <w:color w:val="auto"/>
                <w:kern w:val="0"/>
                <w:sz w:val="21"/>
                <w:szCs w:val="21"/>
                <w:highlight w:val="none"/>
              </w:rPr>
            </w:pPr>
            <w:r>
              <w:rPr>
                <w:color w:val="auto"/>
                <w:kern w:val="0"/>
                <w:sz w:val="21"/>
                <w:szCs w:val="21"/>
                <w:highlight w:val="none"/>
              </w:rPr>
              <w:t>条公里</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7648">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8B7C">
            <w:pPr>
              <w:widowControl/>
              <w:spacing w:line="400" w:lineRule="exact"/>
              <w:jc w:val="center"/>
              <w:rPr>
                <w:color w:val="auto"/>
                <w:kern w:val="0"/>
                <w:sz w:val="21"/>
                <w:szCs w:val="21"/>
                <w:highlight w:val="none"/>
              </w:rPr>
            </w:pPr>
            <w:r>
              <w:rPr>
                <w:color w:val="auto"/>
                <w:kern w:val="0"/>
                <w:sz w:val="21"/>
                <w:szCs w:val="21"/>
                <w:highlight w:val="none"/>
              </w:rPr>
              <w:t>　</w:t>
            </w:r>
          </w:p>
        </w:tc>
      </w:tr>
      <w:tr w14:paraId="2457D7FC">
        <w:tblPrEx>
          <w:tblCellMar>
            <w:top w:w="0" w:type="dxa"/>
            <w:left w:w="108" w:type="dxa"/>
            <w:bottom w:w="0" w:type="dxa"/>
            <w:right w:w="108" w:type="dxa"/>
          </w:tblCellMar>
        </w:tblPrEx>
        <w:trPr>
          <w:cantSplit/>
          <w:trHeight w:val="20" w:hRule="atLeast"/>
        </w:trPr>
        <w:tc>
          <w:tcPr>
            <w:tcW w:w="1311" w:type="dxa"/>
            <w:vMerge w:val="restart"/>
            <w:tcBorders>
              <w:top w:val="single" w:color="000000" w:sz="4" w:space="0"/>
              <w:left w:val="single" w:color="000000" w:sz="4" w:space="0"/>
              <w:right w:val="single" w:color="000000" w:sz="4" w:space="0"/>
            </w:tcBorders>
            <w:shd w:val="clear" w:color="auto" w:fill="FFFFFF"/>
            <w:vAlign w:val="center"/>
          </w:tcPr>
          <w:p w14:paraId="76D6B768">
            <w:pPr>
              <w:widowControl/>
              <w:spacing w:line="400" w:lineRule="exact"/>
              <w:jc w:val="center"/>
              <w:rPr>
                <w:color w:val="auto"/>
                <w:kern w:val="0"/>
                <w:sz w:val="21"/>
                <w:szCs w:val="21"/>
                <w:highlight w:val="none"/>
              </w:rPr>
            </w:pPr>
            <w:r>
              <w:rPr>
                <w:color w:val="auto"/>
                <w:kern w:val="0"/>
                <w:sz w:val="21"/>
                <w:szCs w:val="21"/>
                <w:highlight w:val="none"/>
              </w:rPr>
              <w:t>运营管理</w:t>
            </w:r>
          </w:p>
          <w:p w14:paraId="3F9ED1AF">
            <w:pPr>
              <w:widowControl/>
              <w:spacing w:line="400" w:lineRule="exact"/>
              <w:jc w:val="center"/>
              <w:rPr>
                <w:color w:val="auto"/>
                <w:kern w:val="0"/>
                <w:sz w:val="21"/>
                <w:szCs w:val="21"/>
                <w:highlight w:val="none"/>
              </w:rPr>
            </w:pPr>
            <w:r>
              <w:rPr>
                <w:color w:val="auto"/>
                <w:kern w:val="0"/>
                <w:sz w:val="21"/>
                <w:szCs w:val="21"/>
                <w:highlight w:val="none"/>
              </w:rPr>
              <w:t>房屋</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7E4468">
            <w:pPr>
              <w:widowControl/>
              <w:spacing w:line="400" w:lineRule="exact"/>
              <w:jc w:val="center"/>
              <w:rPr>
                <w:color w:val="auto"/>
                <w:kern w:val="0"/>
                <w:sz w:val="21"/>
                <w:szCs w:val="21"/>
                <w:highlight w:val="none"/>
              </w:rPr>
            </w:pPr>
            <w:r>
              <w:rPr>
                <w:rFonts w:hint="eastAsia"/>
                <w:color w:val="auto"/>
                <w:kern w:val="0"/>
                <w:sz w:val="21"/>
                <w:szCs w:val="21"/>
                <w:highlight w:val="none"/>
              </w:rPr>
              <w:t>运营控制中心</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C403D">
            <w:pPr>
              <w:widowControl/>
              <w:spacing w:line="400" w:lineRule="exact"/>
              <w:jc w:val="center"/>
              <w:rPr>
                <w:color w:val="auto"/>
                <w:kern w:val="0"/>
                <w:sz w:val="21"/>
                <w:szCs w:val="21"/>
                <w:highlight w:val="none"/>
              </w:rPr>
            </w:pPr>
            <w:r>
              <w:rPr>
                <w:rFonts w:hint="eastAsia"/>
                <w:color w:val="auto"/>
                <w:kern w:val="0"/>
                <w:sz w:val="21"/>
                <w:szCs w:val="21"/>
                <w:highlight w:val="none"/>
              </w:rPr>
              <w:t>平方米</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87EA">
            <w:pPr>
              <w:widowControl/>
              <w:spacing w:line="400" w:lineRule="exact"/>
              <w:jc w:val="left"/>
              <w:rPr>
                <w:color w:val="auto"/>
                <w:kern w:val="0"/>
                <w:sz w:val="21"/>
                <w:szCs w:val="21"/>
                <w:highlight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1192">
            <w:pPr>
              <w:widowControl/>
              <w:spacing w:line="400" w:lineRule="exact"/>
              <w:jc w:val="center"/>
              <w:rPr>
                <w:color w:val="auto"/>
                <w:kern w:val="0"/>
                <w:sz w:val="21"/>
                <w:szCs w:val="21"/>
                <w:highlight w:val="none"/>
              </w:rPr>
            </w:pPr>
          </w:p>
        </w:tc>
      </w:tr>
      <w:tr w14:paraId="474CAC90">
        <w:tblPrEx>
          <w:tblCellMar>
            <w:top w:w="0" w:type="dxa"/>
            <w:left w:w="108" w:type="dxa"/>
            <w:bottom w:w="0" w:type="dxa"/>
            <w:right w:w="108" w:type="dxa"/>
          </w:tblCellMar>
        </w:tblPrEx>
        <w:trPr>
          <w:cantSplit/>
          <w:trHeight w:val="20" w:hRule="atLeast"/>
        </w:trPr>
        <w:tc>
          <w:tcPr>
            <w:tcW w:w="1311" w:type="dxa"/>
            <w:vMerge w:val="continue"/>
            <w:tcBorders>
              <w:left w:val="single" w:color="000000" w:sz="4" w:space="0"/>
              <w:bottom w:val="single" w:color="000000" w:sz="4" w:space="0"/>
              <w:right w:val="single" w:color="000000" w:sz="4" w:space="0"/>
            </w:tcBorders>
            <w:shd w:val="clear" w:color="auto" w:fill="FFFFFF"/>
            <w:vAlign w:val="center"/>
          </w:tcPr>
          <w:p w14:paraId="7BF505E2">
            <w:pPr>
              <w:widowControl/>
              <w:spacing w:line="400" w:lineRule="exact"/>
              <w:jc w:val="left"/>
              <w:rPr>
                <w:color w:val="auto"/>
                <w:kern w:val="0"/>
                <w:sz w:val="21"/>
                <w:szCs w:val="21"/>
                <w:highlight w:val="none"/>
              </w:rPr>
            </w:pP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87AFAE">
            <w:pPr>
              <w:widowControl/>
              <w:spacing w:line="400" w:lineRule="exact"/>
              <w:jc w:val="center"/>
              <w:rPr>
                <w:color w:val="auto"/>
                <w:kern w:val="0"/>
                <w:sz w:val="21"/>
                <w:szCs w:val="21"/>
                <w:highlight w:val="none"/>
              </w:rPr>
            </w:pPr>
            <w:r>
              <w:rPr>
                <w:rFonts w:hint="eastAsia"/>
                <w:color w:val="auto"/>
                <w:kern w:val="0"/>
                <w:sz w:val="21"/>
                <w:szCs w:val="21"/>
                <w:highlight w:val="none"/>
              </w:rPr>
              <w:t>其他</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7E36">
            <w:pPr>
              <w:widowControl/>
              <w:spacing w:line="400" w:lineRule="exact"/>
              <w:jc w:val="center"/>
              <w:rPr>
                <w:color w:val="auto"/>
                <w:kern w:val="0"/>
                <w:sz w:val="21"/>
                <w:szCs w:val="21"/>
                <w:highlight w:val="none"/>
              </w:rPr>
            </w:pPr>
            <w:r>
              <w:rPr>
                <w:rFonts w:hint="eastAsia"/>
                <w:color w:val="auto"/>
                <w:kern w:val="0"/>
                <w:sz w:val="21"/>
                <w:szCs w:val="21"/>
                <w:highlight w:val="none"/>
              </w:rPr>
              <w:t>平方米</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423F2">
            <w:pPr>
              <w:widowControl/>
              <w:spacing w:line="400" w:lineRule="exact"/>
              <w:jc w:val="left"/>
              <w:rPr>
                <w:color w:val="auto"/>
                <w:kern w:val="0"/>
                <w:sz w:val="21"/>
                <w:szCs w:val="21"/>
                <w:highlight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26C9">
            <w:pPr>
              <w:widowControl/>
              <w:spacing w:line="400" w:lineRule="exact"/>
              <w:jc w:val="center"/>
              <w:rPr>
                <w:color w:val="auto"/>
                <w:kern w:val="0"/>
                <w:sz w:val="21"/>
                <w:szCs w:val="21"/>
                <w:highlight w:val="none"/>
              </w:rPr>
            </w:pPr>
          </w:p>
        </w:tc>
      </w:tr>
      <w:tr w14:paraId="70B66C0B">
        <w:tblPrEx>
          <w:tblCellMar>
            <w:top w:w="0" w:type="dxa"/>
            <w:left w:w="108" w:type="dxa"/>
            <w:bottom w:w="0" w:type="dxa"/>
            <w:right w:w="108" w:type="dxa"/>
          </w:tblCellMar>
        </w:tblPrEx>
        <w:trPr>
          <w:cantSplit/>
          <w:trHeight w:val="20" w:hRule="atLeast"/>
        </w:trPr>
        <w:tc>
          <w:tcPr>
            <w:tcW w:w="1311" w:type="dxa"/>
            <w:vMerge w:val="restart"/>
            <w:tcBorders>
              <w:left w:val="single" w:color="000000" w:sz="4" w:space="0"/>
              <w:right w:val="single" w:color="000000" w:sz="4" w:space="0"/>
            </w:tcBorders>
            <w:shd w:val="clear" w:color="auto" w:fill="FFFFFF"/>
            <w:vAlign w:val="center"/>
          </w:tcPr>
          <w:p w14:paraId="41E6BD8A">
            <w:pPr>
              <w:widowControl/>
              <w:spacing w:line="400" w:lineRule="exact"/>
              <w:jc w:val="center"/>
              <w:rPr>
                <w:color w:val="auto"/>
                <w:kern w:val="0"/>
                <w:sz w:val="21"/>
                <w:szCs w:val="21"/>
                <w:highlight w:val="none"/>
              </w:rPr>
            </w:pPr>
            <w:r>
              <w:rPr>
                <w:color w:val="auto"/>
                <w:kern w:val="0"/>
                <w:sz w:val="21"/>
                <w:szCs w:val="21"/>
                <w:highlight w:val="none"/>
              </w:rPr>
              <w:t>站内客运</w:t>
            </w:r>
          </w:p>
          <w:p w14:paraId="79134843">
            <w:pPr>
              <w:widowControl/>
              <w:spacing w:line="400" w:lineRule="exact"/>
              <w:jc w:val="center"/>
              <w:rPr>
                <w:color w:val="auto"/>
                <w:kern w:val="0"/>
                <w:sz w:val="21"/>
                <w:szCs w:val="21"/>
                <w:highlight w:val="none"/>
              </w:rPr>
            </w:pPr>
            <w:r>
              <w:rPr>
                <w:color w:val="auto"/>
                <w:kern w:val="0"/>
                <w:sz w:val="21"/>
                <w:szCs w:val="21"/>
                <w:highlight w:val="none"/>
              </w:rPr>
              <w:t>设备</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3D0039">
            <w:pPr>
              <w:widowControl/>
              <w:spacing w:line="400" w:lineRule="exact"/>
              <w:jc w:val="center"/>
              <w:rPr>
                <w:color w:val="auto"/>
                <w:kern w:val="0"/>
                <w:sz w:val="21"/>
                <w:szCs w:val="21"/>
                <w:highlight w:val="none"/>
              </w:rPr>
            </w:pPr>
            <w:r>
              <w:rPr>
                <w:rFonts w:hint="eastAsia"/>
                <w:color w:val="auto"/>
                <w:kern w:val="0"/>
                <w:sz w:val="21"/>
                <w:szCs w:val="21"/>
                <w:highlight w:val="none"/>
              </w:rPr>
              <w:t>自动扶梯</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6DB8">
            <w:pPr>
              <w:widowControl/>
              <w:spacing w:line="400" w:lineRule="exact"/>
              <w:jc w:val="center"/>
              <w:rPr>
                <w:color w:val="auto"/>
                <w:kern w:val="0"/>
                <w:sz w:val="21"/>
                <w:szCs w:val="21"/>
                <w:highlight w:val="none"/>
              </w:rPr>
            </w:pPr>
            <w:r>
              <w:rPr>
                <w:rFonts w:hint="eastAsia"/>
                <w:color w:val="auto"/>
                <w:kern w:val="0"/>
                <w:sz w:val="21"/>
                <w:szCs w:val="21"/>
                <w:highlight w:val="none"/>
              </w:rPr>
              <w:t>部</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7DD28">
            <w:pPr>
              <w:widowControl/>
              <w:spacing w:line="400" w:lineRule="exact"/>
              <w:jc w:val="left"/>
              <w:rPr>
                <w:color w:val="auto"/>
                <w:kern w:val="0"/>
                <w:sz w:val="21"/>
                <w:szCs w:val="21"/>
                <w:highlight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75D6">
            <w:pPr>
              <w:widowControl/>
              <w:spacing w:line="400" w:lineRule="exact"/>
              <w:jc w:val="center"/>
              <w:rPr>
                <w:color w:val="auto"/>
                <w:kern w:val="0"/>
                <w:sz w:val="21"/>
                <w:szCs w:val="21"/>
                <w:highlight w:val="none"/>
              </w:rPr>
            </w:pPr>
          </w:p>
        </w:tc>
      </w:tr>
      <w:tr w14:paraId="093B47A4">
        <w:tblPrEx>
          <w:tblCellMar>
            <w:top w:w="0" w:type="dxa"/>
            <w:left w:w="108" w:type="dxa"/>
            <w:bottom w:w="0" w:type="dxa"/>
            <w:right w:w="108" w:type="dxa"/>
          </w:tblCellMar>
        </w:tblPrEx>
        <w:trPr>
          <w:cantSplit/>
          <w:trHeight w:val="20" w:hRule="atLeast"/>
        </w:trPr>
        <w:tc>
          <w:tcPr>
            <w:tcW w:w="1311" w:type="dxa"/>
            <w:vMerge w:val="continue"/>
            <w:tcBorders>
              <w:left w:val="single" w:color="000000" w:sz="4" w:space="0"/>
              <w:right w:val="single" w:color="000000" w:sz="4" w:space="0"/>
            </w:tcBorders>
            <w:shd w:val="clear" w:color="auto" w:fill="FFFFFF"/>
            <w:vAlign w:val="center"/>
          </w:tcPr>
          <w:p w14:paraId="367E3656">
            <w:pPr>
              <w:widowControl/>
              <w:spacing w:line="400" w:lineRule="exact"/>
              <w:jc w:val="left"/>
              <w:rPr>
                <w:color w:val="auto"/>
                <w:kern w:val="0"/>
                <w:sz w:val="21"/>
                <w:szCs w:val="21"/>
                <w:highlight w:val="none"/>
              </w:rPr>
            </w:pP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15B2DB">
            <w:pPr>
              <w:widowControl/>
              <w:spacing w:line="400" w:lineRule="exact"/>
              <w:jc w:val="center"/>
              <w:rPr>
                <w:color w:val="auto"/>
                <w:kern w:val="0"/>
                <w:sz w:val="21"/>
                <w:szCs w:val="21"/>
                <w:highlight w:val="none"/>
              </w:rPr>
            </w:pPr>
            <w:r>
              <w:rPr>
                <w:rFonts w:hint="eastAsia"/>
                <w:color w:val="auto"/>
                <w:kern w:val="0"/>
                <w:sz w:val="21"/>
                <w:szCs w:val="21"/>
                <w:highlight w:val="none"/>
              </w:rPr>
              <w:t>电梯</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1508F">
            <w:pPr>
              <w:widowControl/>
              <w:spacing w:line="400" w:lineRule="exact"/>
              <w:jc w:val="center"/>
              <w:rPr>
                <w:color w:val="auto"/>
                <w:kern w:val="0"/>
                <w:sz w:val="21"/>
                <w:szCs w:val="21"/>
                <w:highlight w:val="none"/>
              </w:rPr>
            </w:pPr>
            <w:r>
              <w:rPr>
                <w:rFonts w:hint="eastAsia"/>
                <w:color w:val="auto"/>
                <w:kern w:val="0"/>
                <w:sz w:val="21"/>
                <w:szCs w:val="21"/>
                <w:highlight w:val="none"/>
              </w:rPr>
              <w:t>部</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131F8">
            <w:pPr>
              <w:widowControl/>
              <w:spacing w:line="400" w:lineRule="exact"/>
              <w:jc w:val="left"/>
              <w:rPr>
                <w:color w:val="auto"/>
                <w:kern w:val="0"/>
                <w:sz w:val="21"/>
                <w:szCs w:val="21"/>
                <w:highlight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297D9">
            <w:pPr>
              <w:widowControl/>
              <w:spacing w:line="400" w:lineRule="exact"/>
              <w:jc w:val="center"/>
              <w:rPr>
                <w:color w:val="auto"/>
                <w:kern w:val="0"/>
                <w:sz w:val="21"/>
                <w:szCs w:val="21"/>
                <w:highlight w:val="none"/>
              </w:rPr>
            </w:pPr>
          </w:p>
        </w:tc>
      </w:tr>
      <w:tr w14:paraId="13D044DD">
        <w:tblPrEx>
          <w:tblCellMar>
            <w:top w:w="0" w:type="dxa"/>
            <w:left w:w="108" w:type="dxa"/>
            <w:bottom w:w="0" w:type="dxa"/>
            <w:right w:w="108" w:type="dxa"/>
          </w:tblCellMar>
        </w:tblPrEx>
        <w:trPr>
          <w:cantSplit/>
          <w:trHeight w:val="20" w:hRule="atLeast"/>
        </w:trPr>
        <w:tc>
          <w:tcPr>
            <w:tcW w:w="1311" w:type="dxa"/>
            <w:vMerge w:val="continue"/>
            <w:tcBorders>
              <w:left w:val="single" w:color="000000" w:sz="4" w:space="0"/>
              <w:right w:val="single" w:color="000000" w:sz="4" w:space="0"/>
            </w:tcBorders>
            <w:shd w:val="clear" w:color="auto" w:fill="FFFFFF"/>
            <w:vAlign w:val="center"/>
          </w:tcPr>
          <w:p w14:paraId="12E4529A">
            <w:pPr>
              <w:widowControl/>
              <w:spacing w:line="400" w:lineRule="exact"/>
              <w:jc w:val="left"/>
              <w:rPr>
                <w:color w:val="auto"/>
                <w:kern w:val="0"/>
                <w:sz w:val="21"/>
                <w:szCs w:val="21"/>
                <w:highlight w:val="none"/>
              </w:rPr>
            </w:pP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F3124D">
            <w:pPr>
              <w:widowControl/>
              <w:spacing w:line="400" w:lineRule="exact"/>
              <w:jc w:val="center"/>
              <w:rPr>
                <w:color w:val="auto"/>
                <w:kern w:val="0"/>
                <w:sz w:val="21"/>
                <w:szCs w:val="21"/>
                <w:highlight w:val="none"/>
              </w:rPr>
            </w:pPr>
            <w:r>
              <w:rPr>
                <w:rFonts w:hint="eastAsia"/>
                <w:color w:val="auto"/>
                <w:kern w:val="0"/>
                <w:sz w:val="21"/>
                <w:szCs w:val="21"/>
                <w:highlight w:val="none"/>
              </w:rPr>
              <w:t>自动人行道</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463B6">
            <w:pPr>
              <w:widowControl/>
              <w:spacing w:line="400" w:lineRule="exact"/>
              <w:jc w:val="center"/>
              <w:rPr>
                <w:color w:val="auto"/>
                <w:kern w:val="0"/>
                <w:sz w:val="21"/>
                <w:szCs w:val="21"/>
                <w:highlight w:val="none"/>
              </w:rPr>
            </w:pPr>
            <w:r>
              <w:rPr>
                <w:rFonts w:hint="eastAsia"/>
                <w:color w:val="auto"/>
                <w:kern w:val="0"/>
                <w:sz w:val="21"/>
                <w:szCs w:val="21"/>
                <w:highlight w:val="none"/>
              </w:rPr>
              <w:t>部</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7BBD8">
            <w:pPr>
              <w:widowControl/>
              <w:spacing w:line="400" w:lineRule="exact"/>
              <w:jc w:val="left"/>
              <w:rPr>
                <w:color w:val="auto"/>
                <w:kern w:val="0"/>
                <w:sz w:val="21"/>
                <w:szCs w:val="21"/>
                <w:highlight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06D9E">
            <w:pPr>
              <w:widowControl/>
              <w:spacing w:line="400" w:lineRule="exact"/>
              <w:jc w:val="center"/>
              <w:rPr>
                <w:color w:val="auto"/>
                <w:kern w:val="0"/>
                <w:sz w:val="21"/>
                <w:szCs w:val="21"/>
                <w:highlight w:val="none"/>
              </w:rPr>
            </w:pPr>
          </w:p>
        </w:tc>
      </w:tr>
      <w:tr w14:paraId="012C7ED7">
        <w:tblPrEx>
          <w:tblCellMar>
            <w:top w:w="0" w:type="dxa"/>
            <w:left w:w="108" w:type="dxa"/>
            <w:bottom w:w="0" w:type="dxa"/>
            <w:right w:w="108" w:type="dxa"/>
          </w:tblCellMar>
        </w:tblPrEx>
        <w:trPr>
          <w:cantSplit/>
          <w:trHeight w:val="20" w:hRule="atLeast"/>
        </w:trPr>
        <w:tc>
          <w:tcPr>
            <w:tcW w:w="1311" w:type="dxa"/>
            <w:vMerge w:val="continue"/>
            <w:tcBorders>
              <w:left w:val="single" w:color="000000" w:sz="4" w:space="0"/>
              <w:bottom w:val="single" w:color="000000" w:sz="4" w:space="0"/>
              <w:right w:val="single" w:color="000000" w:sz="4" w:space="0"/>
            </w:tcBorders>
            <w:shd w:val="clear" w:color="auto" w:fill="FFFFFF"/>
            <w:vAlign w:val="center"/>
          </w:tcPr>
          <w:p w14:paraId="4E712F8D">
            <w:pPr>
              <w:widowControl/>
              <w:spacing w:line="400" w:lineRule="exact"/>
              <w:jc w:val="left"/>
              <w:rPr>
                <w:color w:val="auto"/>
                <w:kern w:val="0"/>
                <w:sz w:val="21"/>
                <w:szCs w:val="21"/>
                <w:highlight w:val="none"/>
              </w:rPr>
            </w:pP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D41912">
            <w:pPr>
              <w:widowControl/>
              <w:spacing w:line="400" w:lineRule="exact"/>
              <w:jc w:val="center"/>
              <w:rPr>
                <w:color w:val="auto"/>
                <w:kern w:val="0"/>
                <w:sz w:val="21"/>
                <w:szCs w:val="21"/>
                <w:highlight w:val="none"/>
              </w:rPr>
            </w:pPr>
            <w:r>
              <w:rPr>
                <w:rFonts w:hint="eastAsia"/>
                <w:color w:val="auto"/>
                <w:kern w:val="0"/>
                <w:sz w:val="21"/>
                <w:szCs w:val="21"/>
                <w:highlight w:val="none"/>
              </w:rPr>
              <w:t>轮椅升降台</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A7764">
            <w:pPr>
              <w:widowControl/>
              <w:spacing w:line="400" w:lineRule="exact"/>
              <w:jc w:val="center"/>
              <w:rPr>
                <w:color w:val="auto"/>
                <w:kern w:val="0"/>
                <w:sz w:val="21"/>
                <w:szCs w:val="21"/>
                <w:highlight w:val="none"/>
              </w:rPr>
            </w:pPr>
            <w:r>
              <w:rPr>
                <w:rFonts w:hint="eastAsia"/>
                <w:color w:val="auto"/>
                <w:kern w:val="0"/>
                <w:sz w:val="21"/>
                <w:szCs w:val="21"/>
                <w:highlight w:val="none"/>
              </w:rPr>
              <w:t>部</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F285">
            <w:pPr>
              <w:widowControl/>
              <w:spacing w:line="400" w:lineRule="exact"/>
              <w:jc w:val="left"/>
              <w:rPr>
                <w:color w:val="auto"/>
                <w:kern w:val="0"/>
                <w:sz w:val="21"/>
                <w:szCs w:val="21"/>
                <w:highlight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1B26">
            <w:pPr>
              <w:widowControl/>
              <w:spacing w:line="400" w:lineRule="exact"/>
              <w:jc w:val="center"/>
              <w:rPr>
                <w:color w:val="auto"/>
                <w:kern w:val="0"/>
                <w:sz w:val="21"/>
                <w:szCs w:val="21"/>
                <w:highlight w:val="none"/>
              </w:rPr>
            </w:pPr>
          </w:p>
        </w:tc>
      </w:tr>
      <w:tr w14:paraId="6BD9330D">
        <w:tblPrEx>
          <w:tblCellMar>
            <w:top w:w="0" w:type="dxa"/>
            <w:left w:w="108" w:type="dxa"/>
            <w:bottom w:w="0" w:type="dxa"/>
            <w:right w:w="108" w:type="dxa"/>
          </w:tblCellMar>
        </w:tblPrEx>
        <w:trPr>
          <w:cantSplit/>
          <w:trHeight w:val="20"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FA9DE2">
            <w:pPr>
              <w:widowControl/>
              <w:spacing w:line="400" w:lineRule="exact"/>
              <w:jc w:val="center"/>
              <w:rPr>
                <w:color w:val="auto"/>
                <w:kern w:val="0"/>
                <w:sz w:val="21"/>
                <w:szCs w:val="21"/>
                <w:highlight w:val="none"/>
              </w:rPr>
            </w:pPr>
            <w:r>
              <w:rPr>
                <w:rFonts w:hint="eastAsia"/>
                <w:color w:val="auto"/>
                <w:kern w:val="0"/>
                <w:sz w:val="21"/>
                <w:szCs w:val="21"/>
                <w:highlight w:val="none"/>
              </w:rPr>
              <w:t>车辆基地</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518F3">
            <w:pPr>
              <w:widowControl/>
              <w:spacing w:line="400" w:lineRule="exact"/>
              <w:jc w:val="center"/>
              <w:rPr>
                <w:color w:val="auto"/>
                <w:kern w:val="0"/>
                <w:sz w:val="21"/>
                <w:szCs w:val="21"/>
                <w:highlight w:val="none"/>
              </w:rPr>
            </w:pPr>
            <w:r>
              <w:rPr>
                <w:rFonts w:hint="eastAsia"/>
                <w:color w:val="auto"/>
                <w:kern w:val="0"/>
                <w:sz w:val="21"/>
                <w:szCs w:val="21"/>
                <w:highlight w:val="none"/>
              </w:rPr>
              <w:t>车辆段</w:t>
            </w: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2E5EC">
            <w:pPr>
              <w:widowControl/>
              <w:spacing w:line="400" w:lineRule="exact"/>
              <w:jc w:val="center"/>
              <w:rPr>
                <w:color w:val="auto"/>
                <w:kern w:val="0"/>
                <w:sz w:val="21"/>
                <w:szCs w:val="21"/>
                <w:highlight w:val="none"/>
              </w:rPr>
            </w:pPr>
            <w:r>
              <w:rPr>
                <w:rFonts w:hint="eastAsia"/>
                <w:color w:val="auto"/>
                <w:kern w:val="0"/>
                <w:sz w:val="21"/>
                <w:szCs w:val="21"/>
                <w:highlight w:val="none"/>
              </w:rPr>
              <w:t>占地</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E87E9">
            <w:pPr>
              <w:widowControl/>
              <w:spacing w:line="400" w:lineRule="exact"/>
              <w:jc w:val="center"/>
              <w:rPr>
                <w:color w:val="auto"/>
                <w:kern w:val="0"/>
                <w:sz w:val="21"/>
                <w:szCs w:val="21"/>
                <w:highlight w:val="none"/>
              </w:rPr>
            </w:pPr>
            <w:r>
              <w:rPr>
                <w:rFonts w:hint="eastAsia"/>
                <w:color w:val="auto"/>
                <w:kern w:val="0"/>
                <w:sz w:val="21"/>
                <w:szCs w:val="21"/>
                <w:highlight w:val="none"/>
              </w:rPr>
              <w:t>公顷</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D473E">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B207D">
            <w:pPr>
              <w:widowControl/>
              <w:spacing w:line="400" w:lineRule="exact"/>
              <w:jc w:val="center"/>
              <w:rPr>
                <w:color w:val="auto"/>
                <w:kern w:val="0"/>
                <w:sz w:val="21"/>
                <w:szCs w:val="21"/>
                <w:highlight w:val="none"/>
              </w:rPr>
            </w:pPr>
            <w:r>
              <w:rPr>
                <w:color w:val="auto"/>
                <w:kern w:val="0"/>
                <w:sz w:val="21"/>
                <w:szCs w:val="21"/>
                <w:highlight w:val="none"/>
              </w:rPr>
              <w:t>　</w:t>
            </w:r>
          </w:p>
        </w:tc>
      </w:tr>
      <w:tr w14:paraId="069E1042">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FA8BE">
            <w:pPr>
              <w:jc w:val="center"/>
              <w:rPr>
                <w:color w:val="auto"/>
                <w:kern w:val="0"/>
                <w:sz w:val="21"/>
                <w:szCs w:val="21"/>
                <w:highlight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553F9">
            <w:pPr>
              <w:jc w:val="center"/>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F49F8">
            <w:pPr>
              <w:widowControl/>
              <w:jc w:val="center"/>
              <w:textAlignment w:val="center"/>
              <w:rPr>
                <w:color w:val="auto"/>
                <w:kern w:val="0"/>
                <w:sz w:val="21"/>
                <w:szCs w:val="21"/>
                <w:highlight w:val="none"/>
              </w:rPr>
            </w:pPr>
            <w:r>
              <w:rPr>
                <w:rFonts w:hint="eastAsia"/>
                <w:color w:val="auto"/>
                <w:kern w:val="0"/>
                <w:sz w:val="21"/>
                <w:szCs w:val="21"/>
                <w:highlight w:val="none"/>
              </w:rPr>
              <w:t>生产办公房屋</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39070">
            <w:pPr>
              <w:widowControl/>
              <w:jc w:val="center"/>
              <w:textAlignment w:val="center"/>
              <w:rPr>
                <w:color w:val="auto"/>
                <w:kern w:val="0"/>
                <w:sz w:val="21"/>
                <w:szCs w:val="21"/>
                <w:highlight w:val="none"/>
              </w:rPr>
            </w:pPr>
            <w:r>
              <w:rPr>
                <w:rFonts w:hint="eastAsia"/>
                <w:color w:val="auto"/>
                <w:kern w:val="0"/>
                <w:sz w:val="21"/>
                <w:szCs w:val="21"/>
                <w:highlight w:val="none"/>
              </w:rPr>
              <w:t>平方米</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E512">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D6F7D">
            <w:pPr>
              <w:widowControl/>
              <w:spacing w:line="400" w:lineRule="exact"/>
              <w:jc w:val="center"/>
              <w:rPr>
                <w:color w:val="auto"/>
                <w:kern w:val="0"/>
                <w:sz w:val="21"/>
                <w:szCs w:val="21"/>
                <w:highlight w:val="none"/>
              </w:rPr>
            </w:pPr>
            <w:r>
              <w:rPr>
                <w:color w:val="auto"/>
                <w:kern w:val="0"/>
                <w:sz w:val="21"/>
                <w:szCs w:val="21"/>
                <w:highlight w:val="none"/>
              </w:rPr>
              <w:t>　</w:t>
            </w:r>
          </w:p>
        </w:tc>
      </w:tr>
      <w:tr w14:paraId="4B35A902">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5C754">
            <w:pPr>
              <w:jc w:val="center"/>
              <w:rPr>
                <w:color w:val="auto"/>
                <w:kern w:val="0"/>
                <w:sz w:val="21"/>
                <w:szCs w:val="21"/>
                <w:highlight w:val="none"/>
              </w:rPr>
            </w:pP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B4163">
            <w:pPr>
              <w:widowControl/>
              <w:jc w:val="center"/>
              <w:textAlignment w:val="center"/>
              <w:rPr>
                <w:color w:val="auto"/>
                <w:kern w:val="0"/>
                <w:sz w:val="21"/>
                <w:szCs w:val="21"/>
                <w:highlight w:val="none"/>
              </w:rPr>
            </w:pPr>
            <w:r>
              <w:rPr>
                <w:rFonts w:hint="eastAsia"/>
                <w:color w:val="auto"/>
                <w:kern w:val="0"/>
                <w:sz w:val="21"/>
                <w:szCs w:val="21"/>
                <w:highlight w:val="none"/>
              </w:rPr>
              <w:t>停车场</w:t>
            </w: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A3352">
            <w:pPr>
              <w:widowControl/>
              <w:jc w:val="center"/>
              <w:textAlignment w:val="center"/>
              <w:rPr>
                <w:color w:val="auto"/>
                <w:kern w:val="0"/>
                <w:sz w:val="21"/>
                <w:szCs w:val="21"/>
                <w:highlight w:val="none"/>
              </w:rPr>
            </w:pPr>
            <w:r>
              <w:rPr>
                <w:rFonts w:hint="eastAsia"/>
                <w:color w:val="auto"/>
                <w:kern w:val="0"/>
                <w:sz w:val="21"/>
                <w:szCs w:val="21"/>
                <w:highlight w:val="none"/>
              </w:rPr>
              <w:t>占地</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328A8">
            <w:pPr>
              <w:widowControl/>
              <w:jc w:val="center"/>
              <w:textAlignment w:val="center"/>
              <w:rPr>
                <w:color w:val="auto"/>
                <w:kern w:val="0"/>
                <w:sz w:val="21"/>
                <w:szCs w:val="21"/>
                <w:highlight w:val="none"/>
              </w:rPr>
            </w:pPr>
            <w:r>
              <w:rPr>
                <w:rFonts w:hint="eastAsia"/>
                <w:color w:val="auto"/>
                <w:kern w:val="0"/>
                <w:sz w:val="21"/>
                <w:szCs w:val="21"/>
                <w:highlight w:val="none"/>
              </w:rPr>
              <w:t>公顷</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719F9">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D3FE">
            <w:pPr>
              <w:widowControl/>
              <w:spacing w:line="400" w:lineRule="exact"/>
              <w:jc w:val="center"/>
              <w:rPr>
                <w:color w:val="auto"/>
                <w:kern w:val="0"/>
                <w:sz w:val="21"/>
                <w:szCs w:val="21"/>
                <w:highlight w:val="none"/>
              </w:rPr>
            </w:pPr>
            <w:r>
              <w:rPr>
                <w:color w:val="auto"/>
                <w:kern w:val="0"/>
                <w:sz w:val="21"/>
                <w:szCs w:val="21"/>
                <w:highlight w:val="none"/>
              </w:rPr>
              <w:t>　</w:t>
            </w:r>
          </w:p>
        </w:tc>
      </w:tr>
      <w:tr w14:paraId="4C42C628">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1BF17">
            <w:pPr>
              <w:jc w:val="center"/>
              <w:rPr>
                <w:color w:val="auto"/>
                <w:kern w:val="0"/>
                <w:sz w:val="21"/>
                <w:szCs w:val="21"/>
                <w:highlight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80013">
            <w:pPr>
              <w:jc w:val="center"/>
              <w:rPr>
                <w:color w:val="auto"/>
                <w:kern w:val="0"/>
                <w:sz w:val="21"/>
                <w:szCs w:val="21"/>
                <w:highlight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E6C58">
            <w:pPr>
              <w:widowControl/>
              <w:jc w:val="center"/>
              <w:textAlignment w:val="center"/>
              <w:rPr>
                <w:color w:val="auto"/>
                <w:kern w:val="0"/>
                <w:sz w:val="21"/>
                <w:szCs w:val="21"/>
                <w:highlight w:val="none"/>
              </w:rPr>
            </w:pPr>
            <w:r>
              <w:rPr>
                <w:rFonts w:hint="eastAsia"/>
                <w:color w:val="auto"/>
                <w:kern w:val="0"/>
                <w:sz w:val="21"/>
                <w:szCs w:val="21"/>
                <w:highlight w:val="none"/>
              </w:rPr>
              <w:t>生产办公房屋</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E2D4A">
            <w:pPr>
              <w:widowControl/>
              <w:jc w:val="center"/>
              <w:textAlignment w:val="center"/>
              <w:rPr>
                <w:color w:val="auto"/>
                <w:kern w:val="0"/>
                <w:sz w:val="21"/>
                <w:szCs w:val="21"/>
                <w:highlight w:val="none"/>
              </w:rPr>
            </w:pPr>
            <w:r>
              <w:rPr>
                <w:rFonts w:hint="eastAsia"/>
                <w:color w:val="auto"/>
                <w:kern w:val="0"/>
                <w:sz w:val="21"/>
                <w:szCs w:val="21"/>
                <w:highlight w:val="none"/>
              </w:rPr>
              <w:t>平方米</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DFD40">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D00D">
            <w:pPr>
              <w:widowControl/>
              <w:spacing w:line="400" w:lineRule="exact"/>
              <w:jc w:val="center"/>
              <w:rPr>
                <w:color w:val="auto"/>
                <w:kern w:val="0"/>
                <w:sz w:val="21"/>
                <w:szCs w:val="21"/>
                <w:highlight w:val="none"/>
              </w:rPr>
            </w:pPr>
            <w:r>
              <w:rPr>
                <w:color w:val="auto"/>
                <w:kern w:val="0"/>
                <w:sz w:val="21"/>
                <w:szCs w:val="21"/>
                <w:highlight w:val="none"/>
              </w:rPr>
              <w:t>　</w:t>
            </w:r>
          </w:p>
        </w:tc>
      </w:tr>
      <w:tr w14:paraId="421079F4">
        <w:tblPrEx>
          <w:tblCellMar>
            <w:top w:w="0" w:type="dxa"/>
            <w:left w:w="108" w:type="dxa"/>
            <w:bottom w:w="0" w:type="dxa"/>
            <w:right w:w="108" w:type="dxa"/>
          </w:tblCellMar>
        </w:tblPrEx>
        <w:trPr>
          <w:cantSplit/>
          <w:trHeight w:val="20"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0A42A">
            <w:pPr>
              <w:widowControl/>
              <w:spacing w:line="400" w:lineRule="exact"/>
              <w:jc w:val="center"/>
              <w:rPr>
                <w:color w:val="auto"/>
                <w:kern w:val="0"/>
                <w:sz w:val="21"/>
                <w:szCs w:val="21"/>
                <w:highlight w:val="none"/>
              </w:rPr>
            </w:pPr>
            <w:r>
              <w:rPr>
                <w:rFonts w:hint="eastAsia"/>
                <w:color w:val="auto"/>
                <w:kern w:val="0"/>
                <w:sz w:val="21"/>
                <w:szCs w:val="21"/>
                <w:highlight w:val="none"/>
              </w:rPr>
              <w:t>征地拆迁</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671350">
            <w:pPr>
              <w:widowControl/>
              <w:spacing w:line="400" w:lineRule="exact"/>
              <w:jc w:val="center"/>
              <w:rPr>
                <w:color w:val="auto"/>
                <w:kern w:val="0"/>
                <w:sz w:val="21"/>
                <w:szCs w:val="21"/>
                <w:highlight w:val="none"/>
              </w:rPr>
            </w:pPr>
            <w:r>
              <w:rPr>
                <w:rFonts w:hint="eastAsia"/>
                <w:color w:val="auto"/>
                <w:kern w:val="0"/>
                <w:sz w:val="21"/>
                <w:szCs w:val="21"/>
                <w:highlight w:val="none"/>
              </w:rPr>
              <w:t>征地</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73C46">
            <w:pPr>
              <w:widowControl/>
              <w:spacing w:line="400" w:lineRule="exact"/>
              <w:jc w:val="center"/>
              <w:rPr>
                <w:color w:val="auto"/>
                <w:kern w:val="0"/>
                <w:sz w:val="21"/>
                <w:szCs w:val="21"/>
                <w:highlight w:val="none"/>
              </w:rPr>
            </w:pPr>
            <w:r>
              <w:rPr>
                <w:rFonts w:hint="eastAsia"/>
                <w:color w:val="auto"/>
                <w:kern w:val="0"/>
                <w:sz w:val="21"/>
                <w:szCs w:val="21"/>
                <w:highlight w:val="none"/>
              </w:rPr>
              <w:t>公顷</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A6436">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05F3F">
            <w:pPr>
              <w:widowControl/>
              <w:spacing w:line="400" w:lineRule="exact"/>
              <w:jc w:val="center"/>
              <w:rPr>
                <w:color w:val="auto"/>
                <w:kern w:val="0"/>
                <w:sz w:val="21"/>
                <w:szCs w:val="21"/>
                <w:highlight w:val="none"/>
              </w:rPr>
            </w:pPr>
            <w:r>
              <w:rPr>
                <w:color w:val="auto"/>
                <w:kern w:val="0"/>
                <w:sz w:val="21"/>
                <w:szCs w:val="21"/>
                <w:highlight w:val="none"/>
              </w:rPr>
              <w:t>　</w:t>
            </w:r>
          </w:p>
        </w:tc>
      </w:tr>
      <w:tr w14:paraId="67224E89">
        <w:tblPrEx>
          <w:tblCellMar>
            <w:top w:w="0" w:type="dxa"/>
            <w:left w:w="108" w:type="dxa"/>
            <w:bottom w:w="0" w:type="dxa"/>
            <w:right w:w="108" w:type="dxa"/>
          </w:tblCellMar>
        </w:tblPrEx>
        <w:trPr>
          <w:cantSplit/>
          <w:trHeight w:val="20" w:hRule="atLeast"/>
        </w:trPr>
        <w:tc>
          <w:tcPr>
            <w:tcW w:w="1311"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7CEAB963">
            <w:pPr>
              <w:jc w:val="center"/>
              <w:rPr>
                <w:color w:val="auto"/>
                <w:kern w:val="0"/>
                <w:sz w:val="21"/>
                <w:szCs w:val="21"/>
                <w:highlight w:val="none"/>
              </w:rPr>
            </w:pPr>
          </w:p>
        </w:tc>
        <w:tc>
          <w:tcPr>
            <w:tcW w:w="4400"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14:paraId="465BF8A1">
            <w:pPr>
              <w:widowControl/>
              <w:jc w:val="center"/>
              <w:textAlignment w:val="center"/>
              <w:rPr>
                <w:color w:val="auto"/>
                <w:kern w:val="0"/>
                <w:sz w:val="21"/>
                <w:szCs w:val="21"/>
                <w:highlight w:val="none"/>
              </w:rPr>
            </w:pPr>
            <w:r>
              <w:rPr>
                <w:rFonts w:hint="eastAsia"/>
                <w:color w:val="auto"/>
                <w:kern w:val="0"/>
                <w:sz w:val="21"/>
                <w:szCs w:val="21"/>
                <w:highlight w:val="none"/>
              </w:rPr>
              <w:t>拆迁</w:t>
            </w:r>
          </w:p>
        </w:tc>
        <w:tc>
          <w:tcPr>
            <w:tcW w:w="178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E3E8A99">
            <w:pPr>
              <w:widowControl/>
              <w:jc w:val="center"/>
              <w:textAlignment w:val="center"/>
              <w:rPr>
                <w:color w:val="auto"/>
                <w:kern w:val="0"/>
                <w:sz w:val="21"/>
                <w:szCs w:val="21"/>
                <w:highlight w:val="none"/>
              </w:rPr>
            </w:pPr>
            <w:r>
              <w:rPr>
                <w:rFonts w:hint="eastAsia"/>
                <w:color w:val="auto"/>
                <w:kern w:val="0"/>
                <w:sz w:val="21"/>
                <w:szCs w:val="21"/>
                <w:highlight w:val="none"/>
              </w:rPr>
              <w:t>平方米</w:t>
            </w:r>
          </w:p>
        </w:tc>
        <w:tc>
          <w:tcPr>
            <w:tcW w:w="107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2ACE5DD">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774341E">
            <w:pPr>
              <w:widowControl/>
              <w:spacing w:line="400" w:lineRule="exact"/>
              <w:jc w:val="center"/>
              <w:rPr>
                <w:color w:val="auto"/>
                <w:kern w:val="0"/>
                <w:sz w:val="21"/>
                <w:szCs w:val="21"/>
                <w:highlight w:val="none"/>
              </w:rPr>
            </w:pPr>
            <w:r>
              <w:rPr>
                <w:color w:val="auto"/>
                <w:kern w:val="0"/>
                <w:sz w:val="21"/>
                <w:szCs w:val="21"/>
                <w:highlight w:val="none"/>
              </w:rPr>
              <w:t>　</w:t>
            </w:r>
          </w:p>
        </w:tc>
      </w:tr>
      <w:tr w14:paraId="3A3D1D0D">
        <w:tblPrEx>
          <w:tblCellMar>
            <w:top w:w="0" w:type="dxa"/>
            <w:left w:w="108" w:type="dxa"/>
            <w:bottom w:w="0" w:type="dxa"/>
            <w:right w:w="108" w:type="dxa"/>
          </w:tblCellMar>
        </w:tblPrEx>
        <w:trPr>
          <w:cantSplit/>
          <w:trHeight w:val="20" w:hRule="atLeast"/>
        </w:trPr>
        <w:tc>
          <w:tcPr>
            <w:tcW w:w="57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980C28E">
            <w:pPr>
              <w:widowControl/>
              <w:spacing w:line="400" w:lineRule="exact"/>
              <w:jc w:val="center"/>
              <w:rPr>
                <w:color w:val="auto"/>
                <w:kern w:val="0"/>
                <w:sz w:val="21"/>
                <w:szCs w:val="21"/>
                <w:highlight w:val="none"/>
              </w:rPr>
            </w:pPr>
            <w:r>
              <w:rPr>
                <w:color w:val="auto"/>
                <w:kern w:val="0"/>
                <w:sz w:val="21"/>
                <w:szCs w:val="21"/>
                <w:highlight w:val="none"/>
              </w:rPr>
              <w:t>初期购置车辆</w:t>
            </w:r>
          </w:p>
        </w:tc>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14:paraId="274A46F2">
            <w:pPr>
              <w:widowControl/>
              <w:spacing w:line="400" w:lineRule="exact"/>
              <w:jc w:val="center"/>
              <w:rPr>
                <w:color w:val="auto"/>
                <w:kern w:val="0"/>
                <w:sz w:val="21"/>
                <w:szCs w:val="21"/>
                <w:highlight w:val="none"/>
              </w:rPr>
            </w:pPr>
            <w:r>
              <w:rPr>
                <w:color w:val="auto"/>
                <w:kern w:val="0"/>
                <w:sz w:val="21"/>
                <w:szCs w:val="21"/>
                <w:highlight w:val="none"/>
              </w:rPr>
              <w:t>列/辆</w:t>
            </w:r>
          </w:p>
        </w:tc>
        <w:tc>
          <w:tcPr>
            <w:tcW w:w="1072" w:type="dxa"/>
            <w:tcBorders>
              <w:top w:val="single" w:color="auto" w:sz="4" w:space="0"/>
              <w:left w:val="single" w:color="auto" w:sz="4" w:space="0"/>
              <w:bottom w:val="single" w:color="auto" w:sz="4" w:space="0"/>
              <w:right w:val="single" w:color="auto" w:sz="4" w:space="0"/>
            </w:tcBorders>
            <w:shd w:val="clear" w:color="auto" w:fill="FFFFFF"/>
            <w:vAlign w:val="center"/>
          </w:tcPr>
          <w:p w14:paraId="75D8E11F">
            <w:pPr>
              <w:widowControl/>
              <w:spacing w:line="400" w:lineRule="exact"/>
              <w:jc w:val="left"/>
              <w:rPr>
                <w:color w:val="auto"/>
                <w:kern w:val="0"/>
                <w:sz w:val="21"/>
                <w:szCs w:val="21"/>
                <w:highlight w:val="none"/>
              </w:rPr>
            </w:pPr>
            <w:r>
              <w:rPr>
                <w:color w:val="auto"/>
                <w:kern w:val="0"/>
                <w:sz w:val="21"/>
                <w:szCs w:val="21"/>
                <w:highlight w:val="none"/>
              </w:rPr>
              <w:t>　</w:t>
            </w:r>
          </w:p>
        </w:tc>
        <w:tc>
          <w:tcPr>
            <w:tcW w:w="5034" w:type="dxa"/>
            <w:tcBorders>
              <w:top w:val="single" w:color="auto" w:sz="4" w:space="0"/>
              <w:left w:val="single" w:color="auto" w:sz="4" w:space="0"/>
              <w:bottom w:val="single" w:color="auto" w:sz="4" w:space="0"/>
              <w:right w:val="single" w:color="auto" w:sz="4" w:space="0"/>
            </w:tcBorders>
            <w:shd w:val="clear" w:color="auto" w:fill="FFFFFF"/>
            <w:vAlign w:val="center"/>
          </w:tcPr>
          <w:p w14:paraId="1779B3D7">
            <w:pPr>
              <w:widowControl/>
              <w:spacing w:line="400" w:lineRule="exact"/>
              <w:jc w:val="center"/>
              <w:rPr>
                <w:color w:val="auto"/>
                <w:kern w:val="0"/>
                <w:sz w:val="21"/>
                <w:szCs w:val="21"/>
                <w:highlight w:val="none"/>
              </w:rPr>
            </w:pPr>
            <w:r>
              <w:rPr>
                <w:color w:val="auto"/>
                <w:kern w:val="0"/>
                <w:sz w:val="21"/>
                <w:szCs w:val="21"/>
                <w:highlight w:val="none"/>
              </w:rPr>
              <w:t>注明车型</w:t>
            </w:r>
            <w:r>
              <w:rPr>
                <w:rFonts w:hint="eastAsia"/>
                <w:color w:val="auto"/>
                <w:kern w:val="0"/>
                <w:sz w:val="21"/>
                <w:szCs w:val="21"/>
                <w:highlight w:val="none"/>
              </w:rPr>
              <w:t>、设计时速、是否全自动驾驶。</w:t>
            </w:r>
          </w:p>
        </w:tc>
      </w:tr>
      <w:tr w14:paraId="2C317EAB">
        <w:tblPrEx>
          <w:tblCellMar>
            <w:top w:w="0" w:type="dxa"/>
            <w:left w:w="108" w:type="dxa"/>
            <w:bottom w:w="0" w:type="dxa"/>
            <w:right w:w="108" w:type="dxa"/>
          </w:tblCellMar>
        </w:tblPrEx>
        <w:trPr>
          <w:cantSplit/>
          <w:trHeight w:val="20" w:hRule="atLeast"/>
        </w:trPr>
        <w:tc>
          <w:tcPr>
            <w:tcW w:w="13598" w:type="dxa"/>
            <w:gridSpan w:val="6"/>
            <w:tcBorders>
              <w:top w:val="single" w:color="auto" w:sz="4" w:space="0"/>
              <w:left w:val="nil"/>
              <w:bottom w:val="nil"/>
              <w:right w:val="nil"/>
            </w:tcBorders>
            <w:shd w:val="clear" w:color="auto" w:fill="FFFFFF"/>
            <w:vAlign w:val="center"/>
          </w:tcPr>
          <w:p w14:paraId="0E0F6F01">
            <w:pPr>
              <w:widowControl/>
              <w:spacing w:line="400" w:lineRule="exact"/>
              <w:jc w:val="left"/>
              <w:rPr>
                <w:color w:val="auto"/>
                <w:kern w:val="0"/>
                <w:sz w:val="21"/>
                <w:szCs w:val="21"/>
                <w:highlight w:val="none"/>
              </w:rPr>
            </w:pPr>
            <w:r>
              <w:rPr>
                <w:color w:val="auto"/>
                <w:kern w:val="0"/>
                <w:sz w:val="21"/>
                <w:szCs w:val="21"/>
                <w:highlight w:val="none"/>
              </w:rPr>
              <w:t>注：可根据工程实际情况调整。</w:t>
            </w:r>
          </w:p>
        </w:tc>
      </w:tr>
    </w:tbl>
    <w:p w14:paraId="0D124A45">
      <w:pPr>
        <w:spacing w:line="360" w:lineRule="exact"/>
        <w:ind w:left="420" w:hanging="420" w:hangingChars="200"/>
        <w:rPr>
          <w:rFonts w:eastAsia="仿宋_GB2312"/>
          <w:color w:val="auto"/>
          <w:sz w:val="21"/>
          <w:highlight w:val="none"/>
        </w:rPr>
      </w:pPr>
    </w:p>
    <w:sectPr>
      <w:headerReference r:id="rId6" w:type="default"/>
      <w:pgSz w:w="16838" w:h="11906" w:orient="landscape"/>
      <w:pgMar w:top="1417" w:right="1701" w:bottom="1417" w:left="1531" w:header="850" w:footer="850" w:gutter="0"/>
      <w:cols w:space="425" w:num="1"/>
      <w:docGrid w:type="lines" w:linePitch="504" w:char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1460DF8-722F-4A8A-8181-49B8E727E5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C845013-53F2-4821-899C-AA3D8DCC6D53}"/>
  </w:font>
  <w:font w:name="Calibri Light">
    <w:panose1 w:val="020F0302020204030204"/>
    <w:charset w:val="00"/>
    <w:family w:val="swiss"/>
    <w:pitch w:val="default"/>
    <w:sig w:usb0="E4002EFF" w:usb1="C200247B" w:usb2="00000009" w:usb3="00000000" w:csb0="200001FF" w:csb1="00000000"/>
    <w:embedRegular r:id="rId3" w:fontKey="{0D4E2CA4-9804-44FC-A104-EB93DA90CD98}"/>
  </w:font>
  <w:font w:name="仿宋_GB2312">
    <w:panose1 w:val="02010609030101010101"/>
    <w:charset w:val="86"/>
    <w:family w:val="modern"/>
    <w:pitch w:val="default"/>
    <w:sig w:usb0="00000001" w:usb1="080E0000" w:usb2="00000000" w:usb3="00000000" w:csb0="00040000" w:csb1="00000000"/>
    <w:embedRegular r:id="rId4" w:fontKey="{9F3B4CD4-5BCE-4205-965B-DBC2DA08446A}"/>
  </w:font>
  <w:font w:name="楷体">
    <w:panose1 w:val="02010609060101010101"/>
    <w:charset w:val="86"/>
    <w:family w:val="modern"/>
    <w:pitch w:val="default"/>
    <w:sig w:usb0="800002BF" w:usb1="38CF7CFA" w:usb2="00000016" w:usb3="00000000" w:csb0="00040001" w:csb1="00000000"/>
    <w:embedRegular r:id="rId5" w:fontKey="{C3620A0E-0B69-4DDB-891B-35D7A979FABC}"/>
  </w:font>
  <w:font w:name="Cambria Math">
    <w:panose1 w:val="02040503050406030204"/>
    <w:charset w:val="00"/>
    <w:family w:val="roman"/>
    <w:pitch w:val="default"/>
    <w:sig w:usb0="E00006FF" w:usb1="420024FF" w:usb2="02000000" w:usb3="00000000" w:csb0="2000019F" w:csb1="00000000"/>
    <w:embedRegular r:id="rId6" w:fontKey="{2F5FADF1-5F82-49B8-AF01-AC390E21E3BD}"/>
  </w:font>
  <w:font w:name="楷体_GB2312">
    <w:panose1 w:val="02010609030101010101"/>
    <w:charset w:val="86"/>
    <w:family w:val="modern"/>
    <w:pitch w:val="default"/>
    <w:sig w:usb0="00000001" w:usb1="080E0000" w:usb2="00000000" w:usb3="00000000" w:csb0="00040000" w:csb1="00000000"/>
    <w:embedRegular r:id="rId7" w:fontKey="{DF5FC594-1F21-4ED2-B03A-1C3E314067AD}"/>
  </w:font>
  <w:font w:name="Arial">
    <w:panose1 w:val="020B0604020202020204"/>
    <w:charset w:val="00"/>
    <w:family w:val="swiss"/>
    <w:pitch w:val="default"/>
    <w:sig w:usb0="E0002EFF" w:usb1="C000785B" w:usb2="00000009" w:usb3="00000000" w:csb0="400001FF" w:csb1="FFFF0000"/>
    <w:embedRegular r:id="rId8" w:fontKey="{3782ACE0-BBBC-44B1-B387-71751DCB16C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2D529">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sz w:val="24"/>
        <w:szCs w:val="24"/>
      </w:rPr>
      <w:id w:val="1646460000"/>
    </w:sdtPr>
    <w:sdtEndPr>
      <w:rPr>
        <w:color w:val="auto"/>
        <w:sz w:val="28"/>
        <w:szCs w:val="24"/>
      </w:rPr>
    </w:sdtEndPr>
    <w:sdtContent>
      <w:p w14:paraId="2484CE3B">
        <w:pPr>
          <w:pStyle w:val="15"/>
          <w:snapToGrid/>
          <w:jc w:val="center"/>
          <w:rPr>
            <w:color w:val="auto"/>
            <w:sz w:val="28"/>
          </w:rPr>
        </w:pPr>
        <w:r>
          <w:rPr>
            <w:color w:val="auto"/>
            <w:sz w:val="24"/>
            <w:szCs w:val="24"/>
          </w:rPr>
          <w:fldChar w:fldCharType="begin"/>
        </w:r>
        <w:r>
          <w:rPr>
            <w:color w:val="auto"/>
            <w:sz w:val="24"/>
            <w:szCs w:val="24"/>
          </w:rPr>
          <w:instrText xml:space="preserve">PAGE   \* MERGEFORMAT</w:instrText>
        </w:r>
        <w:r>
          <w:rPr>
            <w:color w:val="auto"/>
            <w:sz w:val="24"/>
            <w:szCs w:val="24"/>
          </w:rPr>
          <w:fldChar w:fldCharType="separate"/>
        </w:r>
        <w:r>
          <w:rPr>
            <w:color w:val="auto"/>
            <w:sz w:val="24"/>
            <w:szCs w:val="24"/>
            <w:lang w:val="zh-CN"/>
          </w:rPr>
          <w:t>13</w:t>
        </w:r>
        <w:r>
          <w:rPr>
            <w:color w:val="auto"/>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9A1C">
    <w:pPr>
      <w:pStyle w:val="16"/>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42D17">
    <w:pPr>
      <w:pStyle w:val="16"/>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D7CC4"/>
    <w:multiLevelType w:val="multilevel"/>
    <w:tmpl w:val="637D7CC4"/>
    <w:lvl w:ilvl="0" w:tentative="0">
      <w:start w:val="1"/>
      <w:numFmt w:val="japaneseCounting"/>
      <w:lvlText w:val="%1、"/>
      <w:lvlJc w:val="left"/>
      <w:pPr>
        <w:ind w:left="1040" w:hanging="440"/>
      </w:pPr>
      <w:rPr>
        <w:rFonts w:hint="default"/>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48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wOGZiZDBmMjg3MTc3Nzc3MzE1MDI0YWMyMjMyM2IifQ=="/>
  </w:docVars>
  <w:rsids>
    <w:rsidRoot w:val="00DD7D17"/>
    <w:rsid w:val="00001CDD"/>
    <w:rsid w:val="000027A0"/>
    <w:rsid w:val="000027E1"/>
    <w:rsid w:val="000036C8"/>
    <w:rsid w:val="00005A6D"/>
    <w:rsid w:val="000103CC"/>
    <w:rsid w:val="0001060C"/>
    <w:rsid w:val="00010AC3"/>
    <w:rsid w:val="000110E5"/>
    <w:rsid w:val="000137B9"/>
    <w:rsid w:val="00013C88"/>
    <w:rsid w:val="0001502D"/>
    <w:rsid w:val="000155A2"/>
    <w:rsid w:val="00016F65"/>
    <w:rsid w:val="00020BC1"/>
    <w:rsid w:val="00020F92"/>
    <w:rsid w:val="00026C33"/>
    <w:rsid w:val="000319E2"/>
    <w:rsid w:val="0003293D"/>
    <w:rsid w:val="000331DB"/>
    <w:rsid w:val="0003349C"/>
    <w:rsid w:val="00036AF8"/>
    <w:rsid w:val="00037422"/>
    <w:rsid w:val="00037770"/>
    <w:rsid w:val="0004012B"/>
    <w:rsid w:val="00041902"/>
    <w:rsid w:val="00041C64"/>
    <w:rsid w:val="000425CA"/>
    <w:rsid w:val="00042B5D"/>
    <w:rsid w:val="00043FB2"/>
    <w:rsid w:val="00044EF2"/>
    <w:rsid w:val="000452C9"/>
    <w:rsid w:val="00045FE3"/>
    <w:rsid w:val="00046630"/>
    <w:rsid w:val="000468F1"/>
    <w:rsid w:val="00047342"/>
    <w:rsid w:val="00047B75"/>
    <w:rsid w:val="000502EE"/>
    <w:rsid w:val="00051A02"/>
    <w:rsid w:val="00051E60"/>
    <w:rsid w:val="00051FA8"/>
    <w:rsid w:val="000546E6"/>
    <w:rsid w:val="000555C6"/>
    <w:rsid w:val="00060CA7"/>
    <w:rsid w:val="0006178C"/>
    <w:rsid w:val="00063F18"/>
    <w:rsid w:val="00064D02"/>
    <w:rsid w:val="00066E4C"/>
    <w:rsid w:val="00067509"/>
    <w:rsid w:val="00071321"/>
    <w:rsid w:val="000731A2"/>
    <w:rsid w:val="00074ECE"/>
    <w:rsid w:val="00077508"/>
    <w:rsid w:val="00084722"/>
    <w:rsid w:val="00094B6B"/>
    <w:rsid w:val="000952CF"/>
    <w:rsid w:val="00095F2E"/>
    <w:rsid w:val="000A22D0"/>
    <w:rsid w:val="000A33C6"/>
    <w:rsid w:val="000A677F"/>
    <w:rsid w:val="000A7F7F"/>
    <w:rsid w:val="000B10BF"/>
    <w:rsid w:val="000B127B"/>
    <w:rsid w:val="000B216A"/>
    <w:rsid w:val="000B329A"/>
    <w:rsid w:val="000B54C4"/>
    <w:rsid w:val="000B6978"/>
    <w:rsid w:val="000B7303"/>
    <w:rsid w:val="000B755C"/>
    <w:rsid w:val="000B7DA6"/>
    <w:rsid w:val="000B7E38"/>
    <w:rsid w:val="000C1B01"/>
    <w:rsid w:val="000C2816"/>
    <w:rsid w:val="000C5E3B"/>
    <w:rsid w:val="000C7EF6"/>
    <w:rsid w:val="000D05A1"/>
    <w:rsid w:val="000D07D4"/>
    <w:rsid w:val="000D1E39"/>
    <w:rsid w:val="000D2902"/>
    <w:rsid w:val="000D4DB0"/>
    <w:rsid w:val="000D6445"/>
    <w:rsid w:val="000D6B9F"/>
    <w:rsid w:val="000E21B8"/>
    <w:rsid w:val="000E3A34"/>
    <w:rsid w:val="000E4096"/>
    <w:rsid w:val="000E560B"/>
    <w:rsid w:val="000F06D0"/>
    <w:rsid w:val="000F0D5A"/>
    <w:rsid w:val="000F15FD"/>
    <w:rsid w:val="000F190C"/>
    <w:rsid w:val="000F214C"/>
    <w:rsid w:val="000F2A1E"/>
    <w:rsid w:val="000F3970"/>
    <w:rsid w:val="000F3F43"/>
    <w:rsid w:val="000F5645"/>
    <w:rsid w:val="000F7CC0"/>
    <w:rsid w:val="001000C6"/>
    <w:rsid w:val="001044BE"/>
    <w:rsid w:val="0011101F"/>
    <w:rsid w:val="00111568"/>
    <w:rsid w:val="00115842"/>
    <w:rsid w:val="001167A8"/>
    <w:rsid w:val="001234F9"/>
    <w:rsid w:val="0012612A"/>
    <w:rsid w:val="00131F0B"/>
    <w:rsid w:val="0013224C"/>
    <w:rsid w:val="001334A2"/>
    <w:rsid w:val="00133F5D"/>
    <w:rsid w:val="001347C4"/>
    <w:rsid w:val="001360AD"/>
    <w:rsid w:val="00140866"/>
    <w:rsid w:val="00142AF0"/>
    <w:rsid w:val="00143006"/>
    <w:rsid w:val="0014343C"/>
    <w:rsid w:val="001442A3"/>
    <w:rsid w:val="00144659"/>
    <w:rsid w:val="00146927"/>
    <w:rsid w:val="00146E16"/>
    <w:rsid w:val="001471B6"/>
    <w:rsid w:val="0015156C"/>
    <w:rsid w:val="00154316"/>
    <w:rsid w:val="00155953"/>
    <w:rsid w:val="001570FF"/>
    <w:rsid w:val="001600E7"/>
    <w:rsid w:val="00160F70"/>
    <w:rsid w:val="00164BC6"/>
    <w:rsid w:val="001654C3"/>
    <w:rsid w:val="00166102"/>
    <w:rsid w:val="001673F8"/>
    <w:rsid w:val="001676D4"/>
    <w:rsid w:val="00167C52"/>
    <w:rsid w:val="00170EB4"/>
    <w:rsid w:val="0017223D"/>
    <w:rsid w:val="0017263F"/>
    <w:rsid w:val="0017264E"/>
    <w:rsid w:val="00173FC5"/>
    <w:rsid w:val="00174552"/>
    <w:rsid w:val="0017487B"/>
    <w:rsid w:val="00176CD3"/>
    <w:rsid w:val="00177F82"/>
    <w:rsid w:val="0018081D"/>
    <w:rsid w:val="0018090E"/>
    <w:rsid w:val="00181CFA"/>
    <w:rsid w:val="00182E31"/>
    <w:rsid w:val="001831E4"/>
    <w:rsid w:val="00184B8B"/>
    <w:rsid w:val="00186BA5"/>
    <w:rsid w:val="00187880"/>
    <w:rsid w:val="00187A81"/>
    <w:rsid w:val="00190439"/>
    <w:rsid w:val="0019055A"/>
    <w:rsid w:val="00190792"/>
    <w:rsid w:val="001922C5"/>
    <w:rsid w:val="00193357"/>
    <w:rsid w:val="001937BD"/>
    <w:rsid w:val="001942A8"/>
    <w:rsid w:val="00196839"/>
    <w:rsid w:val="0019785C"/>
    <w:rsid w:val="00197D15"/>
    <w:rsid w:val="001A0434"/>
    <w:rsid w:val="001A1053"/>
    <w:rsid w:val="001A2633"/>
    <w:rsid w:val="001A531A"/>
    <w:rsid w:val="001A559B"/>
    <w:rsid w:val="001A717A"/>
    <w:rsid w:val="001B0581"/>
    <w:rsid w:val="001B1997"/>
    <w:rsid w:val="001B2743"/>
    <w:rsid w:val="001B2B71"/>
    <w:rsid w:val="001B3AED"/>
    <w:rsid w:val="001B3B7B"/>
    <w:rsid w:val="001B44A8"/>
    <w:rsid w:val="001B7735"/>
    <w:rsid w:val="001C09AA"/>
    <w:rsid w:val="001C11FC"/>
    <w:rsid w:val="001C19B8"/>
    <w:rsid w:val="001C2D82"/>
    <w:rsid w:val="001C372C"/>
    <w:rsid w:val="001C4292"/>
    <w:rsid w:val="001C4B31"/>
    <w:rsid w:val="001C4DC7"/>
    <w:rsid w:val="001C54DD"/>
    <w:rsid w:val="001C5C6B"/>
    <w:rsid w:val="001C73E3"/>
    <w:rsid w:val="001C7844"/>
    <w:rsid w:val="001C79F0"/>
    <w:rsid w:val="001D10A0"/>
    <w:rsid w:val="001D3713"/>
    <w:rsid w:val="001D41A0"/>
    <w:rsid w:val="001D4980"/>
    <w:rsid w:val="001D595A"/>
    <w:rsid w:val="001D67A8"/>
    <w:rsid w:val="001D7BCA"/>
    <w:rsid w:val="001E0C48"/>
    <w:rsid w:val="001E2AD1"/>
    <w:rsid w:val="001E5DD6"/>
    <w:rsid w:val="001F0F26"/>
    <w:rsid w:val="001F10D0"/>
    <w:rsid w:val="001F36C2"/>
    <w:rsid w:val="001F52DE"/>
    <w:rsid w:val="001F6412"/>
    <w:rsid w:val="001F6670"/>
    <w:rsid w:val="00200C65"/>
    <w:rsid w:val="00203E5B"/>
    <w:rsid w:val="00204B16"/>
    <w:rsid w:val="002053C6"/>
    <w:rsid w:val="00206D96"/>
    <w:rsid w:val="00210512"/>
    <w:rsid w:val="00211784"/>
    <w:rsid w:val="00212743"/>
    <w:rsid w:val="00213B81"/>
    <w:rsid w:val="002150C7"/>
    <w:rsid w:val="0021594F"/>
    <w:rsid w:val="002207B5"/>
    <w:rsid w:val="002236BB"/>
    <w:rsid w:val="00224972"/>
    <w:rsid w:val="00224F42"/>
    <w:rsid w:val="00225756"/>
    <w:rsid w:val="00226A46"/>
    <w:rsid w:val="00227D0A"/>
    <w:rsid w:val="00230C2E"/>
    <w:rsid w:val="00232664"/>
    <w:rsid w:val="00235B3D"/>
    <w:rsid w:val="0024063A"/>
    <w:rsid w:val="0024158F"/>
    <w:rsid w:val="0024163A"/>
    <w:rsid w:val="002424CF"/>
    <w:rsid w:val="002437F1"/>
    <w:rsid w:val="002463E2"/>
    <w:rsid w:val="0024726B"/>
    <w:rsid w:val="002506D0"/>
    <w:rsid w:val="00251536"/>
    <w:rsid w:val="002517DC"/>
    <w:rsid w:val="00251B71"/>
    <w:rsid w:val="00252EAA"/>
    <w:rsid w:val="002601FB"/>
    <w:rsid w:val="00261EB9"/>
    <w:rsid w:val="0026451D"/>
    <w:rsid w:val="00264597"/>
    <w:rsid w:val="002646B8"/>
    <w:rsid w:val="002650EF"/>
    <w:rsid w:val="002660A7"/>
    <w:rsid w:val="0026611C"/>
    <w:rsid w:val="00266BAB"/>
    <w:rsid w:val="002673E3"/>
    <w:rsid w:val="0026744B"/>
    <w:rsid w:val="002714D1"/>
    <w:rsid w:val="00272230"/>
    <w:rsid w:val="00272E34"/>
    <w:rsid w:val="00272FD3"/>
    <w:rsid w:val="00272FF8"/>
    <w:rsid w:val="00273720"/>
    <w:rsid w:val="00277041"/>
    <w:rsid w:val="002831B1"/>
    <w:rsid w:val="00284B40"/>
    <w:rsid w:val="002864EA"/>
    <w:rsid w:val="0029157B"/>
    <w:rsid w:val="00291E5D"/>
    <w:rsid w:val="00293898"/>
    <w:rsid w:val="0029516A"/>
    <w:rsid w:val="0029679E"/>
    <w:rsid w:val="002A0B8D"/>
    <w:rsid w:val="002A285A"/>
    <w:rsid w:val="002A634B"/>
    <w:rsid w:val="002A69BF"/>
    <w:rsid w:val="002A75BE"/>
    <w:rsid w:val="002A7830"/>
    <w:rsid w:val="002B13DD"/>
    <w:rsid w:val="002B20F7"/>
    <w:rsid w:val="002B647C"/>
    <w:rsid w:val="002B72DC"/>
    <w:rsid w:val="002B7E2D"/>
    <w:rsid w:val="002C0A46"/>
    <w:rsid w:val="002C7426"/>
    <w:rsid w:val="002C7FC1"/>
    <w:rsid w:val="002D6586"/>
    <w:rsid w:val="002E22A1"/>
    <w:rsid w:val="002E24E6"/>
    <w:rsid w:val="002E2C84"/>
    <w:rsid w:val="002E360F"/>
    <w:rsid w:val="002E4F96"/>
    <w:rsid w:val="002E5C07"/>
    <w:rsid w:val="002E6A79"/>
    <w:rsid w:val="002E7994"/>
    <w:rsid w:val="002F3ED8"/>
    <w:rsid w:val="002F4AD2"/>
    <w:rsid w:val="002F51E3"/>
    <w:rsid w:val="002F7361"/>
    <w:rsid w:val="002F7692"/>
    <w:rsid w:val="00300266"/>
    <w:rsid w:val="003026FE"/>
    <w:rsid w:val="00304583"/>
    <w:rsid w:val="00304603"/>
    <w:rsid w:val="003069BB"/>
    <w:rsid w:val="0031142A"/>
    <w:rsid w:val="003137BF"/>
    <w:rsid w:val="00313D88"/>
    <w:rsid w:val="00314150"/>
    <w:rsid w:val="00314841"/>
    <w:rsid w:val="00316BEE"/>
    <w:rsid w:val="00316C8C"/>
    <w:rsid w:val="00316E19"/>
    <w:rsid w:val="00320315"/>
    <w:rsid w:val="00320B86"/>
    <w:rsid w:val="00320D26"/>
    <w:rsid w:val="003270ED"/>
    <w:rsid w:val="003276DA"/>
    <w:rsid w:val="00332245"/>
    <w:rsid w:val="00332718"/>
    <w:rsid w:val="00333022"/>
    <w:rsid w:val="003335D8"/>
    <w:rsid w:val="00335C55"/>
    <w:rsid w:val="00340078"/>
    <w:rsid w:val="0034057C"/>
    <w:rsid w:val="003446DB"/>
    <w:rsid w:val="003457CA"/>
    <w:rsid w:val="003549CE"/>
    <w:rsid w:val="0035706C"/>
    <w:rsid w:val="00361924"/>
    <w:rsid w:val="00363C81"/>
    <w:rsid w:val="00363D21"/>
    <w:rsid w:val="003640C3"/>
    <w:rsid w:val="003650AC"/>
    <w:rsid w:val="0036599C"/>
    <w:rsid w:val="00365AAD"/>
    <w:rsid w:val="00366BC9"/>
    <w:rsid w:val="00366CE4"/>
    <w:rsid w:val="00367C79"/>
    <w:rsid w:val="0037054A"/>
    <w:rsid w:val="00370F28"/>
    <w:rsid w:val="0037108E"/>
    <w:rsid w:val="003735EC"/>
    <w:rsid w:val="00377102"/>
    <w:rsid w:val="00380D20"/>
    <w:rsid w:val="0038355D"/>
    <w:rsid w:val="0038525E"/>
    <w:rsid w:val="003864C9"/>
    <w:rsid w:val="00387683"/>
    <w:rsid w:val="00391673"/>
    <w:rsid w:val="003924F4"/>
    <w:rsid w:val="00393854"/>
    <w:rsid w:val="00393A4F"/>
    <w:rsid w:val="003962A3"/>
    <w:rsid w:val="00397F94"/>
    <w:rsid w:val="003A02A6"/>
    <w:rsid w:val="003A072B"/>
    <w:rsid w:val="003A0914"/>
    <w:rsid w:val="003A15C4"/>
    <w:rsid w:val="003A1961"/>
    <w:rsid w:val="003A32E6"/>
    <w:rsid w:val="003A414A"/>
    <w:rsid w:val="003A4417"/>
    <w:rsid w:val="003A5408"/>
    <w:rsid w:val="003A5911"/>
    <w:rsid w:val="003A6C19"/>
    <w:rsid w:val="003A7CA0"/>
    <w:rsid w:val="003A7FE7"/>
    <w:rsid w:val="003B0773"/>
    <w:rsid w:val="003B1C31"/>
    <w:rsid w:val="003B5E34"/>
    <w:rsid w:val="003B6E18"/>
    <w:rsid w:val="003B77AF"/>
    <w:rsid w:val="003C0C76"/>
    <w:rsid w:val="003C15A1"/>
    <w:rsid w:val="003C2688"/>
    <w:rsid w:val="003C2DBD"/>
    <w:rsid w:val="003D4821"/>
    <w:rsid w:val="003D4EAE"/>
    <w:rsid w:val="003D6D8A"/>
    <w:rsid w:val="003E0214"/>
    <w:rsid w:val="003E0DB3"/>
    <w:rsid w:val="003E22A5"/>
    <w:rsid w:val="003E2B2C"/>
    <w:rsid w:val="003E30FF"/>
    <w:rsid w:val="003E3213"/>
    <w:rsid w:val="003E3B93"/>
    <w:rsid w:val="003E3F27"/>
    <w:rsid w:val="003F1F7D"/>
    <w:rsid w:val="003F1FF8"/>
    <w:rsid w:val="00400737"/>
    <w:rsid w:val="00403B95"/>
    <w:rsid w:val="00405CBD"/>
    <w:rsid w:val="004106F6"/>
    <w:rsid w:val="00411BD3"/>
    <w:rsid w:val="00413A3E"/>
    <w:rsid w:val="00414378"/>
    <w:rsid w:val="00414700"/>
    <w:rsid w:val="004162B1"/>
    <w:rsid w:val="00416598"/>
    <w:rsid w:val="004200BF"/>
    <w:rsid w:val="004204FD"/>
    <w:rsid w:val="00420F92"/>
    <w:rsid w:val="00421C8E"/>
    <w:rsid w:val="0042289F"/>
    <w:rsid w:val="004239A3"/>
    <w:rsid w:val="00423C6D"/>
    <w:rsid w:val="0042511A"/>
    <w:rsid w:val="00425B95"/>
    <w:rsid w:val="00426C4D"/>
    <w:rsid w:val="00427988"/>
    <w:rsid w:val="00427DC0"/>
    <w:rsid w:val="004316CF"/>
    <w:rsid w:val="00435023"/>
    <w:rsid w:val="00436699"/>
    <w:rsid w:val="00436EB1"/>
    <w:rsid w:val="00437B6D"/>
    <w:rsid w:val="00443483"/>
    <w:rsid w:val="004442C3"/>
    <w:rsid w:val="00444500"/>
    <w:rsid w:val="00445600"/>
    <w:rsid w:val="004473C7"/>
    <w:rsid w:val="00454475"/>
    <w:rsid w:val="00457854"/>
    <w:rsid w:val="00460979"/>
    <w:rsid w:val="00461ABD"/>
    <w:rsid w:val="00461BBF"/>
    <w:rsid w:val="004654E1"/>
    <w:rsid w:val="004658BA"/>
    <w:rsid w:val="00466F5E"/>
    <w:rsid w:val="00467347"/>
    <w:rsid w:val="00467B63"/>
    <w:rsid w:val="00467D66"/>
    <w:rsid w:val="00470331"/>
    <w:rsid w:val="0047053A"/>
    <w:rsid w:val="004720F6"/>
    <w:rsid w:val="00472AE1"/>
    <w:rsid w:val="00474EDC"/>
    <w:rsid w:val="00475509"/>
    <w:rsid w:val="0047681E"/>
    <w:rsid w:val="0047740D"/>
    <w:rsid w:val="00480111"/>
    <w:rsid w:val="00481AF3"/>
    <w:rsid w:val="004828A3"/>
    <w:rsid w:val="004857AD"/>
    <w:rsid w:val="00486523"/>
    <w:rsid w:val="00486C54"/>
    <w:rsid w:val="00487558"/>
    <w:rsid w:val="004904F1"/>
    <w:rsid w:val="00490A56"/>
    <w:rsid w:val="00491123"/>
    <w:rsid w:val="004922A9"/>
    <w:rsid w:val="004923E8"/>
    <w:rsid w:val="004949AD"/>
    <w:rsid w:val="00496CE3"/>
    <w:rsid w:val="004A1751"/>
    <w:rsid w:val="004A1CB3"/>
    <w:rsid w:val="004A4CDA"/>
    <w:rsid w:val="004A6D62"/>
    <w:rsid w:val="004A7F1D"/>
    <w:rsid w:val="004B04C0"/>
    <w:rsid w:val="004B0C40"/>
    <w:rsid w:val="004B131B"/>
    <w:rsid w:val="004B1852"/>
    <w:rsid w:val="004B47DC"/>
    <w:rsid w:val="004B518C"/>
    <w:rsid w:val="004B51A5"/>
    <w:rsid w:val="004B5229"/>
    <w:rsid w:val="004B625D"/>
    <w:rsid w:val="004C349F"/>
    <w:rsid w:val="004C3B94"/>
    <w:rsid w:val="004C3F1E"/>
    <w:rsid w:val="004C49B2"/>
    <w:rsid w:val="004C4B0D"/>
    <w:rsid w:val="004C4DCA"/>
    <w:rsid w:val="004C52EC"/>
    <w:rsid w:val="004C6018"/>
    <w:rsid w:val="004C6A76"/>
    <w:rsid w:val="004C7699"/>
    <w:rsid w:val="004C7BFA"/>
    <w:rsid w:val="004D28A4"/>
    <w:rsid w:val="004D375B"/>
    <w:rsid w:val="004D4AA7"/>
    <w:rsid w:val="004D52A2"/>
    <w:rsid w:val="004D6985"/>
    <w:rsid w:val="004D720E"/>
    <w:rsid w:val="004E0795"/>
    <w:rsid w:val="004E17C3"/>
    <w:rsid w:val="004E1E8F"/>
    <w:rsid w:val="004E1F87"/>
    <w:rsid w:val="004E3641"/>
    <w:rsid w:val="004E45F9"/>
    <w:rsid w:val="004F0476"/>
    <w:rsid w:val="004F1594"/>
    <w:rsid w:val="004F2616"/>
    <w:rsid w:val="004F3483"/>
    <w:rsid w:val="005022C9"/>
    <w:rsid w:val="00502D6D"/>
    <w:rsid w:val="00505708"/>
    <w:rsid w:val="0050755B"/>
    <w:rsid w:val="00512995"/>
    <w:rsid w:val="0051399A"/>
    <w:rsid w:val="00513ADE"/>
    <w:rsid w:val="00513D08"/>
    <w:rsid w:val="00515E12"/>
    <w:rsid w:val="0051607D"/>
    <w:rsid w:val="00516C12"/>
    <w:rsid w:val="00523785"/>
    <w:rsid w:val="0052559E"/>
    <w:rsid w:val="00525AF6"/>
    <w:rsid w:val="00525E69"/>
    <w:rsid w:val="00526E91"/>
    <w:rsid w:val="00527005"/>
    <w:rsid w:val="0052797B"/>
    <w:rsid w:val="0053281A"/>
    <w:rsid w:val="00532956"/>
    <w:rsid w:val="00534DB7"/>
    <w:rsid w:val="0053569D"/>
    <w:rsid w:val="00536733"/>
    <w:rsid w:val="00537BCB"/>
    <w:rsid w:val="00537E2A"/>
    <w:rsid w:val="00541CDF"/>
    <w:rsid w:val="0054223E"/>
    <w:rsid w:val="00546941"/>
    <w:rsid w:val="00550E44"/>
    <w:rsid w:val="00553671"/>
    <w:rsid w:val="00554E07"/>
    <w:rsid w:val="005576EF"/>
    <w:rsid w:val="00560EC9"/>
    <w:rsid w:val="00562CF7"/>
    <w:rsid w:val="0056302A"/>
    <w:rsid w:val="005649BD"/>
    <w:rsid w:val="00565683"/>
    <w:rsid w:val="00565E8E"/>
    <w:rsid w:val="00565EDE"/>
    <w:rsid w:val="00567117"/>
    <w:rsid w:val="00570155"/>
    <w:rsid w:val="005706E3"/>
    <w:rsid w:val="00573EDE"/>
    <w:rsid w:val="00574670"/>
    <w:rsid w:val="005753CF"/>
    <w:rsid w:val="0057548E"/>
    <w:rsid w:val="00575D96"/>
    <w:rsid w:val="00575EC7"/>
    <w:rsid w:val="00577E62"/>
    <w:rsid w:val="00582FFD"/>
    <w:rsid w:val="005832B2"/>
    <w:rsid w:val="0058349D"/>
    <w:rsid w:val="0058523E"/>
    <w:rsid w:val="00586D5E"/>
    <w:rsid w:val="00591A2D"/>
    <w:rsid w:val="005940DC"/>
    <w:rsid w:val="005945FF"/>
    <w:rsid w:val="00594631"/>
    <w:rsid w:val="005A0B33"/>
    <w:rsid w:val="005A3619"/>
    <w:rsid w:val="005A462C"/>
    <w:rsid w:val="005A541F"/>
    <w:rsid w:val="005A582A"/>
    <w:rsid w:val="005A5A93"/>
    <w:rsid w:val="005A6EB0"/>
    <w:rsid w:val="005A7972"/>
    <w:rsid w:val="005A7DC1"/>
    <w:rsid w:val="005B1A4B"/>
    <w:rsid w:val="005B3F97"/>
    <w:rsid w:val="005B5CA0"/>
    <w:rsid w:val="005B64FB"/>
    <w:rsid w:val="005B6948"/>
    <w:rsid w:val="005B6C58"/>
    <w:rsid w:val="005C5398"/>
    <w:rsid w:val="005C5614"/>
    <w:rsid w:val="005C5765"/>
    <w:rsid w:val="005C6E00"/>
    <w:rsid w:val="005D4059"/>
    <w:rsid w:val="005D71D4"/>
    <w:rsid w:val="005D7F18"/>
    <w:rsid w:val="005E1F1E"/>
    <w:rsid w:val="005E2BD8"/>
    <w:rsid w:val="005E74CB"/>
    <w:rsid w:val="005E798B"/>
    <w:rsid w:val="005F55D9"/>
    <w:rsid w:val="005F6191"/>
    <w:rsid w:val="005F6BD7"/>
    <w:rsid w:val="005F7754"/>
    <w:rsid w:val="00603962"/>
    <w:rsid w:val="0060468E"/>
    <w:rsid w:val="0060499E"/>
    <w:rsid w:val="006061D1"/>
    <w:rsid w:val="006073D4"/>
    <w:rsid w:val="006109C5"/>
    <w:rsid w:val="00611344"/>
    <w:rsid w:val="00612466"/>
    <w:rsid w:val="00612643"/>
    <w:rsid w:val="00616C81"/>
    <w:rsid w:val="0061768B"/>
    <w:rsid w:val="00626F16"/>
    <w:rsid w:val="0063129D"/>
    <w:rsid w:val="00631ADA"/>
    <w:rsid w:val="006335AA"/>
    <w:rsid w:val="006360BD"/>
    <w:rsid w:val="00643D75"/>
    <w:rsid w:val="006462D0"/>
    <w:rsid w:val="00646518"/>
    <w:rsid w:val="006473A1"/>
    <w:rsid w:val="006475C7"/>
    <w:rsid w:val="006531B5"/>
    <w:rsid w:val="00653687"/>
    <w:rsid w:val="00653E89"/>
    <w:rsid w:val="006547E6"/>
    <w:rsid w:val="006556BE"/>
    <w:rsid w:val="00655B9F"/>
    <w:rsid w:val="00664286"/>
    <w:rsid w:val="006669C1"/>
    <w:rsid w:val="00667254"/>
    <w:rsid w:val="00667294"/>
    <w:rsid w:val="006734E8"/>
    <w:rsid w:val="00674378"/>
    <w:rsid w:val="00674A0B"/>
    <w:rsid w:val="00680013"/>
    <w:rsid w:val="00682717"/>
    <w:rsid w:val="0068340F"/>
    <w:rsid w:val="00683744"/>
    <w:rsid w:val="00684470"/>
    <w:rsid w:val="0068483E"/>
    <w:rsid w:val="0069115B"/>
    <w:rsid w:val="00691793"/>
    <w:rsid w:val="00694680"/>
    <w:rsid w:val="00695586"/>
    <w:rsid w:val="00696617"/>
    <w:rsid w:val="00696C1A"/>
    <w:rsid w:val="0069726E"/>
    <w:rsid w:val="006A1997"/>
    <w:rsid w:val="006A2B88"/>
    <w:rsid w:val="006A3C21"/>
    <w:rsid w:val="006A6BED"/>
    <w:rsid w:val="006A7EA2"/>
    <w:rsid w:val="006B2D5D"/>
    <w:rsid w:val="006B2ED9"/>
    <w:rsid w:val="006B3256"/>
    <w:rsid w:val="006B4179"/>
    <w:rsid w:val="006B4698"/>
    <w:rsid w:val="006B533E"/>
    <w:rsid w:val="006B6209"/>
    <w:rsid w:val="006C0090"/>
    <w:rsid w:val="006C14DF"/>
    <w:rsid w:val="006C1F23"/>
    <w:rsid w:val="006C4183"/>
    <w:rsid w:val="006C72CF"/>
    <w:rsid w:val="006D0F58"/>
    <w:rsid w:val="006D1FCC"/>
    <w:rsid w:val="006D351A"/>
    <w:rsid w:val="006E02B2"/>
    <w:rsid w:val="006E0BE7"/>
    <w:rsid w:val="006E1A3E"/>
    <w:rsid w:val="006E2AA3"/>
    <w:rsid w:val="006E2C02"/>
    <w:rsid w:val="006E300B"/>
    <w:rsid w:val="006E3C6C"/>
    <w:rsid w:val="006E4339"/>
    <w:rsid w:val="006E5138"/>
    <w:rsid w:val="006E720E"/>
    <w:rsid w:val="006E7F0C"/>
    <w:rsid w:val="006F050B"/>
    <w:rsid w:val="006F17FE"/>
    <w:rsid w:val="006F1C29"/>
    <w:rsid w:val="006F3420"/>
    <w:rsid w:val="006F3BF7"/>
    <w:rsid w:val="006F4348"/>
    <w:rsid w:val="007006B1"/>
    <w:rsid w:val="0070190B"/>
    <w:rsid w:val="007026DA"/>
    <w:rsid w:val="0070300C"/>
    <w:rsid w:val="00704CE1"/>
    <w:rsid w:val="00705839"/>
    <w:rsid w:val="00707552"/>
    <w:rsid w:val="00711132"/>
    <w:rsid w:val="007137A4"/>
    <w:rsid w:val="007145E3"/>
    <w:rsid w:val="007149FD"/>
    <w:rsid w:val="00714C88"/>
    <w:rsid w:val="00715ECF"/>
    <w:rsid w:val="007204F0"/>
    <w:rsid w:val="00720511"/>
    <w:rsid w:val="00720EA9"/>
    <w:rsid w:val="007246F1"/>
    <w:rsid w:val="0072470A"/>
    <w:rsid w:val="00727136"/>
    <w:rsid w:val="00734921"/>
    <w:rsid w:val="007365AB"/>
    <w:rsid w:val="00737AA3"/>
    <w:rsid w:val="00740377"/>
    <w:rsid w:val="00740477"/>
    <w:rsid w:val="00742169"/>
    <w:rsid w:val="00743410"/>
    <w:rsid w:val="00743D42"/>
    <w:rsid w:val="00745392"/>
    <w:rsid w:val="00747CC3"/>
    <w:rsid w:val="00750064"/>
    <w:rsid w:val="00751300"/>
    <w:rsid w:val="007524E4"/>
    <w:rsid w:val="007565B8"/>
    <w:rsid w:val="00760E1F"/>
    <w:rsid w:val="00761106"/>
    <w:rsid w:val="0076199F"/>
    <w:rsid w:val="00761E9A"/>
    <w:rsid w:val="007661B6"/>
    <w:rsid w:val="00767D4A"/>
    <w:rsid w:val="00771190"/>
    <w:rsid w:val="00771A0F"/>
    <w:rsid w:val="00771A2F"/>
    <w:rsid w:val="00772864"/>
    <w:rsid w:val="00772A25"/>
    <w:rsid w:val="007732C7"/>
    <w:rsid w:val="00773B44"/>
    <w:rsid w:val="00774534"/>
    <w:rsid w:val="00774C67"/>
    <w:rsid w:val="00776597"/>
    <w:rsid w:val="00776898"/>
    <w:rsid w:val="00776D79"/>
    <w:rsid w:val="00777A40"/>
    <w:rsid w:val="0078037B"/>
    <w:rsid w:val="0078040B"/>
    <w:rsid w:val="00780506"/>
    <w:rsid w:val="00780F44"/>
    <w:rsid w:val="00781A83"/>
    <w:rsid w:val="00781F47"/>
    <w:rsid w:val="007837CD"/>
    <w:rsid w:val="00783A90"/>
    <w:rsid w:val="00783E3E"/>
    <w:rsid w:val="00784464"/>
    <w:rsid w:val="00786A3A"/>
    <w:rsid w:val="00787C81"/>
    <w:rsid w:val="00792839"/>
    <w:rsid w:val="007933C0"/>
    <w:rsid w:val="0079495F"/>
    <w:rsid w:val="00795E32"/>
    <w:rsid w:val="00796366"/>
    <w:rsid w:val="0079687B"/>
    <w:rsid w:val="007A2235"/>
    <w:rsid w:val="007A3B54"/>
    <w:rsid w:val="007A5E9E"/>
    <w:rsid w:val="007A6B76"/>
    <w:rsid w:val="007A732D"/>
    <w:rsid w:val="007A74DE"/>
    <w:rsid w:val="007A7B40"/>
    <w:rsid w:val="007B0F98"/>
    <w:rsid w:val="007B1A2C"/>
    <w:rsid w:val="007B2B9E"/>
    <w:rsid w:val="007B4951"/>
    <w:rsid w:val="007B5EE3"/>
    <w:rsid w:val="007B6219"/>
    <w:rsid w:val="007C0EF7"/>
    <w:rsid w:val="007C12B0"/>
    <w:rsid w:val="007C1D30"/>
    <w:rsid w:val="007C23A6"/>
    <w:rsid w:val="007C55EB"/>
    <w:rsid w:val="007C578A"/>
    <w:rsid w:val="007C7E2B"/>
    <w:rsid w:val="007D41D9"/>
    <w:rsid w:val="007D4F8A"/>
    <w:rsid w:val="007D506D"/>
    <w:rsid w:val="007D61D8"/>
    <w:rsid w:val="007D6D25"/>
    <w:rsid w:val="007D7CCE"/>
    <w:rsid w:val="007E0106"/>
    <w:rsid w:val="007E4078"/>
    <w:rsid w:val="007E4BCF"/>
    <w:rsid w:val="007E5248"/>
    <w:rsid w:val="007E545E"/>
    <w:rsid w:val="007E5488"/>
    <w:rsid w:val="007E6318"/>
    <w:rsid w:val="007E670A"/>
    <w:rsid w:val="007E6A0F"/>
    <w:rsid w:val="007E6E14"/>
    <w:rsid w:val="007E77E9"/>
    <w:rsid w:val="007F2FBE"/>
    <w:rsid w:val="007F3CB5"/>
    <w:rsid w:val="007F63F3"/>
    <w:rsid w:val="007F764E"/>
    <w:rsid w:val="007F7AE6"/>
    <w:rsid w:val="00801403"/>
    <w:rsid w:val="0080198B"/>
    <w:rsid w:val="00803EF7"/>
    <w:rsid w:val="0080687D"/>
    <w:rsid w:val="00806DAD"/>
    <w:rsid w:val="00807CA9"/>
    <w:rsid w:val="00811F23"/>
    <w:rsid w:val="00812610"/>
    <w:rsid w:val="00815321"/>
    <w:rsid w:val="00815B16"/>
    <w:rsid w:val="00815F15"/>
    <w:rsid w:val="008162E7"/>
    <w:rsid w:val="00820B72"/>
    <w:rsid w:val="00821B6E"/>
    <w:rsid w:val="00822E3E"/>
    <w:rsid w:val="008239D9"/>
    <w:rsid w:val="0082432A"/>
    <w:rsid w:val="00826776"/>
    <w:rsid w:val="0082693F"/>
    <w:rsid w:val="0082783D"/>
    <w:rsid w:val="008302C7"/>
    <w:rsid w:val="00831B8D"/>
    <w:rsid w:val="00832618"/>
    <w:rsid w:val="00832CCF"/>
    <w:rsid w:val="00832E3D"/>
    <w:rsid w:val="00837605"/>
    <w:rsid w:val="00837779"/>
    <w:rsid w:val="008408E3"/>
    <w:rsid w:val="00842FC3"/>
    <w:rsid w:val="0084302D"/>
    <w:rsid w:val="00844D93"/>
    <w:rsid w:val="0084510C"/>
    <w:rsid w:val="00847B1C"/>
    <w:rsid w:val="0085082A"/>
    <w:rsid w:val="00852128"/>
    <w:rsid w:val="00852982"/>
    <w:rsid w:val="008554AE"/>
    <w:rsid w:val="008570D1"/>
    <w:rsid w:val="0085793F"/>
    <w:rsid w:val="00857AA0"/>
    <w:rsid w:val="00857FF4"/>
    <w:rsid w:val="008611A5"/>
    <w:rsid w:val="008615C4"/>
    <w:rsid w:val="0086351F"/>
    <w:rsid w:val="008666CB"/>
    <w:rsid w:val="00866A40"/>
    <w:rsid w:val="00870715"/>
    <w:rsid w:val="00870BE4"/>
    <w:rsid w:val="008711E3"/>
    <w:rsid w:val="00872C6E"/>
    <w:rsid w:val="00872F29"/>
    <w:rsid w:val="00873860"/>
    <w:rsid w:val="008812F7"/>
    <w:rsid w:val="008821D5"/>
    <w:rsid w:val="00883B25"/>
    <w:rsid w:val="00884C39"/>
    <w:rsid w:val="00887BFA"/>
    <w:rsid w:val="00893196"/>
    <w:rsid w:val="0089430E"/>
    <w:rsid w:val="008956BC"/>
    <w:rsid w:val="00896B83"/>
    <w:rsid w:val="00897D49"/>
    <w:rsid w:val="008A17FC"/>
    <w:rsid w:val="008A3CE9"/>
    <w:rsid w:val="008A4958"/>
    <w:rsid w:val="008A6B59"/>
    <w:rsid w:val="008B0308"/>
    <w:rsid w:val="008B043E"/>
    <w:rsid w:val="008B0DE4"/>
    <w:rsid w:val="008B2663"/>
    <w:rsid w:val="008B2A36"/>
    <w:rsid w:val="008C10BC"/>
    <w:rsid w:val="008C12D1"/>
    <w:rsid w:val="008C38D9"/>
    <w:rsid w:val="008C4E3E"/>
    <w:rsid w:val="008C5136"/>
    <w:rsid w:val="008C6ED0"/>
    <w:rsid w:val="008D083E"/>
    <w:rsid w:val="008D08BF"/>
    <w:rsid w:val="008D116E"/>
    <w:rsid w:val="008D1835"/>
    <w:rsid w:val="008D3063"/>
    <w:rsid w:val="008D343B"/>
    <w:rsid w:val="008D35D5"/>
    <w:rsid w:val="008D3E5E"/>
    <w:rsid w:val="008D4CA2"/>
    <w:rsid w:val="008D5D02"/>
    <w:rsid w:val="008D7890"/>
    <w:rsid w:val="008E09A2"/>
    <w:rsid w:val="008E1E38"/>
    <w:rsid w:val="008E7688"/>
    <w:rsid w:val="008E7E7A"/>
    <w:rsid w:val="008F0D65"/>
    <w:rsid w:val="008F39FD"/>
    <w:rsid w:val="008F6072"/>
    <w:rsid w:val="008F7693"/>
    <w:rsid w:val="009003DB"/>
    <w:rsid w:val="00902207"/>
    <w:rsid w:val="009022ED"/>
    <w:rsid w:val="009037A2"/>
    <w:rsid w:val="00905C58"/>
    <w:rsid w:val="009102C2"/>
    <w:rsid w:val="009107A1"/>
    <w:rsid w:val="00911FEA"/>
    <w:rsid w:val="00913809"/>
    <w:rsid w:val="00915830"/>
    <w:rsid w:val="00917216"/>
    <w:rsid w:val="009218F5"/>
    <w:rsid w:val="00923077"/>
    <w:rsid w:val="00925FB5"/>
    <w:rsid w:val="0092631A"/>
    <w:rsid w:val="00926448"/>
    <w:rsid w:val="009266E0"/>
    <w:rsid w:val="00930184"/>
    <w:rsid w:val="0093277C"/>
    <w:rsid w:val="009333AB"/>
    <w:rsid w:val="00933C1D"/>
    <w:rsid w:val="009357AF"/>
    <w:rsid w:val="00940FE8"/>
    <w:rsid w:val="00942089"/>
    <w:rsid w:val="00947788"/>
    <w:rsid w:val="009516CA"/>
    <w:rsid w:val="00952412"/>
    <w:rsid w:val="009550EC"/>
    <w:rsid w:val="009566E7"/>
    <w:rsid w:val="0095677C"/>
    <w:rsid w:val="0095761D"/>
    <w:rsid w:val="009650DB"/>
    <w:rsid w:val="00965E05"/>
    <w:rsid w:val="00966FCD"/>
    <w:rsid w:val="00971E94"/>
    <w:rsid w:val="009721EF"/>
    <w:rsid w:val="00972F7B"/>
    <w:rsid w:val="009741B7"/>
    <w:rsid w:val="0097513F"/>
    <w:rsid w:val="00976C3B"/>
    <w:rsid w:val="0097738A"/>
    <w:rsid w:val="009806D6"/>
    <w:rsid w:val="00983E80"/>
    <w:rsid w:val="009842D2"/>
    <w:rsid w:val="00985F16"/>
    <w:rsid w:val="00986BDF"/>
    <w:rsid w:val="009900D4"/>
    <w:rsid w:val="0099593A"/>
    <w:rsid w:val="00995D83"/>
    <w:rsid w:val="00996344"/>
    <w:rsid w:val="009974B1"/>
    <w:rsid w:val="009A3810"/>
    <w:rsid w:val="009A5954"/>
    <w:rsid w:val="009B73FC"/>
    <w:rsid w:val="009B7AA4"/>
    <w:rsid w:val="009C0554"/>
    <w:rsid w:val="009C3360"/>
    <w:rsid w:val="009C4E46"/>
    <w:rsid w:val="009C5E2D"/>
    <w:rsid w:val="009C729F"/>
    <w:rsid w:val="009C791A"/>
    <w:rsid w:val="009D10BA"/>
    <w:rsid w:val="009D1C15"/>
    <w:rsid w:val="009D22CB"/>
    <w:rsid w:val="009D2B9C"/>
    <w:rsid w:val="009D3019"/>
    <w:rsid w:val="009E0145"/>
    <w:rsid w:val="009E0347"/>
    <w:rsid w:val="009E1585"/>
    <w:rsid w:val="009E3155"/>
    <w:rsid w:val="009E746D"/>
    <w:rsid w:val="009F091A"/>
    <w:rsid w:val="009F1162"/>
    <w:rsid w:val="009F1AAD"/>
    <w:rsid w:val="009F38C9"/>
    <w:rsid w:val="009F5A52"/>
    <w:rsid w:val="009F655E"/>
    <w:rsid w:val="009F7D4A"/>
    <w:rsid w:val="00A025E4"/>
    <w:rsid w:val="00A02EA6"/>
    <w:rsid w:val="00A0310E"/>
    <w:rsid w:val="00A03F52"/>
    <w:rsid w:val="00A04A86"/>
    <w:rsid w:val="00A05C89"/>
    <w:rsid w:val="00A05D9B"/>
    <w:rsid w:val="00A0637E"/>
    <w:rsid w:val="00A128B8"/>
    <w:rsid w:val="00A16224"/>
    <w:rsid w:val="00A200C8"/>
    <w:rsid w:val="00A2094A"/>
    <w:rsid w:val="00A21271"/>
    <w:rsid w:val="00A22E16"/>
    <w:rsid w:val="00A233C0"/>
    <w:rsid w:val="00A24800"/>
    <w:rsid w:val="00A2599A"/>
    <w:rsid w:val="00A2699A"/>
    <w:rsid w:val="00A26D2F"/>
    <w:rsid w:val="00A27AC2"/>
    <w:rsid w:val="00A32395"/>
    <w:rsid w:val="00A341EE"/>
    <w:rsid w:val="00A3470B"/>
    <w:rsid w:val="00A35011"/>
    <w:rsid w:val="00A4226D"/>
    <w:rsid w:val="00A42B02"/>
    <w:rsid w:val="00A45E05"/>
    <w:rsid w:val="00A47393"/>
    <w:rsid w:val="00A50E77"/>
    <w:rsid w:val="00A5123B"/>
    <w:rsid w:val="00A56108"/>
    <w:rsid w:val="00A6265D"/>
    <w:rsid w:val="00A64E64"/>
    <w:rsid w:val="00A67B29"/>
    <w:rsid w:val="00A705BE"/>
    <w:rsid w:val="00A71E1B"/>
    <w:rsid w:val="00A723B4"/>
    <w:rsid w:val="00A72748"/>
    <w:rsid w:val="00A731C8"/>
    <w:rsid w:val="00A74E8B"/>
    <w:rsid w:val="00A7579A"/>
    <w:rsid w:val="00A765F7"/>
    <w:rsid w:val="00A76F9F"/>
    <w:rsid w:val="00A77223"/>
    <w:rsid w:val="00A77473"/>
    <w:rsid w:val="00A777AD"/>
    <w:rsid w:val="00A77B5A"/>
    <w:rsid w:val="00A77DE6"/>
    <w:rsid w:val="00A77E4A"/>
    <w:rsid w:val="00A80C6F"/>
    <w:rsid w:val="00A80D30"/>
    <w:rsid w:val="00A81736"/>
    <w:rsid w:val="00A81CB8"/>
    <w:rsid w:val="00A82532"/>
    <w:rsid w:val="00A82FE8"/>
    <w:rsid w:val="00A85089"/>
    <w:rsid w:val="00A87CEC"/>
    <w:rsid w:val="00A92136"/>
    <w:rsid w:val="00A93511"/>
    <w:rsid w:val="00A93807"/>
    <w:rsid w:val="00A93D3D"/>
    <w:rsid w:val="00A9564C"/>
    <w:rsid w:val="00A9659D"/>
    <w:rsid w:val="00AA1AEE"/>
    <w:rsid w:val="00AA1BE9"/>
    <w:rsid w:val="00AA3927"/>
    <w:rsid w:val="00AA6399"/>
    <w:rsid w:val="00AB17FA"/>
    <w:rsid w:val="00AB2017"/>
    <w:rsid w:val="00AB2A92"/>
    <w:rsid w:val="00AB4B61"/>
    <w:rsid w:val="00AB4C71"/>
    <w:rsid w:val="00AB4F07"/>
    <w:rsid w:val="00AB5DB0"/>
    <w:rsid w:val="00AB789E"/>
    <w:rsid w:val="00AB7FA7"/>
    <w:rsid w:val="00AC00F3"/>
    <w:rsid w:val="00AC1323"/>
    <w:rsid w:val="00AC1664"/>
    <w:rsid w:val="00AC1BCC"/>
    <w:rsid w:val="00AC5E22"/>
    <w:rsid w:val="00AC5F2D"/>
    <w:rsid w:val="00AC6556"/>
    <w:rsid w:val="00AC6AC3"/>
    <w:rsid w:val="00AC6F5C"/>
    <w:rsid w:val="00AC700D"/>
    <w:rsid w:val="00AC7673"/>
    <w:rsid w:val="00AD1E15"/>
    <w:rsid w:val="00AD5253"/>
    <w:rsid w:val="00AE3844"/>
    <w:rsid w:val="00AE509B"/>
    <w:rsid w:val="00AE5261"/>
    <w:rsid w:val="00AE6522"/>
    <w:rsid w:val="00AF0DB6"/>
    <w:rsid w:val="00AF2774"/>
    <w:rsid w:val="00AF3684"/>
    <w:rsid w:val="00AF3A01"/>
    <w:rsid w:val="00AF3D19"/>
    <w:rsid w:val="00AF4BD5"/>
    <w:rsid w:val="00AF5358"/>
    <w:rsid w:val="00B0071B"/>
    <w:rsid w:val="00B00B9F"/>
    <w:rsid w:val="00B030D7"/>
    <w:rsid w:val="00B03729"/>
    <w:rsid w:val="00B03DBA"/>
    <w:rsid w:val="00B05027"/>
    <w:rsid w:val="00B05098"/>
    <w:rsid w:val="00B068F4"/>
    <w:rsid w:val="00B06A93"/>
    <w:rsid w:val="00B07278"/>
    <w:rsid w:val="00B11B31"/>
    <w:rsid w:val="00B126CB"/>
    <w:rsid w:val="00B13F95"/>
    <w:rsid w:val="00B164B2"/>
    <w:rsid w:val="00B167A4"/>
    <w:rsid w:val="00B16D0C"/>
    <w:rsid w:val="00B17456"/>
    <w:rsid w:val="00B21273"/>
    <w:rsid w:val="00B215E6"/>
    <w:rsid w:val="00B3080C"/>
    <w:rsid w:val="00B319C1"/>
    <w:rsid w:val="00B31CDF"/>
    <w:rsid w:val="00B324B5"/>
    <w:rsid w:val="00B335BE"/>
    <w:rsid w:val="00B34035"/>
    <w:rsid w:val="00B35E03"/>
    <w:rsid w:val="00B36F60"/>
    <w:rsid w:val="00B37B77"/>
    <w:rsid w:val="00B37BAD"/>
    <w:rsid w:val="00B41B86"/>
    <w:rsid w:val="00B4209F"/>
    <w:rsid w:val="00B4313A"/>
    <w:rsid w:val="00B45849"/>
    <w:rsid w:val="00B479C1"/>
    <w:rsid w:val="00B526E5"/>
    <w:rsid w:val="00B54610"/>
    <w:rsid w:val="00B60936"/>
    <w:rsid w:val="00B61857"/>
    <w:rsid w:val="00B663F2"/>
    <w:rsid w:val="00B66710"/>
    <w:rsid w:val="00B669CB"/>
    <w:rsid w:val="00B6712A"/>
    <w:rsid w:val="00B70346"/>
    <w:rsid w:val="00B7124C"/>
    <w:rsid w:val="00B72A7A"/>
    <w:rsid w:val="00B7341F"/>
    <w:rsid w:val="00B73713"/>
    <w:rsid w:val="00B77039"/>
    <w:rsid w:val="00B775A8"/>
    <w:rsid w:val="00B80A50"/>
    <w:rsid w:val="00B81513"/>
    <w:rsid w:val="00B853B8"/>
    <w:rsid w:val="00B86BBD"/>
    <w:rsid w:val="00B910D2"/>
    <w:rsid w:val="00B91B35"/>
    <w:rsid w:val="00B94607"/>
    <w:rsid w:val="00B95CDD"/>
    <w:rsid w:val="00B979F3"/>
    <w:rsid w:val="00BA1631"/>
    <w:rsid w:val="00BA1AA8"/>
    <w:rsid w:val="00BA1C41"/>
    <w:rsid w:val="00BA1EDE"/>
    <w:rsid w:val="00BA1F3A"/>
    <w:rsid w:val="00BA3322"/>
    <w:rsid w:val="00BA3AC8"/>
    <w:rsid w:val="00BA4C47"/>
    <w:rsid w:val="00BA6FF0"/>
    <w:rsid w:val="00BB0A64"/>
    <w:rsid w:val="00BB5B4B"/>
    <w:rsid w:val="00BC285C"/>
    <w:rsid w:val="00BC2CB8"/>
    <w:rsid w:val="00BC333B"/>
    <w:rsid w:val="00BC47C2"/>
    <w:rsid w:val="00BC5C67"/>
    <w:rsid w:val="00BC5E2E"/>
    <w:rsid w:val="00BC674D"/>
    <w:rsid w:val="00BD1378"/>
    <w:rsid w:val="00BD4083"/>
    <w:rsid w:val="00BD41E5"/>
    <w:rsid w:val="00BD5F2F"/>
    <w:rsid w:val="00BD7D6B"/>
    <w:rsid w:val="00BE0586"/>
    <w:rsid w:val="00BE0942"/>
    <w:rsid w:val="00BE0E57"/>
    <w:rsid w:val="00BE2D88"/>
    <w:rsid w:val="00BE32BF"/>
    <w:rsid w:val="00BE3530"/>
    <w:rsid w:val="00BE3E15"/>
    <w:rsid w:val="00BE407C"/>
    <w:rsid w:val="00BE68C3"/>
    <w:rsid w:val="00BE7377"/>
    <w:rsid w:val="00BE788D"/>
    <w:rsid w:val="00BF0E88"/>
    <w:rsid w:val="00BF1CA4"/>
    <w:rsid w:val="00BF1CC5"/>
    <w:rsid w:val="00BF270C"/>
    <w:rsid w:val="00BF380B"/>
    <w:rsid w:val="00BF3B27"/>
    <w:rsid w:val="00BF48E3"/>
    <w:rsid w:val="00BF778F"/>
    <w:rsid w:val="00BF7DE5"/>
    <w:rsid w:val="00C007AD"/>
    <w:rsid w:val="00C00B61"/>
    <w:rsid w:val="00C033F8"/>
    <w:rsid w:val="00C03D46"/>
    <w:rsid w:val="00C03D74"/>
    <w:rsid w:val="00C04795"/>
    <w:rsid w:val="00C0566B"/>
    <w:rsid w:val="00C131E3"/>
    <w:rsid w:val="00C13A60"/>
    <w:rsid w:val="00C13CC4"/>
    <w:rsid w:val="00C13EBF"/>
    <w:rsid w:val="00C177C9"/>
    <w:rsid w:val="00C20D4F"/>
    <w:rsid w:val="00C213D7"/>
    <w:rsid w:val="00C21A05"/>
    <w:rsid w:val="00C22FC0"/>
    <w:rsid w:val="00C2342A"/>
    <w:rsid w:val="00C24683"/>
    <w:rsid w:val="00C2472C"/>
    <w:rsid w:val="00C2545F"/>
    <w:rsid w:val="00C254AD"/>
    <w:rsid w:val="00C26135"/>
    <w:rsid w:val="00C26769"/>
    <w:rsid w:val="00C32AC3"/>
    <w:rsid w:val="00C340D1"/>
    <w:rsid w:val="00C34F66"/>
    <w:rsid w:val="00C400D3"/>
    <w:rsid w:val="00C43EE5"/>
    <w:rsid w:val="00C4446A"/>
    <w:rsid w:val="00C44C57"/>
    <w:rsid w:val="00C47C9C"/>
    <w:rsid w:val="00C53BC2"/>
    <w:rsid w:val="00C540D2"/>
    <w:rsid w:val="00C540DE"/>
    <w:rsid w:val="00C55153"/>
    <w:rsid w:val="00C56E48"/>
    <w:rsid w:val="00C626B1"/>
    <w:rsid w:val="00C630F9"/>
    <w:rsid w:val="00C65807"/>
    <w:rsid w:val="00C65D03"/>
    <w:rsid w:val="00C65F41"/>
    <w:rsid w:val="00C66AA8"/>
    <w:rsid w:val="00C67AF2"/>
    <w:rsid w:val="00C74F2C"/>
    <w:rsid w:val="00C80924"/>
    <w:rsid w:val="00C820B4"/>
    <w:rsid w:val="00C835AA"/>
    <w:rsid w:val="00C84AAE"/>
    <w:rsid w:val="00C8523A"/>
    <w:rsid w:val="00C873E2"/>
    <w:rsid w:val="00C87E82"/>
    <w:rsid w:val="00C91FAB"/>
    <w:rsid w:val="00C9273A"/>
    <w:rsid w:val="00C93A13"/>
    <w:rsid w:val="00C95120"/>
    <w:rsid w:val="00C95904"/>
    <w:rsid w:val="00C9619F"/>
    <w:rsid w:val="00C975C9"/>
    <w:rsid w:val="00CA115E"/>
    <w:rsid w:val="00CA1B58"/>
    <w:rsid w:val="00CA27DD"/>
    <w:rsid w:val="00CA2B7F"/>
    <w:rsid w:val="00CA2E01"/>
    <w:rsid w:val="00CA5C93"/>
    <w:rsid w:val="00CA7BB4"/>
    <w:rsid w:val="00CB1AD0"/>
    <w:rsid w:val="00CB4691"/>
    <w:rsid w:val="00CB51B6"/>
    <w:rsid w:val="00CB5FF4"/>
    <w:rsid w:val="00CB7E39"/>
    <w:rsid w:val="00CC21A2"/>
    <w:rsid w:val="00CC3B39"/>
    <w:rsid w:val="00CC6B5F"/>
    <w:rsid w:val="00CD335C"/>
    <w:rsid w:val="00CD35AE"/>
    <w:rsid w:val="00CD3821"/>
    <w:rsid w:val="00CE091F"/>
    <w:rsid w:val="00CE0DFF"/>
    <w:rsid w:val="00CE176C"/>
    <w:rsid w:val="00CE1CC1"/>
    <w:rsid w:val="00CE5A54"/>
    <w:rsid w:val="00CE5CF8"/>
    <w:rsid w:val="00CE60DE"/>
    <w:rsid w:val="00CE77A2"/>
    <w:rsid w:val="00CF2D8A"/>
    <w:rsid w:val="00CF448F"/>
    <w:rsid w:val="00CF5340"/>
    <w:rsid w:val="00CF7394"/>
    <w:rsid w:val="00CF7DD8"/>
    <w:rsid w:val="00D007BD"/>
    <w:rsid w:val="00D00956"/>
    <w:rsid w:val="00D03257"/>
    <w:rsid w:val="00D03599"/>
    <w:rsid w:val="00D0422A"/>
    <w:rsid w:val="00D044E0"/>
    <w:rsid w:val="00D0576C"/>
    <w:rsid w:val="00D13D8D"/>
    <w:rsid w:val="00D21352"/>
    <w:rsid w:val="00D21496"/>
    <w:rsid w:val="00D21B58"/>
    <w:rsid w:val="00D2207F"/>
    <w:rsid w:val="00D2213F"/>
    <w:rsid w:val="00D22361"/>
    <w:rsid w:val="00D227E9"/>
    <w:rsid w:val="00D2319B"/>
    <w:rsid w:val="00D23D1A"/>
    <w:rsid w:val="00D24FAA"/>
    <w:rsid w:val="00D30FA6"/>
    <w:rsid w:val="00D31D4B"/>
    <w:rsid w:val="00D34B50"/>
    <w:rsid w:val="00D354BD"/>
    <w:rsid w:val="00D375E7"/>
    <w:rsid w:val="00D37F4E"/>
    <w:rsid w:val="00D404C5"/>
    <w:rsid w:val="00D4141D"/>
    <w:rsid w:val="00D4154E"/>
    <w:rsid w:val="00D42810"/>
    <w:rsid w:val="00D438B2"/>
    <w:rsid w:val="00D44389"/>
    <w:rsid w:val="00D47CD2"/>
    <w:rsid w:val="00D47E7E"/>
    <w:rsid w:val="00D504A2"/>
    <w:rsid w:val="00D50DC0"/>
    <w:rsid w:val="00D50F86"/>
    <w:rsid w:val="00D514E3"/>
    <w:rsid w:val="00D521B3"/>
    <w:rsid w:val="00D52C2E"/>
    <w:rsid w:val="00D52D51"/>
    <w:rsid w:val="00D620ED"/>
    <w:rsid w:val="00D632CC"/>
    <w:rsid w:val="00D63E56"/>
    <w:rsid w:val="00D67942"/>
    <w:rsid w:val="00D722ED"/>
    <w:rsid w:val="00D74FF3"/>
    <w:rsid w:val="00D759D4"/>
    <w:rsid w:val="00D81E3A"/>
    <w:rsid w:val="00D8251D"/>
    <w:rsid w:val="00D8473E"/>
    <w:rsid w:val="00D84D68"/>
    <w:rsid w:val="00D91255"/>
    <w:rsid w:val="00D91385"/>
    <w:rsid w:val="00D933B6"/>
    <w:rsid w:val="00D970FE"/>
    <w:rsid w:val="00DA1095"/>
    <w:rsid w:val="00DA175D"/>
    <w:rsid w:val="00DA47C3"/>
    <w:rsid w:val="00DA64DB"/>
    <w:rsid w:val="00DA6D25"/>
    <w:rsid w:val="00DA6FEA"/>
    <w:rsid w:val="00DA7B5A"/>
    <w:rsid w:val="00DB10E0"/>
    <w:rsid w:val="00DB28D2"/>
    <w:rsid w:val="00DB2FA5"/>
    <w:rsid w:val="00DB6902"/>
    <w:rsid w:val="00DB6FCE"/>
    <w:rsid w:val="00DB73D6"/>
    <w:rsid w:val="00DC0D21"/>
    <w:rsid w:val="00DC26B9"/>
    <w:rsid w:val="00DC31AD"/>
    <w:rsid w:val="00DC5D40"/>
    <w:rsid w:val="00DC699F"/>
    <w:rsid w:val="00DD1543"/>
    <w:rsid w:val="00DD164A"/>
    <w:rsid w:val="00DD2859"/>
    <w:rsid w:val="00DD5462"/>
    <w:rsid w:val="00DD7D17"/>
    <w:rsid w:val="00DE233A"/>
    <w:rsid w:val="00DE2501"/>
    <w:rsid w:val="00DE3A98"/>
    <w:rsid w:val="00DE4620"/>
    <w:rsid w:val="00DE7051"/>
    <w:rsid w:val="00DF1AEB"/>
    <w:rsid w:val="00DF280D"/>
    <w:rsid w:val="00DF2C88"/>
    <w:rsid w:val="00DF4399"/>
    <w:rsid w:val="00DF45A9"/>
    <w:rsid w:val="00DF5431"/>
    <w:rsid w:val="00DF705A"/>
    <w:rsid w:val="00DF764A"/>
    <w:rsid w:val="00DF7C98"/>
    <w:rsid w:val="00DF7EB7"/>
    <w:rsid w:val="00E006C1"/>
    <w:rsid w:val="00E01092"/>
    <w:rsid w:val="00E023DB"/>
    <w:rsid w:val="00E03D77"/>
    <w:rsid w:val="00E04524"/>
    <w:rsid w:val="00E04F40"/>
    <w:rsid w:val="00E0509C"/>
    <w:rsid w:val="00E05764"/>
    <w:rsid w:val="00E07173"/>
    <w:rsid w:val="00E10AFA"/>
    <w:rsid w:val="00E11F13"/>
    <w:rsid w:val="00E123C4"/>
    <w:rsid w:val="00E1381A"/>
    <w:rsid w:val="00E14972"/>
    <w:rsid w:val="00E14C5E"/>
    <w:rsid w:val="00E20A1B"/>
    <w:rsid w:val="00E21FD3"/>
    <w:rsid w:val="00E23972"/>
    <w:rsid w:val="00E2406A"/>
    <w:rsid w:val="00E26D38"/>
    <w:rsid w:val="00E27558"/>
    <w:rsid w:val="00E278A3"/>
    <w:rsid w:val="00E32E23"/>
    <w:rsid w:val="00E32FEE"/>
    <w:rsid w:val="00E340CB"/>
    <w:rsid w:val="00E34272"/>
    <w:rsid w:val="00E35F3C"/>
    <w:rsid w:val="00E366CF"/>
    <w:rsid w:val="00E42244"/>
    <w:rsid w:val="00E42E30"/>
    <w:rsid w:val="00E43652"/>
    <w:rsid w:val="00E44149"/>
    <w:rsid w:val="00E45360"/>
    <w:rsid w:val="00E45A2B"/>
    <w:rsid w:val="00E463EF"/>
    <w:rsid w:val="00E46747"/>
    <w:rsid w:val="00E501B2"/>
    <w:rsid w:val="00E51663"/>
    <w:rsid w:val="00E5313C"/>
    <w:rsid w:val="00E5420B"/>
    <w:rsid w:val="00E55985"/>
    <w:rsid w:val="00E55C4F"/>
    <w:rsid w:val="00E57A48"/>
    <w:rsid w:val="00E62CAF"/>
    <w:rsid w:val="00E62EB7"/>
    <w:rsid w:val="00E63F65"/>
    <w:rsid w:val="00E64188"/>
    <w:rsid w:val="00E6593A"/>
    <w:rsid w:val="00E702A7"/>
    <w:rsid w:val="00E703EF"/>
    <w:rsid w:val="00E704AE"/>
    <w:rsid w:val="00E716D8"/>
    <w:rsid w:val="00E7467B"/>
    <w:rsid w:val="00E75C75"/>
    <w:rsid w:val="00E80BAC"/>
    <w:rsid w:val="00E811B0"/>
    <w:rsid w:val="00E8123D"/>
    <w:rsid w:val="00E84541"/>
    <w:rsid w:val="00E85E63"/>
    <w:rsid w:val="00E865C2"/>
    <w:rsid w:val="00E87C1D"/>
    <w:rsid w:val="00E87C69"/>
    <w:rsid w:val="00E902BE"/>
    <w:rsid w:val="00E91420"/>
    <w:rsid w:val="00E93272"/>
    <w:rsid w:val="00E94177"/>
    <w:rsid w:val="00E961F1"/>
    <w:rsid w:val="00E96C7E"/>
    <w:rsid w:val="00EA15D5"/>
    <w:rsid w:val="00EA256F"/>
    <w:rsid w:val="00EA501D"/>
    <w:rsid w:val="00EA5F86"/>
    <w:rsid w:val="00EA6136"/>
    <w:rsid w:val="00EB2C32"/>
    <w:rsid w:val="00EB2DED"/>
    <w:rsid w:val="00EB3983"/>
    <w:rsid w:val="00EB420C"/>
    <w:rsid w:val="00EB5E01"/>
    <w:rsid w:val="00EC0A78"/>
    <w:rsid w:val="00EC0C4D"/>
    <w:rsid w:val="00EC0E6E"/>
    <w:rsid w:val="00EC1D5B"/>
    <w:rsid w:val="00EC2995"/>
    <w:rsid w:val="00EC2C22"/>
    <w:rsid w:val="00EC3EF6"/>
    <w:rsid w:val="00EC42E7"/>
    <w:rsid w:val="00EC44BD"/>
    <w:rsid w:val="00EC6475"/>
    <w:rsid w:val="00EC79DF"/>
    <w:rsid w:val="00ED0763"/>
    <w:rsid w:val="00ED2D87"/>
    <w:rsid w:val="00ED2ED7"/>
    <w:rsid w:val="00ED407A"/>
    <w:rsid w:val="00ED40EE"/>
    <w:rsid w:val="00ED41DF"/>
    <w:rsid w:val="00ED4FE3"/>
    <w:rsid w:val="00EE0351"/>
    <w:rsid w:val="00EE3C9E"/>
    <w:rsid w:val="00EE4248"/>
    <w:rsid w:val="00EE5D63"/>
    <w:rsid w:val="00EE7A48"/>
    <w:rsid w:val="00EF3010"/>
    <w:rsid w:val="00EF3032"/>
    <w:rsid w:val="00EF58BF"/>
    <w:rsid w:val="00EF7C2B"/>
    <w:rsid w:val="00EF7CD6"/>
    <w:rsid w:val="00F00922"/>
    <w:rsid w:val="00F00C87"/>
    <w:rsid w:val="00F05349"/>
    <w:rsid w:val="00F053E0"/>
    <w:rsid w:val="00F13A95"/>
    <w:rsid w:val="00F146DD"/>
    <w:rsid w:val="00F14A12"/>
    <w:rsid w:val="00F167B3"/>
    <w:rsid w:val="00F17073"/>
    <w:rsid w:val="00F225E6"/>
    <w:rsid w:val="00F22DE1"/>
    <w:rsid w:val="00F24895"/>
    <w:rsid w:val="00F269CB"/>
    <w:rsid w:val="00F32959"/>
    <w:rsid w:val="00F34428"/>
    <w:rsid w:val="00F35456"/>
    <w:rsid w:val="00F36767"/>
    <w:rsid w:val="00F40871"/>
    <w:rsid w:val="00F41932"/>
    <w:rsid w:val="00F41CA2"/>
    <w:rsid w:val="00F4503F"/>
    <w:rsid w:val="00F45429"/>
    <w:rsid w:val="00F526CF"/>
    <w:rsid w:val="00F54A79"/>
    <w:rsid w:val="00F57AFA"/>
    <w:rsid w:val="00F62DC2"/>
    <w:rsid w:val="00F63265"/>
    <w:rsid w:val="00F63364"/>
    <w:rsid w:val="00F63D96"/>
    <w:rsid w:val="00F67CCD"/>
    <w:rsid w:val="00F71065"/>
    <w:rsid w:val="00F7384C"/>
    <w:rsid w:val="00F77A9F"/>
    <w:rsid w:val="00F802C6"/>
    <w:rsid w:val="00F80CB1"/>
    <w:rsid w:val="00F8290B"/>
    <w:rsid w:val="00F83C00"/>
    <w:rsid w:val="00F83F0E"/>
    <w:rsid w:val="00F85434"/>
    <w:rsid w:val="00F8716E"/>
    <w:rsid w:val="00F877FF"/>
    <w:rsid w:val="00F879A7"/>
    <w:rsid w:val="00F9010E"/>
    <w:rsid w:val="00F91BB3"/>
    <w:rsid w:val="00F94015"/>
    <w:rsid w:val="00F94241"/>
    <w:rsid w:val="00F97632"/>
    <w:rsid w:val="00FA038D"/>
    <w:rsid w:val="00FA3CC0"/>
    <w:rsid w:val="00FA4D97"/>
    <w:rsid w:val="00FA4EDA"/>
    <w:rsid w:val="00FA5890"/>
    <w:rsid w:val="00FA77EA"/>
    <w:rsid w:val="00FB18B5"/>
    <w:rsid w:val="00FB28C8"/>
    <w:rsid w:val="00FB374B"/>
    <w:rsid w:val="00FB5C39"/>
    <w:rsid w:val="00FB7C00"/>
    <w:rsid w:val="00FC19DE"/>
    <w:rsid w:val="00FC2B51"/>
    <w:rsid w:val="00FC2EA5"/>
    <w:rsid w:val="00FC3EAF"/>
    <w:rsid w:val="00FC4589"/>
    <w:rsid w:val="00FC4633"/>
    <w:rsid w:val="00FC5146"/>
    <w:rsid w:val="00FC655D"/>
    <w:rsid w:val="00FD143F"/>
    <w:rsid w:val="00FD4D27"/>
    <w:rsid w:val="00FD4E50"/>
    <w:rsid w:val="00FD58D8"/>
    <w:rsid w:val="00FD5D38"/>
    <w:rsid w:val="00FD5E1C"/>
    <w:rsid w:val="00FD6F3A"/>
    <w:rsid w:val="00FD73E7"/>
    <w:rsid w:val="00FE15E2"/>
    <w:rsid w:val="00FE369C"/>
    <w:rsid w:val="00FE39DC"/>
    <w:rsid w:val="00FE4A60"/>
    <w:rsid w:val="00FF0F41"/>
    <w:rsid w:val="00FF4584"/>
    <w:rsid w:val="00FF4660"/>
    <w:rsid w:val="00FF550F"/>
    <w:rsid w:val="00FF68BE"/>
    <w:rsid w:val="00FF7469"/>
    <w:rsid w:val="00FF7868"/>
    <w:rsid w:val="00FF78E6"/>
    <w:rsid w:val="010C0502"/>
    <w:rsid w:val="01264FE9"/>
    <w:rsid w:val="0132783D"/>
    <w:rsid w:val="013531F3"/>
    <w:rsid w:val="020C008E"/>
    <w:rsid w:val="024737BC"/>
    <w:rsid w:val="024A470B"/>
    <w:rsid w:val="0250441F"/>
    <w:rsid w:val="027345B1"/>
    <w:rsid w:val="027A149C"/>
    <w:rsid w:val="02896854"/>
    <w:rsid w:val="02902A6D"/>
    <w:rsid w:val="02E45ED5"/>
    <w:rsid w:val="02F32FFC"/>
    <w:rsid w:val="030B6598"/>
    <w:rsid w:val="03174F3D"/>
    <w:rsid w:val="03630182"/>
    <w:rsid w:val="0370464D"/>
    <w:rsid w:val="037E6BB8"/>
    <w:rsid w:val="03830824"/>
    <w:rsid w:val="03870314"/>
    <w:rsid w:val="039B3DC0"/>
    <w:rsid w:val="03A57FB3"/>
    <w:rsid w:val="03C07382"/>
    <w:rsid w:val="03C64B59"/>
    <w:rsid w:val="03EA08A3"/>
    <w:rsid w:val="03FF60FC"/>
    <w:rsid w:val="04365D91"/>
    <w:rsid w:val="045F6B9B"/>
    <w:rsid w:val="04762137"/>
    <w:rsid w:val="04874344"/>
    <w:rsid w:val="049251C3"/>
    <w:rsid w:val="04D055E9"/>
    <w:rsid w:val="04F54056"/>
    <w:rsid w:val="05025778"/>
    <w:rsid w:val="052E47BF"/>
    <w:rsid w:val="05341DD6"/>
    <w:rsid w:val="054802ED"/>
    <w:rsid w:val="05595CE0"/>
    <w:rsid w:val="056B77C2"/>
    <w:rsid w:val="05720B50"/>
    <w:rsid w:val="05761F9D"/>
    <w:rsid w:val="05856AD5"/>
    <w:rsid w:val="058A7C48"/>
    <w:rsid w:val="058C1C12"/>
    <w:rsid w:val="05A14F91"/>
    <w:rsid w:val="05B13426"/>
    <w:rsid w:val="05E41A4E"/>
    <w:rsid w:val="05F257ED"/>
    <w:rsid w:val="060F68BB"/>
    <w:rsid w:val="06681CA0"/>
    <w:rsid w:val="06873766"/>
    <w:rsid w:val="06BD506E"/>
    <w:rsid w:val="06C61153"/>
    <w:rsid w:val="06C62F02"/>
    <w:rsid w:val="06FD269B"/>
    <w:rsid w:val="0764271A"/>
    <w:rsid w:val="076F3599"/>
    <w:rsid w:val="079B5FAE"/>
    <w:rsid w:val="079E3E7E"/>
    <w:rsid w:val="079E79DA"/>
    <w:rsid w:val="07AB20F7"/>
    <w:rsid w:val="07AC659B"/>
    <w:rsid w:val="08161C67"/>
    <w:rsid w:val="08744BDF"/>
    <w:rsid w:val="08777C30"/>
    <w:rsid w:val="088017D6"/>
    <w:rsid w:val="0898267C"/>
    <w:rsid w:val="089B6527"/>
    <w:rsid w:val="08A41020"/>
    <w:rsid w:val="08BD0334"/>
    <w:rsid w:val="08CE0793"/>
    <w:rsid w:val="092255F6"/>
    <w:rsid w:val="094E71DE"/>
    <w:rsid w:val="095A2027"/>
    <w:rsid w:val="097561E4"/>
    <w:rsid w:val="09797736"/>
    <w:rsid w:val="097D0913"/>
    <w:rsid w:val="09906355"/>
    <w:rsid w:val="09970B85"/>
    <w:rsid w:val="09AB619A"/>
    <w:rsid w:val="09BB6C68"/>
    <w:rsid w:val="09BC4A90"/>
    <w:rsid w:val="09C83435"/>
    <w:rsid w:val="09E51014"/>
    <w:rsid w:val="09E57B43"/>
    <w:rsid w:val="0A067AB9"/>
    <w:rsid w:val="0A486323"/>
    <w:rsid w:val="0A636CB9"/>
    <w:rsid w:val="0A71587A"/>
    <w:rsid w:val="0A8600DB"/>
    <w:rsid w:val="0AC534D0"/>
    <w:rsid w:val="0AD11E75"/>
    <w:rsid w:val="0ADD79D4"/>
    <w:rsid w:val="0B050935"/>
    <w:rsid w:val="0B097861"/>
    <w:rsid w:val="0B0C55A3"/>
    <w:rsid w:val="0B343A01"/>
    <w:rsid w:val="0B5512B1"/>
    <w:rsid w:val="0B7078E0"/>
    <w:rsid w:val="0B966523"/>
    <w:rsid w:val="0BA13F3D"/>
    <w:rsid w:val="0BB377CC"/>
    <w:rsid w:val="0BB66F9D"/>
    <w:rsid w:val="0BFBC3B2"/>
    <w:rsid w:val="0C0232B7"/>
    <w:rsid w:val="0C0D15D3"/>
    <w:rsid w:val="0C372D53"/>
    <w:rsid w:val="0C4A3456"/>
    <w:rsid w:val="0C6A2581"/>
    <w:rsid w:val="0C6D3E1F"/>
    <w:rsid w:val="0CA02447"/>
    <w:rsid w:val="0CBE28CD"/>
    <w:rsid w:val="0CCE2B10"/>
    <w:rsid w:val="0CCF21BE"/>
    <w:rsid w:val="0CD619C5"/>
    <w:rsid w:val="0CDF2C80"/>
    <w:rsid w:val="0D240717"/>
    <w:rsid w:val="0D38267F"/>
    <w:rsid w:val="0D417786"/>
    <w:rsid w:val="0D4E7778"/>
    <w:rsid w:val="0D6A3EDB"/>
    <w:rsid w:val="0D7A4A46"/>
    <w:rsid w:val="0D815DD4"/>
    <w:rsid w:val="0DCB704F"/>
    <w:rsid w:val="0DD17CC7"/>
    <w:rsid w:val="0DD423A8"/>
    <w:rsid w:val="0DFD0446"/>
    <w:rsid w:val="0E0A5DCA"/>
    <w:rsid w:val="0E3B75D4"/>
    <w:rsid w:val="0E3C1CFB"/>
    <w:rsid w:val="0E43308A"/>
    <w:rsid w:val="0E5927EC"/>
    <w:rsid w:val="0E664FCA"/>
    <w:rsid w:val="0E6F322E"/>
    <w:rsid w:val="0E9733D5"/>
    <w:rsid w:val="0F2729AB"/>
    <w:rsid w:val="0F3A0931"/>
    <w:rsid w:val="0F655282"/>
    <w:rsid w:val="0F680533"/>
    <w:rsid w:val="0F751969"/>
    <w:rsid w:val="0FAB5527"/>
    <w:rsid w:val="10806817"/>
    <w:rsid w:val="10993435"/>
    <w:rsid w:val="10AF0EAA"/>
    <w:rsid w:val="10D10E21"/>
    <w:rsid w:val="10D40911"/>
    <w:rsid w:val="10EF74F9"/>
    <w:rsid w:val="1105686C"/>
    <w:rsid w:val="11407D54"/>
    <w:rsid w:val="114C494B"/>
    <w:rsid w:val="11E06E41"/>
    <w:rsid w:val="11E9219A"/>
    <w:rsid w:val="120C3280"/>
    <w:rsid w:val="12320AD3"/>
    <w:rsid w:val="123258EF"/>
    <w:rsid w:val="125308C6"/>
    <w:rsid w:val="12746B75"/>
    <w:rsid w:val="12931B0E"/>
    <w:rsid w:val="12CF75E2"/>
    <w:rsid w:val="12E27315"/>
    <w:rsid w:val="12E84200"/>
    <w:rsid w:val="13023513"/>
    <w:rsid w:val="130A23C8"/>
    <w:rsid w:val="130B7EEE"/>
    <w:rsid w:val="13441E3C"/>
    <w:rsid w:val="13695C36"/>
    <w:rsid w:val="137E4DB5"/>
    <w:rsid w:val="13AF2F6F"/>
    <w:rsid w:val="13BE4ED6"/>
    <w:rsid w:val="13CC3B21"/>
    <w:rsid w:val="14495172"/>
    <w:rsid w:val="14681A9C"/>
    <w:rsid w:val="14D0319D"/>
    <w:rsid w:val="14D94748"/>
    <w:rsid w:val="14DB04C0"/>
    <w:rsid w:val="15063063"/>
    <w:rsid w:val="155D7127"/>
    <w:rsid w:val="1588184A"/>
    <w:rsid w:val="15BB3E4D"/>
    <w:rsid w:val="15C947BC"/>
    <w:rsid w:val="15E038B4"/>
    <w:rsid w:val="15EF4118"/>
    <w:rsid w:val="160C46A9"/>
    <w:rsid w:val="163C1560"/>
    <w:rsid w:val="165F0C7D"/>
    <w:rsid w:val="16661FBB"/>
    <w:rsid w:val="16E318AE"/>
    <w:rsid w:val="17051824"/>
    <w:rsid w:val="1715758D"/>
    <w:rsid w:val="17463BEB"/>
    <w:rsid w:val="17486E4C"/>
    <w:rsid w:val="174C1201"/>
    <w:rsid w:val="176F3BD1"/>
    <w:rsid w:val="179039C4"/>
    <w:rsid w:val="1791130A"/>
    <w:rsid w:val="17925102"/>
    <w:rsid w:val="17A54DB5"/>
    <w:rsid w:val="17B648CC"/>
    <w:rsid w:val="17CC63B4"/>
    <w:rsid w:val="17E958DC"/>
    <w:rsid w:val="17EE22B8"/>
    <w:rsid w:val="17EF6030"/>
    <w:rsid w:val="180D7ADF"/>
    <w:rsid w:val="180E295A"/>
    <w:rsid w:val="181B0BD3"/>
    <w:rsid w:val="182C2E8B"/>
    <w:rsid w:val="182C4B8E"/>
    <w:rsid w:val="184B5A18"/>
    <w:rsid w:val="1869193F"/>
    <w:rsid w:val="18695DE3"/>
    <w:rsid w:val="187271C9"/>
    <w:rsid w:val="1881312C"/>
    <w:rsid w:val="18E92B27"/>
    <w:rsid w:val="192817FA"/>
    <w:rsid w:val="1941466A"/>
    <w:rsid w:val="196071E6"/>
    <w:rsid w:val="19766A09"/>
    <w:rsid w:val="198E1EAE"/>
    <w:rsid w:val="19A05834"/>
    <w:rsid w:val="19D454DE"/>
    <w:rsid w:val="19FF5E4F"/>
    <w:rsid w:val="1A0438FB"/>
    <w:rsid w:val="1A1104E0"/>
    <w:rsid w:val="1A255D39"/>
    <w:rsid w:val="1A273773"/>
    <w:rsid w:val="1A2C356C"/>
    <w:rsid w:val="1A3F504D"/>
    <w:rsid w:val="1A450189"/>
    <w:rsid w:val="1A700CC5"/>
    <w:rsid w:val="1A7171D0"/>
    <w:rsid w:val="1A7573D0"/>
    <w:rsid w:val="1A8962C8"/>
    <w:rsid w:val="1A9B0BEB"/>
    <w:rsid w:val="1AB175CD"/>
    <w:rsid w:val="1AB377E9"/>
    <w:rsid w:val="1AEA387D"/>
    <w:rsid w:val="1B122762"/>
    <w:rsid w:val="1B210BF7"/>
    <w:rsid w:val="1B3B6643"/>
    <w:rsid w:val="1B410951"/>
    <w:rsid w:val="1B440441"/>
    <w:rsid w:val="1B495A57"/>
    <w:rsid w:val="1B8F790E"/>
    <w:rsid w:val="1BA535D6"/>
    <w:rsid w:val="1BB479C4"/>
    <w:rsid w:val="1BD05350"/>
    <w:rsid w:val="1C2312C1"/>
    <w:rsid w:val="1C316C17"/>
    <w:rsid w:val="1C421B3F"/>
    <w:rsid w:val="1C796955"/>
    <w:rsid w:val="1C821221"/>
    <w:rsid w:val="1C8B27CB"/>
    <w:rsid w:val="1CB51A07"/>
    <w:rsid w:val="1CB54E52"/>
    <w:rsid w:val="1CF00880"/>
    <w:rsid w:val="1D3F7112"/>
    <w:rsid w:val="1D717880"/>
    <w:rsid w:val="1DD93846"/>
    <w:rsid w:val="1DED4DC0"/>
    <w:rsid w:val="1E14059F"/>
    <w:rsid w:val="1E234C86"/>
    <w:rsid w:val="1E2E373A"/>
    <w:rsid w:val="1E48649A"/>
    <w:rsid w:val="1E58492F"/>
    <w:rsid w:val="1E9A6CF6"/>
    <w:rsid w:val="1EBA7398"/>
    <w:rsid w:val="1EC21DA9"/>
    <w:rsid w:val="1EC93137"/>
    <w:rsid w:val="1ECE50AB"/>
    <w:rsid w:val="1EE039EE"/>
    <w:rsid w:val="1F0E3240"/>
    <w:rsid w:val="1F196F16"/>
    <w:rsid w:val="1F2B2044"/>
    <w:rsid w:val="1F455F33"/>
    <w:rsid w:val="1F481D86"/>
    <w:rsid w:val="1F63358C"/>
    <w:rsid w:val="1F8E612F"/>
    <w:rsid w:val="1FB16C3F"/>
    <w:rsid w:val="1FB262C1"/>
    <w:rsid w:val="200D6967"/>
    <w:rsid w:val="20256A93"/>
    <w:rsid w:val="202C745F"/>
    <w:rsid w:val="2048066F"/>
    <w:rsid w:val="20582A63"/>
    <w:rsid w:val="206A094A"/>
    <w:rsid w:val="20743577"/>
    <w:rsid w:val="20CA13E8"/>
    <w:rsid w:val="20CE0ED9"/>
    <w:rsid w:val="20DD736E"/>
    <w:rsid w:val="21035A46"/>
    <w:rsid w:val="21242932"/>
    <w:rsid w:val="21380A48"/>
    <w:rsid w:val="217A2E0F"/>
    <w:rsid w:val="21921716"/>
    <w:rsid w:val="219F4623"/>
    <w:rsid w:val="21B46321"/>
    <w:rsid w:val="21EA7F94"/>
    <w:rsid w:val="22031056"/>
    <w:rsid w:val="22090649"/>
    <w:rsid w:val="221A374B"/>
    <w:rsid w:val="224063E5"/>
    <w:rsid w:val="22936057"/>
    <w:rsid w:val="229D6DB5"/>
    <w:rsid w:val="22AD2D70"/>
    <w:rsid w:val="22AF297E"/>
    <w:rsid w:val="22BF31CF"/>
    <w:rsid w:val="22C571C7"/>
    <w:rsid w:val="22F17100"/>
    <w:rsid w:val="230B6414"/>
    <w:rsid w:val="231F3C6E"/>
    <w:rsid w:val="232623FE"/>
    <w:rsid w:val="23524AF1"/>
    <w:rsid w:val="2360017B"/>
    <w:rsid w:val="2373123B"/>
    <w:rsid w:val="239A1546"/>
    <w:rsid w:val="23A924A0"/>
    <w:rsid w:val="23B80D9E"/>
    <w:rsid w:val="23B95D62"/>
    <w:rsid w:val="23DF164F"/>
    <w:rsid w:val="24066BDB"/>
    <w:rsid w:val="242157C3"/>
    <w:rsid w:val="24743B45"/>
    <w:rsid w:val="247C6E9E"/>
    <w:rsid w:val="249917FE"/>
    <w:rsid w:val="24B65F0C"/>
    <w:rsid w:val="24FA2FB0"/>
    <w:rsid w:val="25164BFC"/>
    <w:rsid w:val="252F5CBE"/>
    <w:rsid w:val="25850F5F"/>
    <w:rsid w:val="25AA45A6"/>
    <w:rsid w:val="25CB1E8B"/>
    <w:rsid w:val="25D105C8"/>
    <w:rsid w:val="25E87895"/>
    <w:rsid w:val="25EF3DCB"/>
    <w:rsid w:val="25FF1B34"/>
    <w:rsid w:val="26123616"/>
    <w:rsid w:val="26154EB4"/>
    <w:rsid w:val="262B1E4E"/>
    <w:rsid w:val="26385518"/>
    <w:rsid w:val="26667E05"/>
    <w:rsid w:val="269229A8"/>
    <w:rsid w:val="26D20FF7"/>
    <w:rsid w:val="26D62895"/>
    <w:rsid w:val="26E15679"/>
    <w:rsid w:val="26E649A4"/>
    <w:rsid w:val="26E8081A"/>
    <w:rsid w:val="26EA0A6E"/>
    <w:rsid w:val="26EA4592"/>
    <w:rsid w:val="26F36771"/>
    <w:rsid w:val="26F71427"/>
    <w:rsid w:val="27383550"/>
    <w:rsid w:val="27433CA3"/>
    <w:rsid w:val="274C7976"/>
    <w:rsid w:val="27802801"/>
    <w:rsid w:val="27873B8F"/>
    <w:rsid w:val="278C564A"/>
    <w:rsid w:val="2792519C"/>
    <w:rsid w:val="279D33B3"/>
    <w:rsid w:val="27E64767"/>
    <w:rsid w:val="280253D0"/>
    <w:rsid w:val="280653FC"/>
    <w:rsid w:val="28500425"/>
    <w:rsid w:val="28530C17"/>
    <w:rsid w:val="286F2FA1"/>
    <w:rsid w:val="28825125"/>
    <w:rsid w:val="288E0F4E"/>
    <w:rsid w:val="289724F8"/>
    <w:rsid w:val="289E73E3"/>
    <w:rsid w:val="28A01F9F"/>
    <w:rsid w:val="28AD5878"/>
    <w:rsid w:val="28BF09DE"/>
    <w:rsid w:val="28C52950"/>
    <w:rsid w:val="28C80903"/>
    <w:rsid w:val="29001E4B"/>
    <w:rsid w:val="291034DE"/>
    <w:rsid w:val="292C2CB7"/>
    <w:rsid w:val="293D6BFB"/>
    <w:rsid w:val="294E0E09"/>
    <w:rsid w:val="298567F4"/>
    <w:rsid w:val="29A92A24"/>
    <w:rsid w:val="29B63249"/>
    <w:rsid w:val="29BA01ED"/>
    <w:rsid w:val="29F3375E"/>
    <w:rsid w:val="29FB0865"/>
    <w:rsid w:val="2A0B6CFA"/>
    <w:rsid w:val="2A1C76AC"/>
    <w:rsid w:val="2A68414C"/>
    <w:rsid w:val="2A7E7AE8"/>
    <w:rsid w:val="2A8645D2"/>
    <w:rsid w:val="2AD4533E"/>
    <w:rsid w:val="2AF07C9E"/>
    <w:rsid w:val="2B1A4D1A"/>
    <w:rsid w:val="2B465B0F"/>
    <w:rsid w:val="2B5B15BB"/>
    <w:rsid w:val="2B77216D"/>
    <w:rsid w:val="2BE315B0"/>
    <w:rsid w:val="2BE76212"/>
    <w:rsid w:val="2C1D7A22"/>
    <w:rsid w:val="2C475FE3"/>
    <w:rsid w:val="2C5A5D16"/>
    <w:rsid w:val="2C6721E1"/>
    <w:rsid w:val="2C8E776E"/>
    <w:rsid w:val="2C9805ED"/>
    <w:rsid w:val="2C9C1C42"/>
    <w:rsid w:val="2CCB6C14"/>
    <w:rsid w:val="2CD31625"/>
    <w:rsid w:val="2D0143E4"/>
    <w:rsid w:val="2D300825"/>
    <w:rsid w:val="2D6329A9"/>
    <w:rsid w:val="2D8079FF"/>
    <w:rsid w:val="2D8753FE"/>
    <w:rsid w:val="2D880661"/>
    <w:rsid w:val="2D947006"/>
    <w:rsid w:val="2DB31412"/>
    <w:rsid w:val="2DC378EB"/>
    <w:rsid w:val="2E053A60"/>
    <w:rsid w:val="2E10337A"/>
    <w:rsid w:val="2E1A575D"/>
    <w:rsid w:val="2E2B796A"/>
    <w:rsid w:val="2E474078"/>
    <w:rsid w:val="2E786928"/>
    <w:rsid w:val="2EC13E2B"/>
    <w:rsid w:val="2F3445FD"/>
    <w:rsid w:val="2F6641B9"/>
    <w:rsid w:val="2F7F0D9E"/>
    <w:rsid w:val="2F803CE6"/>
    <w:rsid w:val="2F8C4439"/>
    <w:rsid w:val="2F8D01B1"/>
    <w:rsid w:val="2FB8225B"/>
    <w:rsid w:val="2FCA72C2"/>
    <w:rsid w:val="2FCF07C9"/>
    <w:rsid w:val="2FDB2CCA"/>
    <w:rsid w:val="2FEF6776"/>
    <w:rsid w:val="30114F3D"/>
    <w:rsid w:val="30224D9D"/>
    <w:rsid w:val="30915A7F"/>
    <w:rsid w:val="309D476D"/>
    <w:rsid w:val="30A21A3A"/>
    <w:rsid w:val="30A560DE"/>
    <w:rsid w:val="31131651"/>
    <w:rsid w:val="316F36A1"/>
    <w:rsid w:val="31750EFD"/>
    <w:rsid w:val="31903F88"/>
    <w:rsid w:val="31921AAF"/>
    <w:rsid w:val="319770C5"/>
    <w:rsid w:val="31B47C77"/>
    <w:rsid w:val="31CD0D39"/>
    <w:rsid w:val="31D71BB7"/>
    <w:rsid w:val="31E56082"/>
    <w:rsid w:val="31E64C63"/>
    <w:rsid w:val="32004C6A"/>
    <w:rsid w:val="3203475A"/>
    <w:rsid w:val="3207424B"/>
    <w:rsid w:val="32110C25"/>
    <w:rsid w:val="322F37A1"/>
    <w:rsid w:val="32335040"/>
    <w:rsid w:val="323808A8"/>
    <w:rsid w:val="32586854"/>
    <w:rsid w:val="326660F9"/>
    <w:rsid w:val="32827D75"/>
    <w:rsid w:val="32873093"/>
    <w:rsid w:val="328A09D8"/>
    <w:rsid w:val="32AB6B52"/>
    <w:rsid w:val="32AF043E"/>
    <w:rsid w:val="32D22A86"/>
    <w:rsid w:val="32DA195F"/>
    <w:rsid w:val="33131E56"/>
    <w:rsid w:val="333427A2"/>
    <w:rsid w:val="33694A91"/>
    <w:rsid w:val="33792F26"/>
    <w:rsid w:val="338F274A"/>
    <w:rsid w:val="33973635"/>
    <w:rsid w:val="33A95A17"/>
    <w:rsid w:val="33B026C0"/>
    <w:rsid w:val="33C00B55"/>
    <w:rsid w:val="33CA5530"/>
    <w:rsid w:val="33CF2498"/>
    <w:rsid w:val="33ED7470"/>
    <w:rsid w:val="34256C0A"/>
    <w:rsid w:val="34443AB5"/>
    <w:rsid w:val="344C063B"/>
    <w:rsid w:val="34790D61"/>
    <w:rsid w:val="347D6A46"/>
    <w:rsid w:val="34C518B3"/>
    <w:rsid w:val="34CB5A03"/>
    <w:rsid w:val="34F31750"/>
    <w:rsid w:val="34F85173"/>
    <w:rsid w:val="35386E11"/>
    <w:rsid w:val="3560378B"/>
    <w:rsid w:val="35942299"/>
    <w:rsid w:val="35CB558F"/>
    <w:rsid w:val="36317AE8"/>
    <w:rsid w:val="364A2958"/>
    <w:rsid w:val="368A544A"/>
    <w:rsid w:val="368B095E"/>
    <w:rsid w:val="369246BF"/>
    <w:rsid w:val="36BB3856"/>
    <w:rsid w:val="3701378C"/>
    <w:rsid w:val="37041B45"/>
    <w:rsid w:val="372609E7"/>
    <w:rsid w:val="372633C5"/>
    <w:rsid w:val="37282702"/>
    <w:rsid w:val="37465815"/>
    <w:rsid w:val="37702892"/>
    <w:rsid w:val="377207C1"/>
    <w:rsid w:val="37B17BB1"/>
    <w:rsid w:val="37B24C58"/>
    <w:rsid w:val="37C036A0"/>
    <w:rsid w:val="37E24032"/>
    <w:rsid w:val="37EA2644"/>
    <w:rsid w:val="38471845"/>
    <w:rsid w:val="387E2D8D"/>
    <w:rsid w:val="389E24AD"/>
    <w:rsid w:val="38A04AB1"/>
    <w:rsid w:val="38AA1DD4"/>
    <w:rsid w:val="38B467AE"/>
    <w:rsid w:val="38B844F1"/>
    <w:rsid w:val="38F06470"/>
    <w:rsid w:val="39241B86"/>
    <w:rsid w:val="392840E5"/>
    <w:rsid w:val="39697599"/>
    <w:rsid w:val="39803939"/>
    <w:rsid w:val="3A0D261A"/>
    <w:rsid w:val="3A175247"/>
    <w:rsid w:val="3A1B478A"/>
    <w:rsid w:val="3A1C460B"/>
    <w:rsid w:val="3A294E3A"/>
    <w:rsid w:val="3A706705"/>
    <w:rsid w:val="3A887EF3"/>
    <w:rsid w:val="3A8D375B"/>
    <w:rsid w:val="3A9E028E"/>
    <w:rsid w:val="3AA46EC2"/>
    <w:rsid w:val="3AC3717D"/>
    <w:rsid w:val="3AE710BD"/>
    <w:rsid w:val="3AF42D92"/>
    <w:rsid w:val="3B0F229E"/>
    <w:rsid w:val="3B2B74FF"/>
    <w:rsid w:val="3B52394A"/>
    <w:rsid w:val="3B6F0E10"/>
    <w:rsid w:val="3B7B35B3"/>
    <w:rsid w:val="3B7F12F6"/>
    <w:rsid w:val="3B8E130B"/>
    <w:rsid w:val="3B9D352A"/>
    <w:rsid w:val="3BAD3B3F"/>
    <w:rsid w:val="3BB30F9F"/>
    <w:rsid w:val="3BC136BC"/>
    <w:rsid w:val="3BC82C9D"/>
    <w:rsid w:val="3BD11425"/>
    <w:rsid w:val="3BD771D7"/>
    <w:rsid w:val="3BDF7FE6"/>
    <w:rsid w:val="3BE850ED"/>
    <w:rsid w:val="3C885F88"/>
    <w:rsid w:val="3CEF6007"/>
    <w:rsid w:val="3CFE449C"/>
    <w:rsid w:val="3D0D46DF"/>
    <w:rsid w:val="3D1E4B3E"/>
    <w:rsid w:val="3D2959BD"/>
    <w:rsid w:val="3D344362"/>
    <w:rsid w:val="3D4F3E78"/>
    <w:rsid w:val="3D827BF5"/>
    <w:rsid w:val="3D9B7F3D"/>
    <w:rsid w:val="3DB2746C"/>
    <w:rsid w:val="3DC05072"/>
    <w:rsid w:val="3DCC6348"/>
    <w:rsid w:val="3DFD6502"/>
    <w:rsid w:val="3E0930F8"/>
    <w:rsid w:val="3E1A5306"/>
    <w:rsid w:val="3E2148E6"/>
    <w:rsid w:val="3E260862"/>
    <w:rsid w:val="3E2C6DE7"/>
    <w:rsid w:val="3E4B3711"/>
    <w:rsid w:val="3E7964D0"/>
    <w:rsid w:val="3E7D047A"/>
    <w:rsid w:val="3E7E5894"/>
    <w:rsid w:val="3E864749"/>
    <w:rsid w:val="3E956109"/>
    <w:rsid w:val="3EA90A54"/>
    <w:rsid w:val="3EAF3CA0"/>
    <w:rsid w:val="3EB43064"/>
    <w:rsid w:val="3EBC6496"/>
    <w:rsid w:val="3ED5122D"/>
    <w:rsid w:val="3F012022"/>
    <w:rsid w:val="3F6B7328"/>
    <w:rsid w:val="3F8F3AD1"/>
    <w:rsid w:val="3FBD063E"/>
    <w:rsid w:val="3FBE6ABC"/>
    <w:rsid w:val="3FDD2F01"/>
    <w:rsid w:val="3FE23C01"/>
    <w:rsid w:val="3FF3B34D"/>
    <w:rsid w:val="40063D93"/>
    <w:rsid w:val="40204729"/>
    <w:rsid w:val="40371B61"/>
    <w:rsid w:val="40442B0E"/>
    <w:rsid w:val="40503261"/>
    <w:rsid w:val="40662A84"/>
    <w:rsid w:val="408178BE"/>
    <w:rsid w:val="40D03D17"/>
    <w:rsid w:val="413260C8"/>
    <w:rsid w:val="417714CA"/>
    <w:rsid w:val="418036D2"/>
    <w:rsid w:val="41870F04"/>
    <w:rsid w:val="418D5DEE"/>
    <w:rsid w:val="41AE46E3"/>
    <w:rsid w:val="41B617E9"/>
    <w:rsid w:val="41B80B32"/>
    <w:rsid w:val="41C55588"/>
    <w:rsid w:val="41E70A4E"/>
    <w:rsid w:val="41F67F27"/>
    <w:rsid w:val="42181B5C"/>
    <w:rsid w:val="42187DAE"/>
    <w:rsid w:val="422B5D33"/>
    <w:rsid w:val="422C5BEA"/>
    <w:rsid w:val="424010B3"/>
    <w:rsid w:val="42444912"/>
    <w:rsid w:val="4246491B"/>
    <w:rsid w:val="425B7C9B"/>
    <w:rsid w:val="42957651"/>
    <w:rsid w:val="42984A4B"/>
    <w:rsid w:val="429A07C3"/>
    <w:rsid w:val="42EA799C"/>
    <w:rsid w:val="42F00D2B"/>
    <w:rsid w:val="42F9198D"/>
    <w:rsid w:val="430B16C1"/>
    <w:rsid w:val="435412BA"/>
    <w:rsid w:val="43617533"/>
    <w:rsid w:val="43811983"/>
    <w:rsid w:val="442A3DC9"/>
    <w:rsid w:val="442C5D93"/>
    <w:rsid w:val="44A1052F"/>
    <w:rsid w:val="4508410A"/>
    <w:rsid w:val="450B3510"/>
    <w:rsid w:val="452B604A"/>
    <w:rsid w:val="45466251"/>
    <w:rsid w:val="454A0C3D"/>
    <w:rsid w:val="45833892"/>
    <w:rsid w:val="45844431"/>
    <w:rsid w:val="458E2F8D"/>
    <w:rsid w:val="458F482B"/>
    <w:rsid w:val="45AA6F6F"/>
    <w:rsid w:val="45BB491C"/>
    <w:rsid w:val="45C444FC"/>
    <w:rsid w:val="45CE5353"/>
    <w:rsid w:val="461940F5"/>
    <w:rsid w:val="462B7D2E"/>
    <w:rsid w:val="462C555D"/>
    <w:rsid w:val="4651096A"/>
    <w:rsid w:val="465348A0"/>
    <w:rsid w:val="46674E60"/>
    <w:rsid w:val="46A72415"/>
    <w:rsid w:val="46C40504"/>
    <w:rsid w:val="46FE3A16"/>
    <w:rsid w:val="47330A3E"/>
    <w:rsid w:val="475630E3"/>
    <w:rsid w:val="478A52AA"/>
    <w:rsid w:val="47AA76FA"/>
    <w:rsid w:val="47BE0573"/>
    <w:rsid w:val="47C17108"/>
    <w:rsid w:val="47D06A35"/>
    <w:rsid w:val="47D12ED9"/>
    <w:rsid w:val="47E04ECA"/>
    <w:rsid w:val="48050DD4"/>
    <w:rsid w:val="483671E0"/>
    <w:rsid w:val="48401E0D"/>
    <w:rsid w:val="485338EE"/>
    <w:rsid w:val="48AE321A"/>
    <w:rsid w:val="48B9571B"/>
    <w:rsid w:val="48D34A2F"/>
    <w:rsid w:val="48EC5AF0"/>
    <w:rsid w:val="48F055E1"/>
    <w:rsid w:val="49064E04"/>
    <w:rsid w:val="49177011"/>
    <w:rsid w:val="49492F43"/>
    <w:rsid w:val="49725FF6"/>
    <w:rsid w:val="497A30FC"/>
    <w:rsid w:val="49836455"/>
    <w:rsid w:val="49867CF3"/>
    <w:rsid w:val="49AD1724"/>
    <w:rsid w:val="49BE748D"/>
    <w:rsid w:val="4A0A26D2"/>
    <w:rsid w:val="4A1930E3"/>
    <w:rsid w:val="4A421E6C"/>
    <w:rsid w:val="4A4638A0"/>
    <w:rsid w:val="4A537D07"/>
    <w:rsid w:val="4A5751EC"/>
    <w:rsid w:val="4A6D4A0F"/>
    <w:rsid w:val="4AB03279"/>
    <w:rsid w:val="4AB31D2A"/>
    <w:rsid w:val="4AD77089"/>
    <w:rsid w:val="4AE53522"/>
    <w:rsid w:val="4B1B446B"/>
    <w:rsid w:val="4B6E5348"/>
    <w:rsid w:val="4B7324F9"/>
    <w:rsid w:val="4B86753E"/>
    <w:rsid w:val="4B9E7576"/>
    <w:rsid w:val="4BC16427"/>
    <w:rsid w:val="4BC32B39"/>
    <w:rsid w:val="4BCD1C09"/>
    <w:rsid w:val="4C136D28"/>
    <w:rsid w:val="4C2555A1"/>
    <w:rsid w:val="4C6065D9"/>
    <w:rsid w:val="4C6D6F48"/>
    <w:rsid w:val="4C746529"/>
    <w:rsid w:val="4C786019"/>
    <w:rsid w:val="4C7D74B7"/>
    <w:rsid w:val="4CF0343A"/>
    <w:rsid w:val="4D151ABA"/>
    <w:rsid w:val="4D4203D5"/>
    <w:rsid w:val="4D461C73"/>
    <w:rsid w:val="4D722A68"/>
    <w:rsid w:val="4D8E361A"/>
    <w:rsid w:val="4DB017E2"/>
    <w:rsid w:val="4DC25072"/>
    <w:rsid w:val="4DEB2922"/>
    <w:rsid w:val="4DF81A75"/>
    <w:rsid w:val="4E153973"/>
    <w:rsid w:val="4E192EE4"/>
    <w:rsid w:val="4E7740AE"/>
    <w:rsid w:val="4E7C3473"/>
    <w:rsid w:val="4EAA7FE0"/>
    <w:rsid w:val="4EBB21ED"/>
    <w:rsid w:val="4EC15329"/>
    <w:rsid w:val="4F135B85"/>
    <w:rsid w:val="4F756840"/>
    <w:rsid w:val="4F870321"/>
    <w:rsid w:val="4F912F4E"/>
    <w:rsid w:val="4FBF5D0D"/>
    <w:rsid w:val="4FD01CC8"/>
    <w:rsid w:val="4FEC4A28"/>
    <w:rsid w:val="50186E2B"/>
    <w:rsid w:val="50306C0B"/>
    <w:rsid w:val="5032373E"/>
    <w:rsid w:val="50357D7D"/>
    <w:rsid w:val="50926F7D"/>
    <w:rsid w:val="509E5922"/>
    <w:rsid w:val="50C64592"/>
    <w:rsid w:val="50CE26AB"/>
    <w:rsid w:val="50D253CB"/>
    <w:rsid w:val="50E7551B"/>
    <w:rsid w:val="511011B8"/>
    <w:rsid w:val="51121E6C"/>
    <w:rsid w:val="51B11329"/>
    <w:rsid w:val="51C413B8"/>
    <w:rsid w:val="51C83263"/>
    <w:rsid w:val="51D81308"/>
    <w:rsid w:val="51E732F9"/>
    <w:rsid w:val="51FD16F6"/>
    <w:rsid w:val="52067C23"/>
    <w:rsid w:val="520C71F7"/>
    <w:rsid w:val="52112EE8"/>
    <w:rsid w:val="521F6F37"/>
    <w:rsid w:val="522462FB"/>
    <w:rsid w:val="523E068B"/>
    <w:rsid w:val="52646195"/>
    <w:rsid w:val="52704D94"/>
    <w:rsid w:val="527C6137"/>
    <w:rsid w:val="528154FB"/>
    <w:rsid w:val="528D3EA0"/>
    <w:rsid w:val="52CA25D7"/>
    <w:rsid w:val="52D71FC3"/>
    <w:rsid w:val="5349426B"/>
    <w:rsid w:val="53542C10"/>
    <w:rsid w:val="53894668"/>
    <w:rsid w:val="53D53D51"/>
    <w:rsid w:val="54065CB8"/>
    <w:rsid w:val="540B3937"/>
    <w:rsid w:val="540E2DBF"/>
    <w:rsid w:val="54102FDB"/>
    <w:rsid w:val="54134879"/>
    <w:rsid w:val="54414F42"/>
    <w:rsid w:val="54576514"/>
    <w:rsid w:val="546E1AAF"/>
    <w:rsid w:val="5474356A"/>
    <w:rsid w:val="5481389E"/>
    <w:rsid w:val="548412D3"/>
    <w:rsid w:val="5489107D"/>
    <w:rsid w:val="548B440F"/>
    <w:rsid w:val="54B03E76"/>
    <w:rsid w:val="54C0510F"/>
    <w:rsid w:val="54C76E9D"/>
    <w:rsid w:val="54DB5397"/>
    <w:rsid w:val="54EA55DA"/>
    <w:rsid w:val="54FB77E7"/>
    <w:rsid w:val="554F368F"/>
    <w:rsid w:val="55524F2D"/>
    <w:rsid w:val="556D1D67"/>
    <w:rsid w:val="559D4C79"/>
    <w:rsid w:val="55B61960"/>
    <w:rsid w:val="55BD3CD6"/>
    <w:rsid w:val="55DD5AFE"/>
    <w:rsid w:val="55E55DA1"/>
    <w:rsid w:val="56097CE2"/>
    <w:rsid w:val="56130B60"/>
    <w:rsid w:val="565151E5"/>
    <w:rsid w:val="56665134"/>
    <w:rsid w:val="56856B95"/>
    <w:rsid w:val="56A874FB"/>
    <w:rsid w:val="56C56129"/>
    <w:rsid w:val="56E147BB"/>
    <w:rsid w:val="57012BCC"/>
    <w:rsid w:val="573214BA"/>
    <w:rsid w:val="57544F8D"/>
    <w:rsid w:val="575D270F"/>
    <w:rsid w:val="576511D6"/>
    <w:rsid w:val="57711FE2"/>
    <w:rsid w:val="577606F8"/>
    <w:rsid w:val="57821E3F"/>
    <w:rsid w:val="578810DA"/>
    <w:rsid w:val="57CE11E3"/>
    <w:rsid w:val="57D85BBE"/>
    <w:rsid w:val="58112E7E"/>
    <w:rsid w:val="5816199B"/>
    <w:rsid w:val="58333592"/>
    <w:rsid w:val="583C439E"/>
    <w:rsid w:val="58873140"/>
    <w:rsid w:val="588875E4"/>
    <w:rsid w:val="58900396"/>
    <w:rsid w:val="589F0489"/>
    <w:rsid w:val="58CE0D6F"/>
    <w:rsid w:val="58D327E6"/>
    <w:rsid w:val="58F34F6C"/>
    <w:rsid w:val="590429E2"/>
    <w:rsid w:val="59253085"/>
    <w:rsid w:val="5988716F"/>
    <w:rsid w:val="59AA358A"/>
    <w:rsid w:val="59BE0DE3"/>
    <w:rsid w:val="59C6667A"/>
    <w:rsid w:val="59C778E7"/>
    <w:rsid w:val="59E27611"/>
    <w:rsid w:val="5A2A0227"/>
    <w:rsid w:val="5A407A4A"/>
    <w:rsid w:val="5A530D01"/>
    <w:rsid w:val="5A6776CD"/>
    <w:rsid w:val="5A7221D0"/>
    <w:rsid w:val="5AC04DAE"/>
    <w:rsid w:val="5AC266B1"/>
    <w:rsid w:val="5ADD72A9"/>
    <w:rsid w:val="5AEE022E"/>
    <w:rsid w:val="5AFB6602"/>
    <w:rsid w:val="5B15248B"/>
    <w:rsid w:val="5B4F263B"/>
    <w:rsid w:val="5B50145B"/>
    <w:rsid w:val="5B647768"/>
    <w:rsid w:val="5B7976B8"/>
    <w:rsid w:val="5BB406F0"/>
    <w:rsid w:val="5BC76675"/>
    <w:rsid w:val="5C1C45D6"/>
    <w:rsid w:val="5C1F025F"/>
    <w:rsid w:val="5C272C70"/>
    <w:rsid w:val="5C7165E1"/>
    <w:rsid w:val="5CCE758F"/>
    <w:rsid w:val="5CFC234E"/>
    <w:rsid w:val="5D2A46EA"/>
    <w:rsid w:val="5D2E4F87"/>
    <w:rsid w:val="5D2F247B"/>
    <w:rsid w:val="5D921815"/>
    <w:rsid w:val="5DA768D4"/>
    <w:rsid w:val="5DB93D9B"/>
    <w:rsid w:val="5DE828D3"/>
    <w:rsid w:val="5E0A2849"/>
    <w:rsid w:val="5E954808"/>
    <w:rsid w:val="5EAE1426"/>
    <w:rsid w:val="5EFD0600"/>
    <w:rsid w:val="5F092B01"/>
    <w:rsid w:val="5F1267B5"/>
    <w:rsid w:val="5F1576F7"/>
    <w:rsid w:val="5F1871E8"/>
    <w:rsid w:val="5F24793A"/>
    <w:rsid w:val="5F667F53"/>
    <w:rsid w:val="5F7F7267"/>
    <w:rsid w:val="5F9D03B8"/>
    <w:rsid w:val="5FB40CBE"/>
    <w:rsid w:val="5FE86BBA"/>
    <w:rsid w:val="5FF70045"/>
    <w:rsid w:val="5FFA3418"/>
    <w:rsid w:val="60234096"/>
    <w:rsid w:val="60593614"/>
    <w:rsid w:val="606326E4"/>
    <w:rsid w:val="60A24FBB"/>
    <w:rsid w:val="60A32AE1"/>
    <w:rsid w:val="60AE1BB1"/>
    <w:rsid w:val="60C963FD"/>
    <w:rsid w:val="60C969EB"/>
    <w:rsid w:val="60DB671F"/>
    <w:rsid w:val="60F5158E"/>
    <w:rsid w:val="60FD48E7"/>
    <w:rsid w:val="6109328C"/>
    <w:rsid w:val="611D1A4C"/>
    <w:rsid w:val="61243C22"/>
    <w:rsid w:val="61251748"/>
    <w:rsid w:val="61354C2B"/>
    <w:rsid w:val="618B5A4F"/>
    <w:rsid w:val="618F680B"/>
    <w:rsid w:val="61DE2022"/>
    <w:rsid w:val="61FE4473"/>
    <w:rsid w:val="622B7232"/>
    <w:rsid w:val="622D2FAA"/>
    <w:rsid w:val="62375BD7"/>
    <w:rsid w:val="62465009"/>
    <w:rsid w:val="62465E1A"/>
    <w:rsid w:val="62593D9F"/>
    <w:rsid w:val="62683FE2"/>
    <w:rsid w:val="628030DA"/>
    <w:rsid w:val="629D3C8C"/>
    <w:rsid w:val="62A0552A"/>
    <w:rsid w:val="62E21FE6"/>
    <w:rsid w:val="62E82422"/>
    <w:rsid w:val="62F53AC8"/>
    <w:rsid w:val="63035AB9"/>
    <w:rsid w:val="631A5562"/>
    <w:rsid w:val="634E31D8"/>
    <w:rsid w:val="63610009"/>
    <w:rsid w:val="63827325"/>
    <w:rsid w:val="638F6AE5"/>
    <w:rsid w:val="63952BB5"/>
    <w:rsid w:val="63AD43A2"/>
    <w:rsid w:val="63FF2724"/>
    <w:rsid w:val="64061D04"/>
    <w:rsid w:val="643A375C"/>
    <w:rsid w:val="644D348F"/>
    <w:rsid w:val="646B1B68"/>
    <w:rsid w:val="647C3D75"/>
    <w:rsid w:val="6488707F"/>
    <w:rsid w:val="64930237"/>
    <w:rsid w:val="64962440"/>
    <w:rsid w:val="64964E36"/>
    <w:rsid w:val="64A532CB"/>
    <w:rsid w:val="64B82FFF"/>
    <w:rsid w:val="64F93617"/>
    <w:rsid w:val="64F96CC7"/>
    <w:rsid w:val="64FE478A"/>
    <w:rsid w:val="65147765"/>
    <w:rsid w:val="652266CA"/>
    <w:rsid w:val="655E133F"/>
    <w:rsid w:val="65644F35"/>
    <w:rsid w:val="658729D1"/>
    <w:rsid w:val="65876E75"/>
    <w:rsid w:val="65907AD8"/>
    <w:rsid w:val="659550EE"/>
    <w:rsid w:val="65BD4645"/>
    <w:rsid w:val="65D200F0"/>
    <w:rsid w:val="660B53B0"/>
    <w:rsid w:val="665E7BD6"/>
    <w:rsid w:val="66611474"/>
    <w:rsid w:val="666B5E4F"/>
    <w:rsid w:val="668313EA"/>
    <w:rsid w:val="66925AD1"/>
    <w:rsid w:val="66AD24F1"/>
    <w:rsid w:val="66B21CD0"/>
    <w:rsid w:val="66C043ED"/>
    <w:rsid w:val="66C84A23"/>
    <w:rsid w:val="66CF2882"/>
    <w:rsid w:val="66DE4873"/>
    <w:rsid w:val="6712451C"/>
    <w:rsid w:val="672E75A8"/>
    <w:rsid w:val="672F2593"/>
    <w:rsid w:val="6744501E"/>
    <w:rsid w:val="67530DBD"/>
    <w:rsid w:val="675D2A1E"/>
    <w:rsid w:val="67632F3A"/>
    <w:rsid w:val="676A6106"/>
    <w:rsid w:val="67CB129B"/>
    <w:rsid w:val="67E8230A"/>
    <w:rsid w:val="67F72090"/>
    <w:rsid w:val="68242759"/>
    <w:rsid w:val="6828049B"/>
    <w:rsid w:val="68D0658D"/>
    <w:rsid w:val="68D72731"/>
    <w:rsid w:val="68FB72E9"/>
    <w:rsid w:val="69140A20"/>
    <w:rsid w:val="695706BC"/>
    <w:rsid w:val="69777C99"/>
    <w:rsid w:val="697D0373"/>
    <w:rsid w:val="697E40EB"/>
    <w:rsid w:val="6989589F"/>
    <w:rsid w:val="69A91168"/>
    <w:rsid w:val="69B8584F"/>
    <w:rsid w:val="69E2467A"/>
    <w:rsid w:val="69EC72A7"/>
    <w:rsid w:val="6A040A94"/>
    <w:rsid w:val="6A3550F2"/>
    <w:rsid w:val="6A581AEC"/>
    <w:rsid w:val="6A6B28C1"/>
    <w:rsid w:val="6A6D488B"/>
    <w:rsid w:val="6A710359"/>
    <w:rsid w:val="6A80346D"/>
    <w:rsid w:val="6A856939"/>
    <w:rsid w:val="6AA85D86"/>
    <w:rsid w:val="6AB42B03"/>
    <w:rsid w:val="6AC02C0D"/>
    <w:rsid w:val="6AC34B1A"/>
    <w:rsid w:val="6ADC556D"/>
    <w:rsid w:val="6AEA1A38"/>
    <w:rsid w:val="6AF403FB"/>
    <w:rsid w:val="6AF9611F"/>
    <w:rsid w:val="6B07083C"/>
    <w:rsid w:val="6B1D4EA6"/>
    <w:rsid w:val="6B494F04"/>
    <w:rsid w:val="6B4E24B7"/>
    <w:rsid w:val="6B4F21E3"/>
    <w:rsid w:val="6B6C0BDE"/>
    <w:rsid w:val="6B855C05"/>
    <w:rsid w:val="6BE13951"/>
    <w:rsid w:val="6C0B435C"/>
    <w:rsid w:val="6C0F78F7"/>
    <w:rsid w:val="6C4D46FD"/>
    <w:rsid w:val="6C7C7008"/>
    <w:rsid w:val="6C9C3206"/>
    <w:rsid w:val="6CD04C5E"/>
    <w:rsid w:val="6CF50B68"/>
    <w:rsid w:val="6D194857"/>
    <w:rsid w:val="6D7E0B5E"/>
    <w:rsid w:val="6D800432"/>
    <w:rsid w:val="6DA528C6"/>
    <w:rsid w:val="6DD62748"/>
    <w:rsid w:val="6DDB1B0C"/>
    <w:rsid w:val="6DFF3A4C"/>
    <w:rsid w:val="6E005A16"/>
    <w:rsid w:val="6E03502F"/>
    <w:rsid w:val="6E1A0886"/>
    <w:rsid w:val="6E31797E"/>
    <w:rsid w:val="6E3B0847"/>
    <w:rsid w:val="6E423939"/>
    <w:rsid w:val="6E4753F3"/>
    <w:rsid w:val="6E5518BE"/>
    <w:rsid w:val="6E9F6FDD"/>
    <w:rsid w:val="6EE56CB6"/>
    <w:rsid w:val="6EE6684B"/>
    <w:rsid w:val="6EF32E85"/>
    <w:rsid w:val="6EF70BC7"/>
    <w:rsid w:val="6F0F60B4"/>
    <w:rsid w:val="6F543924"/>
    <w:rsid w:val="6F9A72C5"/>
    <w:rsid w:val="6F9D22B8"/>
    <w:rsid w:val="6FA32AFD"/>
    <w:rsid w:val="6FD20CED"/>
    <w:rsid w:val="6FD76303"/>
    <w:rsid w:val="6FE62692"/>
    <w:rsid w:val="6FE70C3C"/>
    <w:rsid w:val="6FF869A5"/>
    <w:rsid w:val="70025A76"/>
    <w:rsid w:val="701D200D"/>
    <w:rsid w:val="70657DB3"/>
    <w:rsid w:val="70BF683C"/>
    <w:rsid w:val="70CB230C"/>
    <w:rsid w:val="70DB22DD"/>
    <w:rsid w:val="70E21403"/>
    <w:rsid w:val="70F25AEA"/>
    <w:rsid w:val="70FF5B11"/>
    <w:rsid w:val="71036320"/>
    <w:rsid w:val="712D08D1"/>
    <w:rsid w:val="715045BF"/>
    <w:rsid w:val="71557E27"/>
    <w:rsid w:val="715776FB"/>
    <w:rsid w:val="716360A0"/>
    <w:rsid w:val="717209D9"/>
    <w:rsid w:val="71771B4C"/>
    <w:rsid w:val="71797DD7"/>
    <w:rsid w:val="71AB5C99"/>
    <w:rsid w:val="71B2527A"/>
    <w:rsid w:val="71D84CE0"/>
    <w:rsid w:val="720F447A"/>
    <w:rsid w:val="721538A5"/>
    <w:rsid w:val="72192C03"/>
    <w:rsid w:val="72284FDE"/>
    <w:rsid w:val="723F6B0D"/>
    <w:rsid w:val="727F515C"/>
    <w:rsid w:val="727F59CD"/>
    <w:rsid w:val="72964253"/>
    <w:rsid w:val="729A1F96"/>
    <w:rsid w:val="729F75AC"/>
    <w:rsid w:val="72AC77DF"/>
    <w:rsid w:val="72DF3E4C"/>
    <w:rsid w:val="72E2406D"/>
    <w:rsid w:val="73090EC9"/>
    <w:rsid w:val="7320374B"/>
    <w:rsid w:val="73487C44"/>
    <w:rsid w:val="737547B1"/>
    <w:rsid w:val="739E5AB6"/>
    <w:rsid w:val="73A40BF2"/>
    <w:rsid w:val="73B21561"/>
    <w:rsid w:val="73DC038C"/>
    <w:rsid w:val="73F05BE5"/>
    <w:rsid w:val="74087741"/>
    <w:rsid w:val="742A7349"/>
    <w:rsid w:val="743C0E2B"/>
    <w:rsid w:val="744A3547"/>
    <w:rsid w:val="745F3497"/>
    <w:rsid w:val="746D75B0"/>
    <w:rsid w:val="748527D2"/>
    <w:rsid w:val="74874982"/>
    <w:rsid w:val="748A1329"/>
    <w:rsid w:val="74AB66DC"/>
    <w:rsid w:val="74B706C6"/>
    <w:rsid w:val="74BE7A92"/>
    <w:rsid w:val="74CC21AE"/>
    <w:rsid w:val="74FD2BE4"/>
    <w:rsid w:val="750E6ABD"/>
    <w:rsid w:val="751122B7"/>
    <w:rsid w:val="755F3023"/>
    <w:rsid w:val="75640639"/>
    <w:rsid w:val="75671ED7"/>
    <w:rsid w:val="756E0DE3"/>
    <w:rsid w:val="759A22AD"/>
    <w:rsid w:val="75D532E5"/>
    <w:rsid w:val="75F776FF"/>
    <w:rsid w:val="760029C6"/>
    <w:rsid w:val="764D731F"/>
    <w:rsid w:val="76A82D0B"/>
    <w:rsid w:val="76BF12EE"/>
    <w:rsid w:val="76C77A80"/>
    <w:rsid w:val="77560455"/>
    <w:rsid w:val="77617526"/>
    <w:rsid w:val="77732DB5"/>
    <w:rsid w:val="7793320B"/>
    <w:rsid w:val="77D41D63"/>
    <w:rsid w:val="77EB2296"/>
    <w:rsid w:val="7803238B"/>
    <w:rsid w:val="78197E01"/>
    <w:rsid w:val="78393FA6"/>
    <w:rsid w:val="785265B0"/>
    <w:rsid w:val="785B047D"/>
    <w:rsid w:val="78657B0F"/>
    <w:rsid w:val="78CE0BEB"/>
    <w:rsid w:val="798E037A"/>
    <w:rsid w:val="79930431"/>
    <w:rsid w:val="79BA084C"/>
    <w:rsid w:val="79D20267"/>
    <w:rsid w:val="7A010B4C"/>
    <w:rsid w:val="7A0207AA"/>
    <w:rsid w:val="7A0A2078"/>
    <w:rsid w:val="7A262361"/>
    <w:rsid w:val="7A4D1FE3"/>
    <w:rsid w:val="7A4F75B8"/>
    <w:rsid w:val="7A97325F"/>
    <w:rsid w:val="7A9920F2"/>
    <w:rsid w:val="7AAA4D40"/>
    <w:rsid w:val="7ADD6424"/>
    <w:rsid w:val="7AE5221C"/>
    <w:rsid w:val="7B252618"/>
    <w:rsid w:val="7B354F51"/>
    <w:rsid w:val="7B445194"/>
    <w:rsid w:val="7B51340D"/>
    <w:rsid w:val="7B643141"/>
    <w:rsid w:val="7B971768"/>
    <w:rsid w:val="7BC47442"/>
    <w:rsid w:val="7BCE6B3D"/>
    <w:rsid w:val="7BEB6F40"/>
    <w:rsid w:val="7BFC781D"/>
    <w:rsid w:val="7BFD3595"/>
    <w:rsid w:val="7C02295A"/>
    <w:rsid w:val="7C1C1C6D"/>
    <w:rsid w:val="7C3F3BAE"/>
    <w:rsid w:val="7C423C8F"/>
    <w:rsid w:val="7C5533D1"/>
    <w:rsid w:val="7C8415C1"/>
    <w:rsid w:val="7CB00608"/>
    <w:rsid w:val="7CE75426"/>
    <w:rsid w:val="7D0C7F34"/>
    <w:rsid w:val="7D0E5A5A"/>
    <w:rsid w:val="7D1F193A"/>
    <w:rsid w:val="7D221166"/>
    <w:rsid w:val="7D2863F0"/>
    <w:rsid w:val="7D450D50"/>
    <w:rsid w:val="7D6C2781"/>
    <w:rsid w:val="7D8908F9"/>
    <w:rsid w:val="7D9E6D2F"/>
    <w:rsid w:val="7DAF0C8C"/>
    <w:rsid w:val="7DB54128"/>
    <w:rsid w:val="7DC40D53"/>
    <w:rsid w:val="7DDF11A4"/>
    <w:rsid w:val="7DF52776"/>
    <w:rsid w:val="7E0D5D12"/>
    <w:rsid w:val="7E437985"/>
    <w:rsid w:val="7E5D0F7F"/>
    <w:rsid w:val="7E6B42D4"/>
    <w:rsid w:val="7E857F9E"/>
    <w:rsid w:val="7E8F0526"/>
    <w:rsid w:val="7EA45F4A"/>
    <w:rsid w:val="7EB97F8F"/>
    <w:rsid w:val="7EC07354"/>
    <w:rsid w:val="7EC674D2"/>
    <w:rsid w:val="7EE2719E"/>
    <w:rsid w:val="7F3D4D8D"/>
    <w:rsid w:val="7F945FBF"/>
    <w:rsid w:val="7FC20D7E"/>
    <w:rsid w:val="7FCC39AA"/>
    <w:rsid w:val="7FCE3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8"/>
      <w:lang w:val="en-US" w:eastAsia="zh-CN" w:bidi="ar-SA"/>
    </w:rPr>
  </w:style>
  <w:style w:type="paragraph" w:styleId="2">
    <w:name w:val="heading 1"/>
    <w:basedOn w:val="1"/>
    <w:next w:val="1"/>
    <w:link w:val="37"/>
    <w:qFormat/>
    <w:uiPriority w:val="1"/>
    <w:pPr>
      <w:keepNext/>
      <w:keepLines/>
      <w:spacing w:line="720" w:lineRule="auto"/>
      <w:outlineLvl w:val="0"/>
    </w:pPr>
    <w:rPr>
      <w:rFonts w:eastAsia="方正小标宋简体"/>
      <w:b/>
      <w:bCs/>
      <w:kern w:val="44"/>
      <w:sz w:val="36"/>
      <w:szCs w:val="44"/>
    </w:rPr>
  </w:style>
  <w:style w:type="paragraph" w:styleId="3">
    <w:name w:val="heading 2"/>
    <w:basedOn w:val="1"/>
    <w:next w:val="1"/>
    <w:link w:val="39"/>
    <w:unhideWhenUsed/>
    <w:qFormat/>
    <w:uiPriority w:val="9"/>
    <w:pPr>
      <w:keepNext/>
      <w:keepLines/>
      <w:spacing w:before="240" w:after="240"/>
      <w:outlineLvl w:val="1"/>
    </w:pPr>
    <w:rPr>
      <w:rFonts w:eastAsia="仿宋_GB2312" w:asciiTheme="majorHAnsi" w:hAnsiTheme="majorHAnsi" w:cstheme="majorBidi"/>
      <w:b/>
      <w:bCs/>
      <w:sz w:val="32"/>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44"/>
    <w:semiHidden/>
    <w:unhideWhenUsed/>
    <w:qFormat/>
    <w:uiPriority w:val="9"/>
    <w:pPr>
      <w:keepNext/>
      <w:keepLines/>
      <w:spacing w:before="280" w:after="290" w:line="376" w:lineRule="auto"/>
      <w:outlineLvl w:val="4"/>
    </w:pPr>
    <w:rPr>
      <w:b/>
      <w:bCs/>
      <w:szCs w:val="28"/>
    </w:rPr>
  </w:style>
  <w:style w:type="paragraph" w:styleId="6">
    <w:name w:val="heading 6"/>
    <w:basedOn w:val="1"/>
    <w:next w:val="1"/>
    <w:link w:val="45"/>
    <w:semiHidden/>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Theme="minorHAnsi" w:hAnsiTheme="minorHAnsi" w:eastAsiaTheme="minorEastAsia" w:cstheme="minorBidi"/>
      <w:color w:val="auto"/>
      <w:sz w:val="21"/>
      <w:szCs w:val="22"/>
    </w:rPr>
  </w:style>
  <w:style w:type="paragraph" w:styleId="8">
    <w:name w:val="caption"/>
    <w:basedOn w:val="1"/>
    <w:next w:val="1"/>
    <w:unhideWhenUsed/>
    <w:qFormat/>
    <w:uiPriority w:val="35"/>
    <w:rPr>
      <w:rFonts w:eastAsia="黑体" w:asciiTheme="majorHAnsi" w:hAnsiTheme="majorHAnsi" w:cstheme="majorBidi"/>
      <w:sz w:val="20"/>
    </w:rPr>
  </w:style>
  <w:style w:type="paragraph" w:styleId="9">
    <w:name w:val="annotation text"/>
    <w:basedOn w:val="1"/>
    <w:semiHidden/>
    <w:unhideWhenUsed/>
    <w:qFormat/>
    <w:uiPriority w:val="99"/>
    <w:pPr>
      <w:jc w:val="left"/>
    </w:pPr>
  </w:style>
  <w:style w:type="paragraph" w:styleId="10">
    <w:name w:val="Body Text"/>
    <w:basedOn w:val="1"/>
    <w:link w:val="47"/>
    <w:qFormat/>
    <w:uiPriority w:val="99"/>
    <w:pPr>
      <w:autoSpaceDE w:val="0"/>
      <w:autoSpaceDN w:val="0"/>
      <w:jc w:val="left"/>
    </w:pPr>
    <w:rPr>
      <w:rFonts w:ascii="宋体" w:hAnsi="宋体" w:cs="宋体"/>
      <w:kern w:val="0"/>
      <w:szCs w:val="21"/>
      <w:lang w:val="zh-CN" w:bidi="zh-CN"/>
    </w:rPr>
  </w:style>
  <w:style w:type="paragraph" w:styleId="11">
    <w:name w:val="toc 5"/>
    <w:basedOn w:val="1"/>
    <w:next w:val="1"/>
    <w:unhideWhenUsed/>
    <w:qFormat/>
    <w:uiPriority w:val="39"/>
    <w:pPr>
      <w:ind w:left="1680" w:leftChars="800"/>
    </w:pPr>
    <w:rPr>
      <w:rFonts w:asciiTheme="minorHAnsi" w:hAnsiTheme="minorHAnsi" w:eastAsiaTheme="minorEastAsia" w:cstheme="minorBidi"/>
      <w:color w:val="auto"/>
      <w:sz w:val="21"/>
      <w:szCs w:val="22"/>
    </w:rPr>
  </w:style>
  <w:style w:type="paragraph" w:styleId="12">
    <w:name w:val="toc 3"/>
    <w:basedOn w:val="1"/>
    <w:next w:val="1"/>
    <w:unhideWhenUsed/>
    <w:qFormat/>
    <w:uiPriority w:val="39"/>
    <w:pPr>
      <w:keepNext/>
      <w:tabs>
        <w:tab w:val="right" w:leader="middleDot" w:pos="9071"/>
      </w:tabs>
      <w:ind w:firstLine="198" w:firstLineChars="200"/>
      <w:outlineLvl w:val="2"/>
    </w:pPr>
    <w:rPr>
      <w:color w:val="auto"/>
    </w:rPr>
  </w:style>
  <w:style w:type="paragraph" w:styleId="13">
    <w:name w:val="toc 8"/>
    <w:basedOn w:val="1"/>
    <w:next w:val="1"/>
    <w:unhideWhenUsed/>
    <w:qFormat/>
    <w:uiPriority w:val="39"/>
    <w:pPr>
      <w:ind w:left="2940" w:leftChars="1400"/>
    </w:pPr>
    <w:rPr>
      <w:rFonts w:asciiTheme="minorHAnsi" w:hAnsiTheme="minorHAnsi" w:eastAsiaTheme="minorEastAsia" w:cstheme="minorBidi"/>
      <w:color w:val="auto"/>
      <w:sz w:val="21"/>
      <w:szCs w:val="22"/>
    </w:rPr>
  </w:style>
  <w:style w:type="paragraph" w:styleId="14">
    <w:name w:val="Balloon Text"/>
    <w:basedOn w:val="1"/>
    <w:link w:val="32"/>
    <w:semiHidden/>
    <w:unhideWhenUsed/>
    <w:qFormat/>
    <w:uiPriority w:val="99"/>
    <w:rPr>
      <w:sz w:val="18"/>
      <w:szCs w:val="18"/>
    </w:rPr>
  </w:style>
  <w:style w:type="paragraph" w:styleId="15">
    <w:name w:val="footer"/>
    <w:basedOn w:val="1"/>
    <w:link w:val="36"/>
    <w:unhideWhenUsed/>
    <w:qFormat/>
    <w:uiPriority w:val="0"/>
    <w:pPr>
      <w:tabs>
        <w:tab w:val="center" w:pos="4153"/>
        <w:tab w:val="right" w:pos="8306"/>
      </w:tabs>
      <w:snapToGrid w:val="0"/>
      <w:jc w:val="left"/>
    </w:pPr>
    <w:rPr>
      <w:sz w:val="18"/>
    </w:rPr>
  </w:style>
  <w:style w:type="paragraph" w:styleId="16">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middleDot" w:pos="9071"/>
      </w:tabs>
      <w:outlineLvl w:val="0"/>
    </w:pPr>
    <w:rPr>
      <w:rFonts w:eastAsia="黑体"/>
      <w:caps/>
      <w:color w:val="auto"/>
    </w:rPr>
  </w:style>
  <w:style w:type="paragraph" w:styleId="18">
    <w:name w:val="toc 4"/>
    <w:basedOn w:val="1"/>
    <w:next w:val="1"/>
    <w:unhideWhenUsed/>
    <w:qFormat/>
    <w:uiPriority w:val="39"/>
    <w:pPr>
      <w:ind w:left="1260" w:leftChars="600"/>
    </w:pPr>
    <w:rPr>
      <w:rFonts w:asciiTheme="minorHAnsi" w:hAnsiTheme="minorHAnsi" w:eastAsiaTheme="minorEastAsia" w:cstheme="minorBidi"/>
      <w:color w:val="auto"/>
      <w:sz w:val="21"/>
      <w:szCs w:val="22"/>
    </w:rPr>
  </w:style>
  <w:style w:type="paragraph" w:styleId="19">
    <w:name w:val="toc 6"/>
    <w:basedOn w:val="1"/>
    <w:next w:val="1"/>
    <w:unhideWhenUsed/>
    <w:qFormat/>
    <w:uiPriority w:val="39"/>
    <w:pPr>
      <w:ind w:left="2100" w:leftChars="1000"/>
    </w:pPr>
    <w:rPr>
      <w:rFonts w:asciiTheme="minorHAnsi" w:hAnsiTheme="minorHAnsi" w:eastAsiaTheme="minorEastAsia" w:cstheme="minorBidi"/>
      <w:color w:val="auto"/>
      <w:sz w:val="21"/>
      <w:szCs w:val="22"/>
    </w:rPr>
  </w:style>
  <w:style w:type="paragraph" w:styleId="20">
    <w:name w:val="toc 2"/>
    <w:basedOn w:val="1"/>
    <w:next w:val="1"/>
    <w:unhideWhenUsed/>
    <w:qFormat/>
    <w:uiPriority w:val="39"/>
    <w:pPr>
      <w:tabs>
        <w:tab w:val="right" w:leader="middleDot" w:pos="9071"/>
      </w:tabs>
      <w:outlineLvl w:val="1"/>
    </w:pPr>
    <w:rPr>
      <w:rFonts w:eastAsia="黑体"/>
      <w:caps/>
      <w:color w:val="auto"/>
    </w:rPr>
  </w:style>
  <w:style w:type="paragraph" w:styleId="21">
    <w:name w:val="toc 9"/>
    <w:basedOn w:val="1"/>
    <w:next w:val="1"/>
    <w:unhideWhenUsed/>
    <w:qFormat/>
    <w:uiPriority w:val="39"/>
    <w:pPr>
      <w:ind w:left="3360" w:leftChars="1600"/>
    </w:pPr>
    <w:rPr>
      <w:rFonts w:asciiTheme="minorHAnsi" w:hAnsiTheme="minorHAnsi" w:eastAsiaTheme="minorEastAsia" w:cstheme="minorBidi"/>
      <w:color w:val="auto"/>
      <w:sz w:val="21"/>
      <w:szCs w:val="22"/>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Cs w:val="24"/>
    </w:rPr>
  </w:style>
  <w:style w:type="paragraph" w:styleId="23">
    <w:name w:val="Body Text First Indent"/>
    <w:basedOn w:val="10"/>
    <w:link w:val="118"/>
    <w:qFormat/>
    <w:uiPriority w:val="99"/>
    <w:pPr>
      <w:autoSpaceDE/>
      <w:autoSpaceDN/>
      <w:spacing w:after="120"/>
      <w:ind w:firstLine="420" w:firstLineChars="100"/>
      <w:jc w:val="both"/>
    </w:pPr>
    <w:rPr>
      <w:rFonts w:ascii="Times New Roman" w:hAnsi="Times New Roman" w:cs="Times New Roman"/>
      <w:kern w:val="2"/>
      <w:szCs w:val="20"/>
      <w:lang w:val="en-US" w:bidi="ar-SA"/>
    </w:rPr>
  </w:style>
  <w:style w:type="table" w:styleId="25">
    <w:name w:val="Table Grid"/>
    <w:basedOn w:val="24"/>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6">
    <w:name w:val="Light List Accent 5"/>
    <w:basedOn w:val="24"/>
    <w:qFormat/>
    <w:uiPriority w:val="61"/>
    <w:rPr>
      <w:kern w:val="2"/>
      <w:sz w:val="21"/>
      <w:szCs w:val="22"/>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character" w:styleId="28">
    <w:name w:val="Strong"/>
    <w:basedOn w:val="27"/>
    <w:qFormat/>
    <w:uiPriority w:val="22"/>
    <w:rPr>
      <w:b/>
      <w:bCs/>
    </w:rPr>
  </w:style>
  <w:style w:type="character" w:styleId="29">
    <w:name w:val="FollowedHyperlink"/>
    <w:basedOn w:val="27"/>
    <w:unhideWhenUsed/>
    <w:qFormat/>
    <w:uiPriority w:val="99"/>
    <w:rPr>
      <w:color w:val="954F72"/>
      <w:u w:val="single"/>
    </w:rPr>
  </w:style>
  <w:style w:type="character" w:styleId="30">
    <w:name w:val="Hyperlink"/>
    <w:basedOn w:val="27"/>
    <w:unhideWhenUsed/>
    <w:qFormat/>
    <w:uiPriority w:val="99"/>
    <w:rPr>
      <w:color w:val="0563C1" w:themeColor="hyperlink"/>
      <w:u w:val="single"/>
      <w14:textFill>
        <w14:solidFill>
          <w14:schemeClr w14:val="hlink"/>
        </w14:solidFill>
      </w14:textFill>
    </w:rPr>
  </w:style>
  <w:style w:type="character" w:styleId="31">
    <w:name w:val="annotation reference"/>
    <w:basedOn w:val="27"/>
    <w:semiHidden/>
    <w:unhideWhenUsed/>
    <w:qFormat/>
    <w:uiPriority w:val="99"/>
    <w:rPr>
      <w:sz w:val="21"/>
      <w:szCs w:val="21"/>
    </w:rPr>
  </w:style>
  <w:style w:type="character" w:customStyle="1" w:styleId="32">
    <w:name w:val="批注框文本 Char"/>
    <w:basedOn w:val="27"/>
    <w:link w:val="14"/>
    <w:semiHidden/>
    <w:qFormat/>
    <w:uiPriority w:val="99"/>
    <w:rPr>
      <w:sz w:val="18"/>
      <w:szCs w:val="18"/>
    </w:rPr>
  </w:style>
  <w:style w:type="paragraph" w:styleId="33">
    <w:name w:val="List Paragraph"/>
    <w:basedOn w:val="1"/>
    <w:qFormat/>
    <w:uiPriority w:val="0"/>
    <w:pPr>
      <w:ind w:firstLine="420" w:firstLineChars="200"/>
    </w:pPr>
  </w:style>
  <w:style w:type="character" w:styleId="34">
    <w:name w:val="Placeholder Text"/>
    <w:basedOn w:val="27"/>
    <w:semiHidden/>
    <w:qFormat/>
    <w:uiPriority w:val="99"/>
    <w:rPr>
      <w:color w:val="808080"/>
    </w:rPr>
  </w:style>
  <w:style w:type="character" w:customStyle="1" w:styleId="35">
    <w:name w:val="页眉 Char"/>
    <w:basedOn w:val="27"/>
    <w:link w:val="16"/>
    <w:qFormat/>
    <w:uiPriority w:val="0"/>
    <w:rPr>
      <w:kern w:val="2"/>
      <w:sz w:val="18"/>
      <w:szCs w:val="18"/>
    </w:rPr>
  </w:style>
  <w:style w:type="character" w:customStyle="1" w:styleId="36">
    <w:name w:val="页脚 Char"/>
    <w:basedOn w:val="27"/>
    <w:link w:val="15"/>
    <w:qFormat/>
    <w:uiPriority w:val="0"/>
    <w:rPr>
      <w:kern w:val="2"/>
      <w:sz w:val="18"/>
      <w:szCs w:val="22"/>
    </w:rPr>
  </w:style>
  <w:style w:type="character" w:customStyle="1" w:styleId="37">
    <w:name w:val="标题 1 Char"/>
    <w:basedOn w:val="27"/>
    <w:link w:val="2"/>
    <w:qFormat/>
    <w:uiPriority w:val="1"/>
    <w:rPr>
      <w:rFonts w:eastAsia="方正小标宋简体"/>
      <w:b/>
      <w:bCs/>
      <w:kern w:val="44"/>
      <w:sz w:val="36"/>
      <w:szCs w:val="44"/>
    </w:rPr>
  </w:style>
  <w:style w:type="paragraph" w:customStyle="1" w:styleId="38">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9">
    <w:name w:val="标题 2 Char"/>
    <w:basedOn w:val="27"/>
    <w:link w:val="3"/>
    <w:qFormat/>
    <w:uiPriority w:val="9"/>
    <w:rPr>
      <w:rFonts w:eastAsia="仿宋_GB2312" w:asciiTheme="majorHAnsi" w:hAnsiTheme="majorHAnsi" w:cstheme="majorBidi"/>
      <w:b/>
      <w:bCs/>
      <w:color w:val="000000"/>
      <w:kern w:val="2"/>
      <w:sz w:val="32"/>
      <w:szCs w:val="32"/>
    </w:rPr>
  </w:style>
  <w:style w:type="table" w:customStyle="1" w:styleId="40">
    <w:name w:val="网格型1"/>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41">
    <w:name w:val="Word_正文"/>
    <w:link w:val="42"/>
    <w:qFormat/>
    <w:uiPriority w:val="0"/>
    <w:pPr>
      <w:widowControl w:val="0"/>
      <w:wordWrap w:val="0"/>
      <w:jc w:val="both"/>
    </w:pPr>
    <w:rPr>
      <w:rFonts w:ascii="Times New Roman" w:hAnsi="Times New Roman" w:eastAsia="宋体" w:cs="Times New Roman"/>
      <w:kern w:val="2"/>
      <w:sz w:val="24"/>
      <w:szCs w:val="22"/>
      <w:lang w:val="en-US" w:eastAsia="zh-CN" w:bidi="ar-SA"/>
    </w:rPr>
  </w:style>
  <w:style w:type="character" w:customStyle="1" w:styleId="42">
    <w:name w:val="Word_正文 Char"/>
    <w:basedOn w:val="27"/>
    <w:link w:val="41"/>
    <w:qFormat/>
    <w:uiPriority w:val="0"/>
    <w:rPr>
      <w:rFonts w:ascii="Times New Roman" w:hAnsi="Times New Roman" w:eastAsia="宋体" w:cs="Times New Roman"/>
      <w:kern w:val="2"/>
      <w:sz w:val="24"/>
      <w:szCs w:val="22"/>
    </w:rPr>
  </w:style>
  <w:style w:type="character" w:customStyle="1" w:styleId="43">
    <w:name w:val="标题 3 Char"/>
    <w:basedOn w:val="27"/>
    <w:link w:val="4"/>
    <w:semiHidden/>
    <w:qFormat/>
    <w:uiPriority w:val="9"/>
    <w:rPr>
      <w:rFonts w:ascii="Times New Roman" w:hAnsi="Times New Roman" w:eastAsia="宋体" w:cs="Times New Roman"/>
      <w:b/>
      <w:bCs/>
      <w:color w:val="000000"/>
      <w:kern w:val="2"/>
      <w:sz w:val="32"/>
      <w:szCs w:val="32"/>
    </w:rPr>
  </w:style>
  <w:style w:type="character" w:customStyle="1" w:styleId="44">
    <w:name w:val="标题 5 Char"/>
    <w:basedOn w:val="27"/>
    <w:link w:val="5"/>
    <w:semiHidden/>
    <w:qFormat/>
    <w:uiPriority w:val="9"/>
    <w:rPr>
      <w:rFonts w:ascii="Times New Roman" w:hAnsi="Times New Roman" w:eastAsia="宋体" w:cs="Times New Roman"/>
      <w:b/>
      <w:bCs/>
      <w:color w:val="000000"/>
      <w:kern w:val="2"/>
      <w:sz w:val="28"/>
      <w:szCs w:val="28"/>
    </w:rPr>
  </w:style>
  <w:style w:type="character" w:customStyle="1" w:styleId="45">
    <w:name w:val="标题 6 Char"/>
    <w:basedOn w:val="27"/>
    <w:link w:val="6"/>
    <w:semiHidden/>
    <w:qFormat/>
    <w:uiPriority w:val="9"/>
    <w:rPr>
      <w:rFonts w:asciiTheme="majorHAnsi" w:hAnsiTheme="majorHAnsi" w:eastAsiaTheme="majorEastAsia" w:cstheme="majorBidi"/>
      <w:b/>
      <w:bCs/>
      <w:color w:val="000000"/>
      <w:kern w:val="2"/>
      <w:sz w:val="24"/>
      <w:szCs w:val="24"/>
    </w:rPr>
  </w:style>
  <w:style w:type="table" w:customStyle="1" w:styleId="46">
    <w:name w:val="浅色列表 - 着色 51"/>
    <w:basedOn w:val="24"/>
    <w:qFormat/>
    <w:uiPriority w:val="61"/>
    <w:rPr>
      <w:kern w:val="2"/>
      <w:sz w:val="21"/>
      <w:szCs w:val="22"/>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4472C4" w:themeFill="accent5"/>
      </w:tcPr>
    </w:tblStylePr>
    <w:tblStylePr w:type="lastRow">
      <w:pPr>
        <w:spacing w:before="0" w:after="0" w:line="240" w:lineRule="auto"/>
      </w:pPr>
      <w:rPr>
        <w:b/>
        <w:bCs/>
      </w:r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character" w:customStyle="1" w:styleId="47">
    <w:name w:val="正文文本 Char"/>
    <w:basedOn w:val="27"/>
    <w:link w:val="10"/>
    <w:qFormat/>
    <w:uiPriority w:val="99"/>
    <w:rPr>
      <w:rFonts w:ascii="宋体" w:hAnsi="宋体" w:eastAsia="宋体" w:cs="宋体"/>
      <w:color w:val="000000"/>
      <w:sz w:val="24"/>
      <w:szCs w:val="21"/>
      <w:lang w:val="zh-CN" w:bidi="zh-CN"/>
    </w:rPr>
  </w:style>
  <w:style w:type="paragraph" w:customStyle="1" w:styleId="48">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5"/>
    <w:basedOn w:val="1"/>
    <w:qFormat/>
    <w:uiPriority w:val="0"/>
    <w:pPr>
      <w:widowControl/>
      <w:shd w:val="clear" w:color="000000" w:fill="B4C6E7"/>
      <w:spacing w:before="100" w:beforeAutospacing="1" w:after="100" w:afterAutospacing="1"/>
      <w:jc w:val="left"/>
    </w:pPr>
    <w:rPr>
      <w:rFonts w:ascii="宋体" w:hAnsi="宋体" w:cs="宋体"/>
      <w:kern w:val="0"/>
      <w:szCs w:val="24"/>
    </w:rPr>
  </w:style>
  <w:style w:type="paragraph" w:customStyle="1" w:styleId="51">
    <w:name w:val="xl66"/>
    <w:basedOn w:val="1"/>
    <w:qFormat/>
    <w:uiPriority w:val="0"/>
    <w:pPr>
      <w:widowControl/>
      <w:shd w:val="clear" w:color="000000" w:fill="D9E1F2"/>
      <w:spacing w:before="100" w:beforeAutospacing="1" w:after="100" w:afterAutospacing="1"/>
      <w:jc w:val="left"/>
    </w:pPr>
    <w:rPr>
      <w:rFonts w:ascii="宋体" w:hAnsi="宋体" w:cs="宋体"/>
      <w:kern w:val="0"/>
      <w:szCs w:val="24"/>
    </w:rPr>
  </w:style>
  <w:style w:type="paragraph" w:customStyle="1" w:styleId="52">
    <w:name w:val="xl67"/>
    <w:basedOn w:val="1"/>
    <w:qFormat/>
    <w:uiPriority w:val="0"/>
    <w:pPr>
      <w:widowControl/>
      <w:shd w:val="clear" w:color="000000" w:fill="8EA9DB"/>
      <w:spacing w:before="100" w:beforeAutospacing="1" w:after="100" w:afterAutospacing="1"/>
      <w:jc w:val="left"/>
    </w:pPr>
    <w:rPr>
      <w:rFonts w:ascii="宋体" w:hAnsi="宋体" w:cs="宋体"/>
      <w:kern w:val="0"/>
      <w:szCs w:val="24"/>
    </w:rPr>
  </w:style>
  <w:style w:type="paragraph" w:customStyle="1" w:styleId="53">
    <w:name w:val="xl68"/>
    <w:basedOn w:val="1"/>
    <w:qFormat/>
    <w:uiPriority w:val="0"/>
    <w:pPr>
      <w:widowControl/>
      <w:shd w:val="clear" w:color="000000" w:fill="305496"/>
      <w:spacing w:before="100" w:beforeAutospacing="1" w:after="100" w:afterAutospacing="1"/>
      <w:jc w:val="left"/>
    </w:pPr>
    <w:rPr>
      <w:rFonts w:ascii="宋体" w:hAnsi="宋体" w:cs="宋体"/>
      <w:kern w:val="0"/>
      <w:szCs w:val="24"/>
    </w:rPr>
  </w:style>
  <w:style w:type="paragraph" w:customStyle="1" w:styleId="54">
    <w:name w:val="xl69"/>
    <w:basedOn w:val="1"/>
    <w:qFormat/>
    <w:uiPriority w:val="0"/>
    <w:pPr>
      <w:widowControl/>
      <w:shd w:val="clear" w:color="000000" w:fill="203764"/>
      <w:spacing w:before="100" w:beforeAutospacing="1" w:after="100" w:afterAutospacing="1"/>
      <w:jc w:val="left"/>
    </w:pPr>
    <w:rPr>
      <w:rFonts w:ascii="宋体" w:hAnsi="宋体" w:cs="宋体"/>
      <w:color w:val="FFFFFF"/>
      <w:kern w:val="0"/>
      <w:szCs w:val="24"/>
    </w:rPr>
  </w:style>
  <w:style w:type="paragraph" w:customStyle="1" w:styleId="55">
    <w:name w:val="xl70"/>
    <w:basedOn w:val="1"/>
    <w:qFormat/>
    <w:uiPriority w:val="0"/>
    <w:pPr>
      <w:widowControl/>
      <w:shd w:val="clear" w:color="000000" w:fill="305496"/>
      <w:spacing w:before="100" w:beforeAutospacing="1" w:after="100" w:afterAutospacing="1"/>
      <w:jc w:val="left"/>
    </w:pPr>
    <w:rPr>
      <w:rFonts w:ascii="宋体" w:hAnsi="宋体" w:cs="宋体"/>
      <w:color w:val="FFFFFF"/>
      <w:kern w:val="0"/>
      <w:szCs w:val="24"/>
    </w:rPr>
  </w:style>
  <w:style w:type="paragraph" w:customStyle="1" w:styleId="56">
    <w:name w:val="xl71"/>
    <w:basedOn w:val="1"/>
    <w:qFormat/>
    <w:uiPriority w:val="0"/>
    <w:pPr>
      <w:widowControl/>
      <w:shd w:val="clear" w:color="000000" w:fill="C6E0B4"/>
      <w:spacing w:before="100" w:beforeAutospacing="1" w:after="100" w:afterAutospacing="1"/>
      <w:jc w:val="left"/>
    </w:pPr>
    <w:rPr>
      <w:rFonts w:ascii="宋体" w:hAnsi="宋体" w:cs="宋体"/>
      <w:kern w:val="0"/>
      <w:szCs w:val="24"/>
    </w:rPr>
  </w:style>
  <w:style w:type="paragraph" w:customStyle="1" w:styleId="57">
    <w:name w:val="xl72"/>
    <w:basedOn w:val="1"/>
    <w:qFormat/>
    <w:uiPriority w:val="0"/>
    <w:pPr>
      <w:widowControl/>
      <w:shd w:val="clear" w:color="000000" w:fill="E2EFDA"/>
      <w:spacing w:before="100" w:beforeAutospacing="1" w:after="100" w:afterAutospacing="1"/>
      <w:jc w:val="left"/>
    </w:pPr>
    <w:rPr>
      <w:rFonts w:ascii="宋体" w:hAnsi="宋体" w:cs="宋体"/>
      <w:kern w:val="0"/>
      <w:szCs w:val="24"/>
    </w:rPr>
  </w:style>
  <w:style w:type="paragraph" w:customStyle="1" w:styleId="58">
    <w:name w:val="xl73"/>
    <w:basedOn w:val="1"/>
    <w:qFormat/>
    <w:uiPriority w:val="0"/>
    <w:pPr>
      <w:widowControl/>
      <w:shd w:val="clear" w:color="000000" w:fill="FFFFFF"/>
      <w:spacing w:before="100" w:beforeAutospacing="1" w:after="100" w:afterAutospacing="1"/>
      <w:jc w:val="left"/>
    </w:pPr>
    <w:rPr>
      <w:rFonts w:ascii="宋体" w:hAnsi="宋体" w:cs="宋体"/>
      <w:kern w:val="0"/>
      <w:szCs w:val="24"/>
    </w:rPr>
  </w:style>
  <w:style w:type="paragraph" w:customStyle="1" w:styleId="5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6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6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6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6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6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66">
    <w:name w:val="xl101"/>
    <w:basedOn w:val="1"/>
    <w:qFormat/>
    <w:uiPriority w:val="0"/>
    <w:pPr>
      <w:widowControl/>
      <w:spacing w:before="100" w:beforeAutospacing="1" w:after="100" w:afterAutospacing="1"/>
      <w:jc w:val="left"/>
    </w:pPr>
    <w:rPr>
      <w:rFonts w:ascii="宋体" w:hAnsi="宋体" w:cs="宋体"/>
      <w:color w:val="auto"/>
      <w:kern w:val="0"/>
      <w:sz w:val="20"/>
    </w:rPr>
  </w:style>
  <w:style w:type="paragraph" w:customStyle="1" w:styleId="67">
    <w:name w:val="xl102"/>
    <w:basedOn w:val="1"/>
    <w:qFormat/>
    <w:uiPriority w:val="0"/>
    <w:pPr>
      <w:widowControl/>
      <w:spacing w:before="100" w:beforeAutospacing="1" w:after="100" w:afterAutospacing="1"/>
      <w:jc w:val="left"/>
    </w:pPr>
    <w:rPr>
      <w:rFonts w:ascii="宋体" w:hAnsi="宋体" w:cs="宋体"/>
      <w:color w:val="auto"/>
      <w:kern w:val="0"/>
      <w:sz w:val="20"/>
    </w:rPr>
  </w:style>
  <w:style w:type="paragraph" w:customStyle="1" w:styleId="6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6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7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7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7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7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7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7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7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7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7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7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8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8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8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9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9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9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9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9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8">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9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0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0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0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03">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0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05">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06">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0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0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0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1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1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12">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13">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1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kern w:val="0"/>
      <w:sz w:val="20"/>
    </w:rPr>
  </w:style>
  <w:style w:type="paragraph" w:customStyle="1" w:styleId="115">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auto"/>
      <w:kern w:val="0"/>
      <w:sz w:val="20"/>
    </w:rPr>
  </w:style>
  <w:style w:type="paragraph" w:customStyle="1" w:styleId="116">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auto"/>
      <w:kern w:val="0"/>
      <w:sz w:val="20"/>
    </w:rPr>
  </w:style>
  <w:style w:type="paragraph" w:customStyle="1" w:styleId="117">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auto"/>
      <w:kern w:val="0"/>
      <w:sz w:val="20"/>
    </w:rPr>
  </w:style>
  <w:style w:type="character" w:customStyle="1" w:styleId="118">
    <w:name w:val="正文首行缩进 Char"/>
    <w:basedOn w:val="47"/>
    <w:link w:val="23"/>
    <w:qFormat/>
    <w:uiPriority w:val="99"/>
    <w:rPr>
      <w:rFonts w:ascii="Times New Roman" w:hAnsi="Times New Roman" w:eastAsia="宋体" w:cs="Times New Roman"/>
      <w:color w:val="000000"/>
      <w:kern w:val="2"/>
      <w:sz w:val="28"/>
      <w:szCs w:val="21"/>
      <w:lang w:val="zh-CN" w:bidi="zh-CN"/>
    </w:rPr>
  </w:style>
  <w:style w:type="character" w:customStyle="1" w:styleId="119">
    <w:name w:val="正文首行缩进 字符"/>
    <w:qFormat/>
    <w:uiPriority w:val="0"/>
    <w:rPr>
      <w:rFonts w:ascii="宋体" w:hAnsi="宋体"/>
      <w:color w:val="000000"/>
      <w:kern w:val="2"/>
      <w:sz w:val="21"/>
      <w:szCs w:val="24"/>
    </w:rPr>
  </w:style>
  <w:style w:type="paragraph" w:customStyle="1" w:styleId="120">
    <w:name w:val="font6"/>
    <w:basedOn w:val="1"/>
    <w:qFormat/>
    <w:uiPriority w:val="0"/>
    <w:pPr>
      <w:widowControl/>
      <w:spacing w:before="100" w:beforeAutospacing="1" w:after="100" w:afterAutospacing="1"/>
      <w:jc w:val="left"/>
    </w:pPr>
    <w:rPr>
      <w:b/>
      <w:bCs/>
      <w:color w:val="auto"/>
      <w:kern w:val="0"/>
      <w:sz w:val="20"/>
    </w:rPr>
  </w:style>
  <w:style w:type="paragraph" w:customStyle="1" w:styleId="121">
    <w:name w:val="font7"/>
    <w:basedOn w:val="1"/>
    <w:qFormat/>
    <w:uiPriority w:val="0"/>
    <w:pPr>
      <w:widowControl/>
      <w:spacing w:before="100" w:beforeAutospacing="1" w:after="100" w:afterAutospacing="1"/>
      <w:jc w:val="left"/>
    </w:pPr>
    <w:rPr>
      <w:rFonts w:ascii="宋体" w:hAnsi="宋体" w:cs="宋体"/>
      <w:color w:val="auto"/>
      <w:kern w:val="0"/>
      <w:sz w:val="20"/>
    </w:rPr>
  </w:style>
  <w:style w:type="paragraph" w:customStyle="1" w:styleId="122">
    <w:name w:val="font8"/>
    <w:basedOn w:val="1"/>
    <w:qFormat/>
    <w:uiPriority w:val="0"/>
    <w:pPr>
      <w:widowControl/>
      <w:spacing w:before="100" w:beforeAutospacing="1" w:after="100" w:afterAutospacing="1"/>
      <w:jc w:val="left"/>
    </w:pPr>
    <w:rPr>
      <w:rFonts w:ascii="宋体" w:hAnsi="宋体" w:cs="宋体"/>
      <w:color w:val="auto"/>
      <w:kern w:val="0"/>
      <w:sz w:val="18"/>
      <w:szCs w:val="18"/>
    </w:rPr>
  </w:style>
  <w:style w:type="paragraph" w:customStyle="1" w:styleId="123">
    <w:name w:val="font9"/>
    <w:basedOn w:val="1"/>
    <w:qFormat/>
    <w:uiPriority w:val="0"/>
    <w:pPr>
      <w:widowControl/>
      <w:spacing w:before="100" w:beforeAutospacing="1" w:after="100" w:afterAutospacing="1"/>
      <w:jc w:val="left"/>
    </w:pPr>
    <w:rPr>
      <w:rFonts w:ascii="宋体" w:hAnsi="宋体" w:cs="宋体"/>
      <w:b/>
      <w:bCs/>
      <w:color w:val="auto"/>
      <w:kern w:val="0"/>
      <w:sz w:val="20"/>
    </w:rPr>
  </w:style>
  <w:style w:type="paragraph" w:customStyle="1" w:styleId="124">
    <w:name w:val="font10"/>
    <w:basedOn w:val="1"/>
    <w:qFormat/>
    <w:uiPriority w:val="0"/>
    <w:pPr>
      <w:widowControl/>
      <w:spacing w:before="100" w:beforeAutospacing="1" w:after="100" w:afterAutospacing="1"/>
      <w:jc w:val="left"/>
    </w:pPr>
    <w:rPr>
      <w:color w:val="auto"/>
      <w:kern w:val="0"/>
      <w:sz w:val="20"/>
    </w:rPr>
  </w:style>
  <w:style w:type="paragraph" w:customStyle="1" w:styleId="125">
    <w:name w:val="font11"/>
    <w:basedOn w:val="1"/>
    <w:qFormat/>
    <w:uiPriority w:val="0"/>
    <w:pPr>
      <w:widowControl/>
      <w:spacing w:before="100" w:beforeAutospacing="1" w:after="100" w:afterAutospacing="1"/>
      <w:jc w:val="left"/>
    </w:pPr>
    <w:rPr>
      <w:rFonts w:ascii="宋体" w:hAnsi="宋体" w:cs="宋体"/>
      <w:color w:val="auto"/>
      <w:kern w:val="0"/>
      <w:sz w:val="21"/>
      <w:szCs w:val="21"/>
    </w:rPr>
  </w:style>
  <w:style w:type="paragraph" w:customStyle="1" w:styleId="126">
    <w:name w:val="xl1960"/>
    <w:basedOn w:val="1"/>
    <w:qFormat/>
    <w:uiPriority w:val="0"/>
    <w:pPr>
      <w:widowControl/>
      <w:spacing w:before="100" w:beforeAutospacing="1" w:after="100" w:afterAutospacing="1"/>
      <w:jc w:val="left"/>
      <w:textAlignment w:val="center"/>
    </w:pPr>
    <w:rPr>
      <w:color w:val="auto"/>
      <w:kern w:val="0"/>
      <w:sz w:val="24"/>
      <w:szCs w:val="24"/>
    </w:rPr>
  </w:style>
  <w:style w:type="paragraph" w:customStyle="1" w:styleId="127">
    <w:name w:val="xl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auto"/>
      <w:kern w:val="0"/>
      <w:sz w:val="20"/>
    </w:rPr>
  </w:style>
  <w:style w:type="paragraph" w:customStyle="1" w:styleId="128">
    <w:name w:val="xl19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auto"/>
      <w:kern w:val="0"/>
      <w:sz w:val="20"/>
    </w:rPr>
  </w:style>
  <w:style w:type="paragraph" w:customStyle="1" w:styleId="129">
    <w:name w:val="xl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auto"/>
      <w:kern w:val="0"/>
      <w:sz w:val="21"/>
      <w:szCs w:val="21"/>
    </w:rPr>
  </w:style>
  <w:style w:type="paragraph" w:customStyle="1" w:styleId="130">
    <w:name w:val="xl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auto"/>
      <w:kern w:val="0"/>
      <w:sz w:val="20"/>
    </w:rPr>
  </w:style>
  <w:style w:type="paragraph" w:customStyle="1" w:styleId="131">
    <w:name w:val="xl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auto"/>
      <w:kern w:val="0"/>
      <w:sz w:val="20"/>
    </w:rPr>
  </w:style>
  <w:style w:type="character" w:customStyle="1" w:styleId="132">
    <w:name w:val="font81"/>
    <w:basedOn w:val="27"/>
    <w:qFormat/>
    <w:uiPriority w:val="0"/>
    <w:rPr>
      <w:rFonts w:hint="eastAsia" w:ascii="宋体" w:hAnsi="宋体" w:eastAsia="宋体" w:cs="宋体"/>
      <w:color w:val="000000"/>
      <w:sz w:val="21"/>
      <w:szCs w:val="21"/>
      <w:u w:val="none"/>
    </w:rPr>
  </w:style>
  <w:style w:type="character" w:customStyle="1" w:styleId="133">
    <w:name w:val="font91"/>
    <w:basedOn w:val="27"/>
    <w:qFormat/>
    <w:uiPriority w:val="0"/>
    <w:rPr>
      <w:rFonts w:hint="eastAsia" w:ascii="宋体" w:hAnsi="宋体" w:eastAsia="宋体" w:cs="宋体"/>
      <w:b/>
      <w:bCs/>
      <w:color w:val="000000"/>
      <w:sz w:val="21"/>
      <w:szCs w:val="21"/>
      <w:u w:val="none"/>
    </w:rPr>
  </w:style>
  <w:style w:type="character" w:customStyle="1" w:styleId="134">
    <w:name w:val="font101"/>
    <w:basedOn w:val="27"/>
    <w:qFormat/>
    <w:uiPriority w:val="0"/>
    <w:rPr>
      <w:rFonts w:hint="default" w:ascii="Times New Roman" w:hAnsi="Times New Roman" w:cs="Times New Roman"/>
      <w:color w:val="000000"/>
      <w:sz w:val="21"/>
      <w:szCs w:val="21"/>
      <w:u w:val="none"/>
    </w:rPr>
  </w:style>
  <w:style w:type="character" w:customStyle="1" w:styleId="135">
    <w:name w:val="font71"/>
    <w:basedOn w:val="27"/>
    <w:qFormat/>
    <w:uiPriority w:val="0"/>
    <w:rPr>
      <w:rFonts w:hint="default" w:ascii="Times New Roman" w:hAnsi="Times New Roman" w:cs="Times New Roman"/>
      <w:color w:val="000000"/>
      <w:sz w:val="21"/>
      <w:szCs w:val="21"/>
      <w:u w:val="none"/>
    </w:rPr>
  </w:style>
  <w:style w:type="character" w:customStyle="1" w:styleId="136">
    <w:name w:val="font111"/>
    <w:basedOn w:val="27"/>
    <w:qFormat/>
    <w:uiPriority w:val="0"/>
    <w:rPr>
      <w:rFonts w:hint="default" w:ascii="Times New Roman" w:hAnsi="Times New Roman" w:cs="Times New Roman"/>
      <w:color w:val="000000"/>
      <w:sz w:val="20"/>
      <w:szCs w:val="20"/>
      <w:u w:val="none"/>
    </w:rPr>
  </w:style>
  <w:style w:type="character" w:customStyle="1" w:styleId="137">
    <w:name w:val="font61"/>
    <w:basedOn w:val="27"/>
    <w:qFormat/>
    <w:uiPriority w:val="0"/>
    <w:rPr>
      <w:rFonts w:hint="eastAsia" w:ascii="宋体" w:hAnsi="宋体" w:eastAsia="宋体" w:cs="宋体"/>
      <w:color w:val="000000"/>
      <w:sz w:val="21"/>
      <w:szCs w:val="21"/>
      <w:u w:val="none"/>
    </w:rPr>
  </w:style>
  <w:style w:type="character" w:customStyle="1" w:styleId="138">
    <w:name w:val="font51"/>
    <w:basedOn w:val="27"/>
    <w:qFormat/>
    <w:uiPriority w:val="0"/>
    <w:rPr>
      <w:rFonts w:hint="default" w:ascii="Times New Roman" w:hAnsi="Times New Roman" w:cs="Times New Roman"/>
      <w:color w:val="000000"/>
      <w:sz w:val="21"/>
      <w:szCs w:val="21"/>
      <w:u w:val="none"/>
    </w:rPr>
  </w:style>
  <w:style w:type="character" w:customStyle="1" w:styleId="139">
    <w:name w:val="font131"/>
    <w:basedOn w:val="27"/>
    <w:qFormat/>
    <w:uiPriority w:val="0"/>
    <w:rPr>
      <w:rFonts w:hint="eastAsia" w:ascii="宋体" w:hAnsi="宋体" w:eastAsia="宋体" w:cs="宋体"/>
      <w:b/>
      <w:bCs/>
      <w:color w:val="000000"/>
      <w:sz w:val="21"/>
      <w:szCs w:val="21"/>
      <w:u w:val="none"/>
    </w:rPr>
  </w:style>
  <w:style w:type="character" w:customStyle="1" w:styleId="140">
    <w:name w:val="font121"/>
    <w:basedOn w:val="27"/>
    <w:qFormat/>
    <w:uiPriority w:val="0"/>
    <w:rPr>
      <w:rFonts w:hint="eastAsia" w:ascii="宋体" w:hAnsi="宋体" w:eastAsia="宋体" w:cs="宋体"/>
      <w:color w:val="000000"/>
      <w:sz w:val="22"/>
      <w:szCs w:val="22"/>
      <w:u w:val="none"/>
    </w:rPr>
  </w:style>
  <w:style w:type="paragraph" w:customStyle="1" w:styleId="141">
    <w:name w:val="WPSOffice手动目录 1"/>
    <w:qFormat/>
    <w:uiPriority w:val="0"/>
    <w:rPr>
      <w:rFonts w:ascii="Times New Roman" w:hAnsi="Times New Roman" w:eastAsia="宋体" w:cs="Times New Roman"/>
      <w:lang w:val="en-US" w:eastAsia="zh-CN" w:bidi="ar-SA"/>
    </w:rPr>
  </w:style>
  <w:style w:type="paragraph" w:customStyle="1" w:styleId="14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theme" Target="theme/theme1.xml"/><Relationship Id="rId6" Type="http://schemas.openxmlformats.org/officeDocument/2006/relationships/header" Target="head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image" Target="media/image17.wmf"/><Relationship Id="rId5" Type="http://schemas.openxmlformats.org/officeDocument/2006/relationships/footer" Target="footer2.xml"/><Relationship Id="rId49" Type="http://schemas.openxmlformats.org/officeDocument/2006/relationships/oleObject" Target="embeddings/oleObject21.bin"/><Relationship Id="rId48" Type="http://schemas.openxmlformats.org/officeDocument/2006/relationships/oleObject" Target="embeddings/oleObject20.bin"/><Relationship Id="rId47" Type="http://schemas.openxmlformats.org/officeDocument/2006/relationships/oleObject" Target="embeddings/oleObject19.bin"/><Relationship Id="rId46" Type="http://schemas.openxmlformats.org/officeDocument/2006/relationships/image" Target="media/image16.wmf"/><Relationship Id="rId45" Type="http://schemas.openxmlformats.org/officeDocument/2006/relationships/oleObject" Target="embeddings/oleObject18.bin"/><Relationship Id="rId44" Type="http://schemas.openxmlformats.org/officeDocument/2006/relationships/image" Target="media/image15.wmf"/><Relationship Id="rId43" Type="http://schemas.openxmlformats.org/officeDocument/2006/relationships/oleObject" Target="embeddings/oleObject17.bin"/><Relationship Id="rId42" Type="http://schemas.openxmlformats.org/officeDocument/2006/relationships/oleObject" Target="embeddings/oleObject16.bin"/><Relationship Id="rId41" Type="http://schemas.openxmlformats.org/officeDocument/2006/relationships/image" Target="media/image14.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13.wmf"/><Relationship Id="rId38" Type="http://schemas.openxmlformats.org/officeDocument/2006/relationships/oleObject" Target="embeddings/oleObject14.bin"/><Relationship Id="rId37" Type="http://schemas.openxmlformats.org/officeDocument/2006/relationships/image" Target="media/image12.wmf"/><Relationship Id="rId36" Type="http://schemas.openxmlformats.org/officeDocument/2006/relationships/oleObject" Target="embeddings/oleObject13.bin"/><Relationship Id="rId35" Type="http://schemas.openxmlformats.org/officeDocument/2006/relationships/image" Target="media/image11.wmf"/><Relationship Id="rId34" Type="http://schemas.openxmlformats.org/officeDocument/2006/relationships/oleObject" Target="embeddings/oleObject12.bin"/><Relationship Id="rId33" Type="http://schemas.openxmlformats.org/officeDocument/2006/relationships/image" Target="media/image10.wmf"/><Relationship Id="rId32" Type="http://schemas.openxmlformats.org/officeDocument/2006/relationships/oleObject" Target="embeddings/oleObject11.bin"/><Relationship Id="rId31" Type="http://schemas.openxmlformats.org/officeDocument/2006/relationships/image" Target="media/image9.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9.bin"/><Relationship Id="rId27" Type="http://schemas.openxmlformats.org/officeDocument/2006/relationships/oleObject" Target="embeddings/oleObject8.bin"/><Relationship Id="rId26" Type="http://schemas.openxmlformats.org/officeDocument/2006/relationships/image" Target="media/image7.wmf"/><Relationship Id="rId25" Type="http://schemas.openxmlformats.org/officeDocument/2006/relationships/oleObject" Target="embeddings/oleObject7.bin"/><Relationship Id="rId24" Type="http://schemas.openxmlformats.org/officeDocument/2006/relationships/image" Target="media/image6.w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microsoft.com/office/2007/relationships/diagramDrawing" Target="diagrams/drawing1.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accent0_1#5">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95D3F90-34E2-4A0C-8E97-143B5B11C24C}" type="doc">
      <dgm:prSet loTypeId="urn:microsoft.com/office/officeart/2009/3/layout/HorizontalOrganizationChart#5" loCatId="hierarchy" qsTypeId="urn:microsoft.com/office/officeart/2005/8/quickstyle/simple1#5" qsCatId="simple" csTypeId="urn:microsoft.com/office/officeart/2005/8/colors/accent0_1#5" csCatId="mainScheme" phldr="1"/>
      <dgm:spPr/>
      <dgm:t>
        <a:bodyPr/>
        <a:p>
          <a:endParaRPr lang="zh-CN" altLang="en-US"/>
        </a:p>
      </dgm:t>
    </dgm:pt>
    <dgm:pt modelId="{413431BE-33EE-4CC9-9953-761F99400792}">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建设项目估算费用组成</a:t>
          </a:r>
        </a:p>
      </dgm:t>
    </dgm:pt>
    <dgm:pt modelId="{0A97A745-A9BB-444A-B187-675477597291}" cxnId="{682B3012-D898-4F23-99E9-E82D06B1DDE4}"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DEC5F240-FFF7-4637-BAD1-247CA6EFA353}" cxnId="{682B3012-D898-4F23-99E9-E82D06B1DDE4}"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2DF403E3-8734-418B-A2B2-8334C6667C1B}">
      <dgm:prSet phldrT="[文本]" custT="1"/>
      <dgm:spPr>
        <a:solidFill>
          <a:schemeClr val="bg1"/>
        </a:solidFill>
        <a:ln>
          <a:solidFill>
            <a:schemeClr val="bg1"/>
          </a:solidFill>
        </a:ln>
      </dgm:spPr>
      <dgm:t>
        <a:bodyPr/>
        <a:p>
          <a:pPr algn="l"/>
          <a:r>
            <a:rPr lang="zh-CN" altLang="en-US" sz="1200">
              <a:ln>
                <a:noFill/>
              </a:ln>
              <a:latin typeface="黑体" panose="02010600030101010101" charset="-122"/>
              <a:ea typeface="黑体" panose="02010600030101010101" charset="-122"/>
            </a:rPr>
            <a:t> 第一部分 工程费用</a:t>
          </a:r>
        </a:p>
      </dgm:t>
    </dgm:pt>
    <dgm:pt modelId="{0C243B3A-21A3-46A9-8F9A-BE588E54226D}" cxnId="{6DED0223-FCDA-4F52-B783-48E28CAC6429}"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1ACF2FA1-1ED2-4E32-8CDA-4375EB2054A0}" cxnId="{6DED0223-FCDA-4F52-B783-48E28CAC6429}"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C5689456-5D2F-4275-B647-D4DF55DA3F5D}">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第二部分 工程建设其他费用</a:t>
          </a:r>
        </a:p>
      </dgm:t>
    </dgm:pt>
    <dgm:pt modelId="{A13ED56D-3488-4696-B22E-E848E506F049}" cxnId="{EB25368A-27E3-402B-98A6-95583E5810E0}"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430DA409-3F0E-460D-877C-7094B9328B8A}" cxnId="{EB25368A-27E3-402B-98A6-95583E5810E0}"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6BFCCB8B-AF98-495E-A44A-C785E686D962}">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第三部分 预备费</a:t>
          </a:r>
        </a:p>
      </dgm:t>
    </dgm:pt>
    <dgm:pt modelId="{7EC60A2B-015A-4F25-87D2-5BE2E3D7D84A}" cxnId="{F97A7CA5-847F-488C-8F20-0F18F3BC5E53}"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681028B6-FCE7-45A0-98FA-FF8E2EBA68C3}" cxnId="{F97A7CA5-847F-488C-8F20-0F18F3BC5E53}"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8FF87E46-FE1C-4277-A9E9-30B504DFCA53}">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第四部分 专项费用</a:t>
          </a:r>
        </a:p>
      </dgm:t>
    </dgm:pt>
    <dgm:pt modelId="{A9BB451F-7A0B-4143-A34F-5E1E35C091BB}" cxnId="{B77A595F-672A-4917-A8B5-EE5601CD7C5B}"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14DC6EDF-8BF9-403E-AADA-F47FF7EA70E4}" cxnId="{B77A595F-672A-4917-A8B5-EE5601CD7C5B}"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753E9CD0-FF38-46B6-9692-52DDAEF2436C}">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基本预备费</a:t>
          </a:r>
        </a:p>
      </dgm:t>
    </dgm:pt>
    <dgm:pt modelId="{07C78310-BF1C-4454-A9C3-598A3464DF6D}" cxnId="{348CCEB4-529A-4261-AE2B-714278A8F0A9}"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AB3EF74A-B387-4FEC-9A58-092FA212A942}" cxnId="{348CCEB4-529A-4261-AE2B-714278A8F0A9}"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64016EAC-5B6A-4BB2-9B6E-E654AABB9597}">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价差预备费</a:t>
          </a:r>
        </a:p>
      </dgm:t>
    </dgm:pt>
    <dgm:pt modelId="{B8CF0C9A-CEB4-4461-ABE2-89C6DC011716}" cxnId="{4D4954C0-BA4A-4741-A793-B50E0425A787}"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F2A0F9D0-2599-4480-8D11-9D411C9D9878}" cxnId="{4D4954C0-BA4A-4741-A793-B50E0425A787}"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C662AF26-1085-45F6-8B5B-DB3A9FB05762}">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建筑工程费</a:t>
          </a:r>
        </a:p>
      </dgm:t>
    </dgm:pt>
    <dgm:pt modelId="{CBB93E55-1FBF-468C-BEDD-94A236940354}" cxnId="{D5E2BADF-0772-4D93-B962-4812B50334DF}"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DA1CFF36-426B-4776-A0CD-DCEEE71C7063}" cxnId="{D5E2BADF-0772-4D93-B962-4812B50334DF}"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6DEFF370-F25A-4894-9520-F2B2DCBDC869}">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安装工程费</a:t>
          </a:r>
        </a:p>
      </dgm:t>
    </dgm:pt>
    <dgm:pt modelId="{5E71B557-905C-4C5B-BA75-67DEB3C3A352}" cxnId="{D37A8BED-787E-4596-B7D9-03FFF532AA54}"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9228BD92-0FC3-4E1F-95B9-3F602512C844}" cxnId="{D37A8BED-787E-4596-B7D9-03FFF532AA54}"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818E1F9E-F76B-42AE-8BDC-1C8F88254F9A}">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设备购置费</a:t>
          </a:r>
        </a:p>
      </dgm:t>
    </dgm:pt>
    <dgm:pt modelId="{FDEA83AD-18C5-46C0-8601-7561D33BD36C}" cxnId="{96E6F965-6437-4BA2-B9F9-EFD72AC20264}"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A673F9D7-55CE-42C3-B612-64D86FC87B9B}" cxnId="{96E6F965-6437-4BA2-B9F9-EFD72AC20264}"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46C0C517-A6EF-4994-80E0-FEEA7D7FC132}">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前期工程费</a:t>
          </a:r>
        </a:p>
      </dgm:t>
    </dgm:pt>
    <dgm:pt modelId="{76D123E1-AA17-4E2B-A26C-F9DED1C084E4}" cxnId="{31288B61-A9C3-435B-9933-B76400FACF7D}"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A5071955-5BF8-4461-82A3-1717067F73ED}" cxnId="{31288B61-A9C3-435B-9933-B76400FACF7D}"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6C546093-30FD-4DAD-A309-DEFBA6F92500}">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与项目建设有关的其他费用</a:t>
          </a:r>
        </a:p>
      </dgm:t>
    </dgm:pt>
    <dgm:pt modelId="{2073A705-F866-42E8-B343-84BE23675DA1}" cxnId="{A9D61BBC-464B-4A78-9A74-7B8005FAC1D8}"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B6C25CC6-02E3-45EF-AD2B-A1A3076605D0}" cxnId="{A9D61BBC-464B-4A78-9A74-7B8005FAC1D8}"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E651B80F-053E-431F-B5F5-4F11045A2038}">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与试运行有关的其他费用</a:t>
          </a:r>
        </a:p>
      </dgm:t>
    </dgm:pt>
    <dgm:pt modelId="{98F3BC96-A8ED-41F1-AF14-A26EC25CF586}" cxnId="{3C27D740-96A1-4528-8E97-7D3E5F6BEC73}"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11206A39-E0BB-47B5-B996-1D85F24BF1D8}" cxnId="{3C27D740-96A1-4528-8E97-7D3E5F6BEC73}"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019BEC64-CEEE-4C88-9F44-43F9C4CAC8BF}">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车辆购置费</a:t>
          </a:r>
        </a:p>
      </dgm:t>
    </dgm:pt>
    <dgm:pt modelId="{5407BC56-4EE3-42EF-A910-10FA55CAFDDE}" cxnId="{132EDB5E-6889-4EEB-BE1B-760C7D5CADD2}"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9BF08202-BA6D-4E64-BF59-B756BC22A8E1}" cxnId="{132EDB5E-6889-4EEB-BE1B-760C7D5CADD2}"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D4B47CDF-72D3-4A59-98BF-D0EAFA1E4B7E}">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建设期利息</a:t>
          </a:r>
        </a:p>
      </dgm:t>
    </dgm:pt>
    <dgm:pt modelId="{19F58DFC-CF8B-462F-9F97-C88BFFAC267E}" cxnId="{63A29198-EAC2-4036-8998-F554577C175D}"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24A48E7D-3DA7-40D1-9C84-48374BD7A803}" cxnId="{63A29198-EAC2-4036-8998-F554577C175D}"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BDD031C6-9A4B-4BCC-B733-C03D7B504EC3}">
      <dgm:prSet phldrT="[文本]" custT="1"/>
      <dgm:spPr>
        <a:ln>
          <a:solidFill>
            <a:schemeClr val="bg1"/>
          </a:solidFill>
        </a:ln>
      </dgm:spPr>
      <dgm:t>
        <a:bodyPr/>
        <a:p>
          <a:pPr algn="l"/>
          <a:r>
            <a:rPr lang="zh-CN" altLang="en-US" sz="1200">
              <a:latin typeface="黑体" panose="02010600030101010101" charset="-122"/>
              <a:ea typeface="黑体" panose="02010600030101010101" charset="-122"/>
            </a:rPr>
            <a:t>  铺底流动资金</a:t>
          </a:r>
        </a:p>
      </dgm:t>
    </dgm:pt>
    <dgm:pt modelId="{258279A6-44C7-4F0E-9AAD-9B8F90F3F960}" cxnId="{01106553-0CF0-465D-B2FD-91A20A4124C2}" type="par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F77F131D-C20F-465F-A875-5B9803F0D1C1}" cxnId="{01106553-0CF0-465D-B2FD-91A20A4124C2}" type="sibTrans">
      <dgm:prSet/>
      <dgm:spPr/>
      <dgm:t>
        <a:bodyPr/>
        <a:p>
          <a:pPr algn="l"/>
          <a:endParaRPr lang="zh-CN" altLang="en-US" sz="1200">
            <a:ln>
              <a:noFill/>
            </a:ln>
            <a:solidFill>
              <a:sysClr val="windowText" lastClr="000000"/>
            </a:solidFill>
            <a:latin typeface="黑体" panose="02010600030101010101" charset="-122"/>
            <a:ea typeface="黑体" panose="02010600030101010101" charset="-122"/>
          </a:endParaRPr>
        </a:p>
      </dgm:t>
    </dgm:pt>
    <dgm:pt modelId="{8A2D4F83-902F-4563-AA0D-B35B025D4F20}" type="pres">
      <dgm:prSet presAssocID="{495D3F90-34E2-4A0C-8E97-143B5B11C24C}" presName="hierChild1" presStyleCnt="0">
        <dgm:presLayoutVars>
          <dgm:orgChart val="1"/>
          <dgm:chPref val="1"/>
          <dgm:dir/>
          <dgm:animOne val="branch"/>
          <dgm:animLvl val="lvl"/>
          <dgm:resizeHandles/>
        </dgm:presLayoutVars>
      </dgm:prSet>
      <dgm:spPr/>
      <dgm:t>
        <a:bodyPr/>
        <a:p>
          <a:endParaRPr lang="zh-CN" altLang="en-US"/>
        </a:p>
      </dgm:t>
    </dgm:pt>
    <dgm:pt modelId="{7EEB8B19-A092-4F36-BEB3-72629AC8BEB7}" type="pres">
      <dgm:prSet presAssocID="{413431BE-33EE-4CC9-9953-761F99400792}" presName="hierRoot1" presStyleCnt="0">
        <dgm:presLayoutVars>
          <dgm:hierBranch val="init"/>
        </dgm:presLayoutVars>
      </dgm:prSet>
      <dgm:spPr/>
    </dgm:pt>
    <dgm:pt modelId="{E7C46BFA-A850-4E48-9AC1-69BDA51A2B29}" type="pres">
      <dgm:prSet presAssocID="{413431BE-33EE-4CC9-9953-761F99400792}" presName="rootComposite1" presStyleCnt="0"/>
      <dgm:spPr/>
    </dgm:pt>
    <dgm:pt modelId="{C9341511-9C97-443A-8D53-EDC761773C09}" type="pres">
      <dgm:prSet presAssocID="{413431BE-33EE-4CC9-9953-761F99400792}" presName="rootText1" presStyleLbl="node0" presStyleIdx="0" presStyleCnt="1" custScaleX="39467" custScaleY="1396256">
        <dgm:presLayoutVars>
          <dgm:chPref val="3"/>
        </dgm:presLayoutVars>
      </dgm:prSet>
      <dgm:spPr/>
      <dgm:t>
        <a:bodyPr/>
        <a:p>
          <a:endParaRPr lang="zh-CN" altLang="en-US"/>
        </a:p>
      </dgm:t>
    </dgm:pt>
    <dgm:pt modelId="{14D62038-AC6C-45BC-9E02-1C692B393CB7}" type="pres">
      <dgm:prSet presAssocID="{413431BE-33EE-4CC9-9953-761F99400792}" presName="rootConnector1" presStyleLbl="node1" presStyleIdx="0" presStyleCnt="0"/>
      <dgm:spPr/>
      <dgm:t>
        <a:bodyPr/>
        <a:p>
          <a:endParaRPr lang="zh-CN" altLang="en-US"/>
        </a:p>
      </dgm:t>
    </dgm:pt>
    <dgm:pt modelId="{E8AF6F63-750E-40D0-9618-92C634DC0909}" type="pres">
      <dgm:prSet presAssocID="{413431BE-33EE-4CC9-9953-761F99400792}" presName="hierChild2" presStyleCnt="0"/>
      <dgm:spPr/>
    </dgm:pt>
    <dgm:pt modelId="{B608D573-B6BA-4D29-846D-BD364ACF4BBA}" type="pres">
      <dgm:prSet presAssocID="{0C243B3A-21A3-46A9-8F9A-BE588E54226D}" presName="Name64" presStyleLbl="parChTrans1D2" presStyleIdx="0" presStyleCnt="4"/>
      <dgm:spPr/>
      <dgm:t>
        <a:bodyPr/>
        <a:p>
          <a:endParaRPr lang="zh-CN" altLang="en-US"/>
        </a:p>
      </dgm:t>
    </dgm:pt>
    <dgm:pt modelId="{21B67EEE-882E-439F-9456-B030BC962040}" type="pres">
      <dgm:prSet presAssocID="{2DF403E3-8734-418B-A2B2-8334C6667C1B}" presName="hierRoot2" presStyleCnt="0">
        <dgm:presLayoutVars>
          <dgm:hierBranch val="init"/>
        </dgm:presLayoutVars>
      </dgm:prSet>
      <dgm:spPr/>
    </dgm:pt>
    <dgm:pt modelId="{981A4B61-803A-46DA-875A-086A513BF14B}" type="pres">
      <dgm:prSet presAssocID="{2DF403E3-8734-418B-A2B2-8334C6667C1B}" presName="rootComposite" presStyleCnt="0"/>
      <dgm:spPr/>
    </dgm:pt>
    <dgm:pt modelId="{3B7EFC2D-8CAC-4561-86CE-BE660AB6EBAE}" type="pres">
      <dgm:prSet presAssocID="{2DF403E3-8734-418B-A2B2-8334C6667C1B}" presName="rootText" presStyleLbl="node2" presStyleIdx="0" presStyleCnt="4" custScaleX="273631" custScaleY="177441">
        <dgm:presLayoutVars>
          <dgm:chPref val="3"/>
        </dgm:presLayoutVars>
      </dgm:prSet>
      <dgm:spPr/>
      <dgm:t>
        <a:bodyPr/>
        <a:p>
          <a:endParaRPr lang="zh-CN" altLang="en-US"/>
        </a:p>
      </dgm:t>
    </dgm:pt>
    <dgm:pt modelId="{0B993EF5-2A59-4BAD-8A2E-1F70988CF0E7}" type="pres">
      <dgm:prSet presAssocID="{2DF403E3-8734-418B-A2B2-8334C6667C1B}" presName="rootConnector" presStyleLbl="node2" presStyleIdx="0" presStyleCnt="4"/>
      <dgm:spPr/>
      <dgm:t>
        <a:bodyPr/>
        <a:p>
          <a:endParaRPr lang="zh-CN" altLang="en-US"/>
        </a:p>
      </dgm:t>
    </dgm:pt>
    <dgm:pt modelId="{DE947711-7E29-476C-9513-ECC429BC1A4B}" type="pres">
      <dgm:prSet presAssocID="{2DF403E3-8734-418B-A2B2-8334C6667C1B}" presName="hierChild4" presStyleCnt="0"/>
      <dgm:spPr/>
    </dgm:pt>
    <dgm:pt modelId="{9E329BEA-FD9B-4347-BAE6-AC06868703AA}" type="pres">
      <dgm:prSet presAssocID="{CBB93E55-1FBF-468C-BEDD-94A236940354}" presName="Name64" presStyleLbl="parChTrans1D3" presStyleIdx="0" presStyleCnt="11"/>
      <dgm:spPr/>
      <dgm:t>
        <a:bodyPr/>
        <a:p>
          <a:endParaRPr lang="zh-CN" altLang="en-US"/>
        </a:p>
      </dgm:t>
    </dgm:pt>
    <dgm:pt modelId="{08A1E6DE-B328-4BA0-A9F4-AA3DAC37D79F}" type="pres">
      <dgm:prSet presAssocID="{C662AF26-1085-45F6-8B5B-DB3A9FB05762}" presName="hierRoot2" presStyleCnt="0">
        <dgm:presLayoutVars>
          <dgm:hierBranch val="init"/>
        </dgm:presLayoutVars>
      </dgm:prSet>
      <dgm:spPr/>
    </dgm:pt>
    <dgm:pt modelId="{16A652CB-5586-488E-B2C8-B44DF0740786}" type="pres">
      <dgm:prSet presAssocID="{C662AF26-1085-45F6-8B5B-DB3A9FB05762}" presName="rootComposite" presStyleCnt="0"/>
      <dgm:spPr/>
    </dgm:pt>
    <dgm:pt modelId="{57F0395F-B4DA-485F-AA27-A0A6C8BF64DD}" type="pres">
      <dgm:prSet presAssocID="{C662AF26-1085-45F6-8B5B-DB3A9FB05762}" presName="rootText" presStyleLbl="node3" presStyleIdx="0" presStyleCnt="11" custScaleX="164781" custScaleY="152456">
        <dgm:presLayoutVars>
          <dgm:chPref val="3"/>
        </dgm:presLayoutVars>
      </dgm:prSet>
      <dgm:spPr/>
      <dgm:t>
        <a:bodyPr/>
        <a:p>
          <a:endParaRPr lang="zh-CN" altLang="en-US"/>
        </a:p>
      </dgm:t>
    </dgm:pt>
    <dgm:pt modelId="{5A88332A-37C9-4E41-AA63-344EEA5E04FF}" type="pres">
      <dgm:prSet presAssocID="{C662AF26-1085-45F6-8B5B-DB3A9FB05762}" presName="rootConnector" presStyleLbl="node3" presStyleIdx="0" presStyleCnt="11"/>
      <dgm:spPr/>
      <dgm:t>
        <a:bodyPr/>
        <a:p>
          <a:endParaRPr lang="zh-CN" altLang="en-US"/>
        </a:p>
      </dgm:t>
    </dgm:pt>
    <dgm:pt modelId="{E294474C-52CB-4B01-8D36-8F0B9E6BF872}" type="pres">
      <dgm:prSet presAssocID="{C662AF26-1085-45F6-8B5B-DB3A9FB05762}" presName="hierChild4" presStyleCnt="0"/>
      <dgm:spPr/>
    </dgm:pt>
    <dgm:pt modelId="{8EB39C37-7760-4903-9E3E-0393B8B1D139}" type="pres">
      <dgm:prSet presAssocID="{C662AF26-1085-45F6-8B5B-DB3A9FB05762}" presName="hierChild5" presStyleCnt="0"/>
      <dgm:spPr/>
    </dgm:pt>
    <dgm:pt modelId="{16C19B58-4634-4700-8520-C7F14EEC8630}" type="pres">
      <dgm:prSet presAssocID="{5E71B557-905C-4C5B-BA75-67DEB3C3A352}" presName="Name64" presStyleLbl="parChTrans1D3" presStyleIdx="1" presStyleCnt="11"/>
      <dgm:spPr/>
      <dgm:t>
        <a:bodyPr/>
        <a:p>
          <a:endParaRPr lang="zh-CN" altLang="en-US"/>
        </a:p>
      </dgm:t>
    </dgm:pt>
    <dgm:pt modelId="{74C587D2-D424-4053-B05F-952D42E66CBF}" type="pres">
      <dgm:prSet presAssocID="{6DEFF370-F25A-4894-9520-F2B2DCBDC869}" presName="hierRoot2" presStyleCnt="0">
        <dgm:presLayoutVars>
          <dgm:hierBranch val="init"/>
        </dgm:presLayoutVars>
      </dgm:prSet>
      <dgm:spPr/>
    </dgm:pt>
    <dgm:pt modelId="{36C3CCF0-C1A1-4E93-BF43-925D0DF2B79C}" type="pres">
      <dgm:prSet presAssocID="{6DEFF370-F25A-4894-9520-F2B2DCBDC869}" presName="rootComposite" presStyleCnt="0"/>
      <dgm:spPr/>
    </dgm:pt>
    <dgm:pt modelId="{FE21AD9B-8CA6-4819-A264-73589B1F2E95}" type="pres">
      <dgm:prSet presAssocID="{6DEFF370-F25A-4894-9520-F2B2DCBDC869}" presName="rootText" presStyleLbl="node3" presStyleIdx="1" presStyleCnt="11" custScaleX="188180" custScaleY="153464">
        <dgm:presLayoutVars>
          <dgm:chPref val="3"/>
        </dgm:presLayoutVars>
      </dgm:prSet>
      <dgm:spPr/>
      <dgm:t>
        <a:bodyPr/>
        <a:p>
          <a:endParaRPr lang="zh-CN" altLang="en-US"/>
        </a:p>
      </dgm:t>
    </dgm:pt>
    <dgm:pt modelId="{D981C592-5729-4A5D-BA0A-FC426BFE9A51}" type="pres">
      <dgm:prSet presAssocID="{6DEFF370-F25A-4894-9520-F2B2DCBDC869}" presName="rootConnector" presStyleLbl="node3" presStyleIdx="1" presStyleCnt="11"/>
      <dgm:spPr/>
      <dgm:t>
        <a:bodyPr/>
        <a:p>
          <a:endParaRPr lang="zh-CN" altLang="en-US"/>
        </a:p>
      </dgm:t>
    </dgm:pt>
    <dgm:pt modelId="{8A46FACE-0FBF-4AAF-BC35-2D450109D139}" type="pres">
      <dgm:prSet presAssocID="{6DEFF370-F25A-4894-9520-F2B2DCBDC869}" presName="hierChild4" presStyleCnt="0"/>
      <dgm:spPr/>
    </dgm:pt>
    <dgm:pt modelId="{544FE4EA-3A5A-4108-B02F-576674A60FDF}" type="pres">
      <dgm:prSet presAssocID="{6DEFF370-F25A-4894-9520-F2B2DCBDC869}" presName="hierChild5" presStyleCnt="0"/>
      <dgm:spPr/>
    </dgm:pt>
    <dgm:pt modelId="{D4BF13FA-BF7C-4E1C-A92A-F2A0DC6E61DC}" type="pres">
      <dgm:prSet presAssocID="{FDEA83AD-18C5-46C0-8601-7561D33BD36C}" presName="Name64" presStyleLbl="parChTrans1D3" presStyleIdx="2" presStyleCnt="11"/>
      <dgm:spPr/>
      <dgm:t>
        <a:bodyPr/>
        <a:p>
          <a:endParaRPr lang="zh-CN" altLang="en-US"/>
        </a:p>
      </dgm:t>
    </dgm:pt>
    <dgm:pt modelId="{5C88B323-758C-44B6-9BFF-175EE493BCF1}" type="pres">
      <dgm:prSet presAssocID="{818E1F9E-F76B-42AE-8BDC-1C8F88254F9A}" presName="hierRoot2" presStyleCnt="0">
        <dgm:presLayoutVars>
          <dgm:hierBranch val="init"/>
        </dgm:presLayoutVars>
      </dgm:prSet>
      <dgm:spPr/>
    </dgm:pt>
    <dgm:pt modelId="{560CA111-C35B-443B-B98D-C9118FC50EC6}" type="pres">
      <dgm:prSet presAssocID="{818E1F9E-F76B-42AE-8BDC-1C8F88254F9A}" presName="rootComposite" presStyleCnt="0"/>
      <dgm:spPr/>
    </dgm:pt>
    <dgm:pt modelId="{BB5370A4-B57A-4F2E-BA70-BCE43866B78C}" type="pres">
      <dgm:prSet presAssocID="{818E1F9E-F76B-42AE-8BDC-1C8F88254F9A}" presName="rootText" presStyleLbl="node3" presStyleIdx="2" presStyleCnt="11" custScaleX="192439" custScaleY="154486">
        <dgm:presLayoutVars>
          <dgm:chPref val="3"/>
        </dgm:presLayoutVars>
      </dgm:prSet>
      <dgm:spPr/>
      <dgm:t>
        <a:bodyPr/>
        <a:p>
          <a:endParaRPr lang="zh-CN" altLang="en-US"/>
        </a:p>
      </dgm:t>
    </dgm:pt>
    <dgm:pt modelId="{F6B1CF79-BDD9-4117-B667-F27125733CB8}" type="pres">
      <dgm:prSet presAssocID="{818E1F9E-F76B-42AE-8BDC-1C8F88254F9A}" presName="rootConnector" presStyleLbl="node3" presStyleIdx="2" presStyleCnt="11"/>
      <dgm:spPr/>
      <dgm:t>
        <a:bodyPr/>
        <a:p>
          <a:endParaRPr lang="zh-CN" altLang="en-US"/>
        </a:p>
      </dgm:t>
    </dgm:pt>
    <dgm:pt modelId="{7E93D615-F4B3-4CF6-81B1-3DB667D95770}" type="pres">
      <dgm:prSet presAssocID="{818E1F9E-F76B-42AE-8BDC-1C8F88254F9A}" presName="hierChild4" presStyleCnt="0"/>
      <dgm:spPr/>
    </dgm:pt>
    <dgm:pt modelId="{1E05DA66-BF97-4001-96E4-39C292D9293A}" type="pres">
      <dgm:prSet presAssocID="{818E1F9E-F76B-42AE-8BDC-1C8F88254F9A}" presName="hierChild5" presStyleCnt="0"/>
      <dgm:spPr/>
    </dgm:pt>
    <dgm:pt modelId="{5A343272-9C9C-42BA-9AD7-96941C83C3A1}" type="pres">
      <dgm:prSet presAssocID="{2DF403E3-8734-418B-A2B2-8334C6667C1B}" presName="hierChild5" presStyleCnt="0"/>
      <dgm:spPr/>
    </dgm:pt>
    <dgm:pt modelId="{7D7EAD01-5720-4393-B722-33BB04D92276}" type="pres">
      <dgm:prSet presAssocID="{A13ED56D-3488-4696-B22E-E848E506F049}" presName="Name64" presStyleLbl="parChTrans1D2" presStyleIdx="1" presStyleCnt="4"/>
      <dgm:spPr/>
      <dgm:t>
        <a:bodyPr/>
        <a:p>
          <a:endParaRPr lang="zh-CN" altLang="en-US"/>
        </a:p>
      </dgm:t>
    </dgm:pt>
    <dgm:pt modelId="{ACC1B90D-68B2-496A-A40E-B28380AEEAD5}" type="pres">
      <dgm:prSet presAssocID="{C5689456-5D2F-4275-B647-D4DF55DA3F5D}" presName="hierRoot2" presStyleCnt="0">
        <dgm:presLayoutVars>
          <dgm:hierBranch val="init"/>
        </dgm:presLayoutVars>
      </dgm:prSet>
      <dgm:spPr/>
    </dgm:pt>
    <dgm:pt modelId="{404A52A9-1425-49C4-A25C-47494C6831DC}" type="pres">
      <dgm:prSet presAssocID="{C5689456-5D2F-4275-B647-D4DF55DA3F5D}" presName="rootComposite" presStyleCnt="0"/>
      <dgm:spPr/>
    </dgm:pt>
    <dgm:pt modelId="{C3CEFD03-3E24-40B7-B289-7A10784EFD58}" type="pres">
      <dgm:prSet presAssocID="{C5689456-5D2F-4275-B647-D4DF55DA3F5D}" presName="rootText" presStyleLbl="node2" presStyleIdx="1" presStyleCnt="4" custScaleX="349517" custScaleY="177441">
        <dgm:presLayoutVars>
          <dgm:chPref val="3"/>
        </dgm:presLayoutVars>
      </dgm:prSet>
      <dgm:spPr/>
      <dgm:t>
        <a:bodyPr/>
        <a:p>
          <a:endParaRPr lang="zh-CN" altLang="en-US"/>
        </a:p>
      </dgm:t>
    </dgm:pt>
    <dgm:pt modelId="{7B352F31-A627-46FC-AFF1-41591B8B58B8}" type="pres">
      <dgm:prSet presAssocID="{C5689456-5D2F-4275-B647-D4DF55DA3F5D}" presName="rootConnector" presStyleLbl="node2" presStyleIdx="1" presStyleCnt="4"/>
      <dgm:spPr/>
      <dgm:t>
        <a:bodyPr/>
        <a:p>
          <a:endParaRPr lang="zh-CN" altLang="en-US"/>
        </a:p>
      </dgm:t>
    </dgm:pt>
    <dgm:pt modelId="{494D5566-EEA3-448C-9E92-BD4136947B60}" type="pres">
      <dgm:prSet presAssocID="{C5689456-5D2F-4275-B647-D4DF55DA3F5D}" presName="hierChild4" presStyleCnt="0"/>
      <dgm:spPr/>
    </dgm:pt>
    <dgm:pt modelId="{F0FB0836-EACF-4FE8-BBEC-CBD746CD4611}" type="pres">
      <dgm:prSet presAssocID="{76D123E1-AA17-4E2B-A26C-F9DED1C084E4}" presName="Name64" presStyleLbl="parChTrans1D3" presStyleIdx="3" presStyleCnt="11"/>
      <dgm:spPr/>
      <dgm:t>
        <a:bodyPr/>
        <a:p>
          <a:endParaRPr lang="zh-CN" altLang="en-US"/>
        </a:p>
      </dgm:t>
    </dgm:pt>
    <dgm:pt modelId="{97584D80-8AAD-400D-B4CB-59DF47014D40}" type="pres">
      <dgm:prSet presAssocID="{46C0C517-A6EF-4994-80E0-FEEA7D7FC132}" presName="hierRoot2" presStyleCnt="0">
        <dgm:presLayoutVars>
          <dgm:hierBranch val="init"/>
        </dgm:presLayoutVars>
      </dgm:prSet>
      <dgm:spPr/>
    </dgm:pt>
    <dgm:pt modelId="{41D322A9-C77D-4514-938F-8BFF6F35A80D}" type="pres">
      <dgm:prSet presAssocID="{46C0C517-A6EF-4994-80E0-FEEA7D7FC132}" presName="rootComposite" presStyleCnt="0"/>
      <dgm:spPr/>
    </dgm:pt>
    <dgm:pt modelId="{A2BE574D-4487-4E45-8667-276BCA4A22EE}" type="pres">
      <dgm:prSet presAssocID="{46C0C517-A6EF-4994-80E0-FEEA7D7FC132}" presName="rootText" presStyleLbl="node3" presStyleIdx="3" presStyleCnt="11" custScaleX="193512" custScaleY="153464">
        <dgm:presLayoutVars>
          <dgm:chPref val="3"/>
        </dgm:presLayoutVars>
      </dgm:prSet>
      <dgm:spPr/>
      <dgm:t>
        <a:bodyPr/>
        <a:p>
          <a:endParaRPr lang="zh-CN" altLang="en-US"/>
        </a:p>
      </dgm:t>
    </dgm:pt>
    <dgm:pt modelId="{714C46CC-3971-4FF8-AAA9-9812F4D6F742}" type="pres">
      <dgm:prSet presAssocID="{46C0C517-A6EF-4994-80E0-FEEA7D7FC132}" presName="rootConnector" presStyleLbl="node3" presStyleIdx="3" presStyleCnt="11"/>
      <dgm:spPr/>
      <dgm:t>
        <a:bodyPr/>
        <a:p>
          <a:endParaRPr lang="zh-CN" altLang="en-US"/>
        </a:p>
      </dgm:t>
    </dgm:pt>
    <dgm:pt modelId="{77346E9A-88A4-4CD4-AA08-774ED59B952F}" type="pres">
      <dgm:prSet presAssocID="{46C0C517-A6EF-4994-80E0-FEEA7D7FC132}" presName="hierChild4" presStyleCnt="0"/>
      <dgm:spPr/>
    </dgm:pt>
    <dgm:pt modelId="{81FDFCAC-51E5-4369-9497-72E70122A554}" type="pres">
      <dgm:prSet presAssocID="{46C0C517-A6EF-4994-80E0-FEEA7D7FC132}" presName="hierChild5" presStyleCnt="0"/>
      <dgm:spPr/>
    </dgm:pt>
    <dgm:pt modelId="{EB45F28F-95D4-4AC1-95CB-2BFDF3B12748}" type="pres">
      <dgm:prSet presAssocID="{2073A705-F866-42E8-B343-84BE23675DA1}" presName="Name64" presStyleLbl="parChTrans1D3" presStyleIdx="4" presStyleCnt="11"/>
      <dgm:spPr/>
      <dgm:t>
        <a:bodyPr/>
        <a:p>
          <a:endParaRPr lang="zh-CN" altLang="en-US"/>
        </a:p>
      </dgm:t>
    </dgm:pt>
    <dgm:pt modelId="{2881DA8E-527E-46B7-B94F-B67D235AF178}" type="pres">
      <dgm:prSet presAssocID="{6C546093-30FD-4DAD-A309-DEFBA6F92500}" presName="hierRoot2" presStyleCnt="0">
        <dgm:presLayoutVars>
          <dgm:hierBranch val="init"/>
        </dgm:presLayoutVars>
      </dgm:prSet>
      <dgm:spPr/>
    </dgm:pt>
    <dgm:pt modelId="{EA8BCD8D-5EC5-4861-9B27-BEAA9B00DD06}" type="pres">
      <dgm:prSet presAssocID="{6C546093-30FD-4DAD-A309-DEFBA6F92500}" presName="rootComposite" presStyleCnt="0"/>
      <dgm:spPr/>
    </dgm:pt>
    <dgm:pt modelId="{2D30233D-FDDA-4AD3-9BE3-D06BFA17C1AB}" type="pres">
      <dgm:prSet presAssocID="{6C546093-30FD-4DAD-A309-DEFBA6F92500}" presName="rootText" presStyleLbl="node3" presStyleIdx="4" presStyleCnt="11" custScaleX="382406" custScaleY="152707">
        <dgm:presLayoutVars>
          <dgm:chPref val="3"/>
        </dgm:presLayoutVars>
      </dgm:prSet>
      <dgm:spPr/>
      <dgm:t>
        <a:bodyPr/>
        <a:p>
          <a:endParaRPr lang="zh-CN" altLang="en-US"/>
        </a:p>
      </dgm:t>
    </dgm:pt>
    <dgm:pt modelId="{84F3106C-F806-4506-95B0-25D8A9BF88C2}" type="pres">
      <dgm:prSet presAssocID="{6C546093-30FD-4DAD-A309-DEFBA6F92500}" presName="rootConnector" presStyleLbl="node3" presStyleIdx="4" presStyleCnt="11"/>
      <dgm:spPr/>
      <dgm:t>
        <a:bodyPr/>
        <a:p>
          <a:endParaRPr lang="zh-CN" altLang="en-US"/>
        </a:p>
      </dgm:t>
    </dgm:pt>
    <dgm:pt modelId="{3B6D0E8E-0D4C-4BFA-8BD9-49644495FE71}" type="pres">
      <dgm:prSet presAssocID="{6C546093-30FD-4DAD-A309-DEFBA6F92500}" presName="hierChild4" presStyleCnt="0"/>
      <dgm:spPr/>
    </dgm:pt>
    <dgm:pt modelId="{95AC856A-7562-4785-B932-10D47F5F35E8}" type="pres">
      <dgm:prSet presAssocID="{6C546093-30FD-4DAD-A309-DEFBA6F92500}" presName="hierChild5" presStyleCnt="0"/>
      <dgm:spPr/>
    </dgm:pt>
    <dgm:pt modelId="{D7F4422E-F80A-4EF7-80A8-3A0B60F0CA1B}" type="pres">
      <dgm:prSet presAssocID="{98F3BC96-A8ED-41F1-AF14-A26EC25CF586}" presName="Name64" presStyleLbl="parChTrans1D3" presStyleIdx="5" presStyleCnt="11"/>
      <dgm:spPr/>
      <dgm:t>
        <a:bodyPr/>
        <a:p>
          <a:endParaRPr lang="zh-CN" altLang="en-US"/>
        </a:p>
      </dgm:t>
    </dgm:pt>
    <dgm:pt modelId="{4405A31D-BD1D-4A31-A333-3F9A24289D52}" type="pres">
      <dgm:prSet presAssocID="{E651B80F-053E-431F-B5F5-4F11045A2038}" presName="hierRoot2" presStyleCnt="0">
        <dgm:presLayoutVars>
          <dgm:hierBranch val="init"/>
        </dgm:presLayoutVars>
      </dgm:prSet>
      <dgm:spPr/>
    </dgm:pt>
    <dgm:pt modelId="{4F549277-CD30-4B95-8FE8-FD099D8373E1}" type="pres">
      <dgm:prSet presAssocID="{E651B80F-053E-431F-B5F5-4F11045A2038}" presName="rootComposite" presStyleCnt="0"/>
      <dgm:spPr/>
    </dgm:pt>
    <dgm:pt modelId="{BA2B7BED-5D44-4BA8-9B52-AEB0D7208721}" type="pres">
      <dgm:prSet presAssocID="{E651B80F-053E-431F-B5F5-4F11045A2038}" presName="rootText" presStyleLbl="node3" presStyleIdx="5" presStyleCnt="11" custScaleX="367975" custScaleY="151957">
        <dgm:presLayoutVars>
          <dgm:chPref val="3"/>
        </dgm:presLayoutVars>
      </dgm:prSet>
      <dgm:spPr/>
      <dgm:t>
        <a:bodyPr/>
        <a:p>
          <a:endParaRPr lang="zh-CN" altLang="en-US"/>
        </a:p>
      </dgm:t>
    </dgm:pt>
    <dgm:pt modelId="{5A569A68-445F-4788-A7F5-E23903807D88}" type="pres">
      <dgm:prSet presAssocID="{E651B80F-053E-431F-B5F5-4F11045A2038}" presName="rootConnector" presStyleLbl="node3" presStyleIdx="5" presStyleCnt="11"/>
      <dgm:spPr/>
      <dgm:t>
        <a:bodyPr/>
        <a:p>
          <a:endParaRPr lang="zh-CN" altLang="en-US"/>
        </a:p>
      </dgm:t>
    </dgm:pt>
    <dgm:pt modelId="{FAC00BDF-FA3D-4D93-B6F8-35BB0B3B42F6}" type="pres">
      <dgm:prSet presAssocID="{E651B80F-053E-431F-B5F5-4F11045A2038}" presName="hierChild4" presStyleCnt="0"/>
      <dgm:spPr/>
    </dgm:pt>
    <dgm:pt modelId="{62CE372B-18E0-456F-8667-2692E17A604B}" type="pres">
      <dgm:prSet presAssocID="{E651B80F-053E-431F-B5F5-4F11045A2038}" presName="hierChild5" presStyleCnt="0"/>
      <dgm:spPr/>
    </dgm:pt>
    <dgm:pt modelId="{DECE7444-08B8-4B2B-8199-49E4A1AF29F0}" type="pres">
      <dgm:prSet presAssocID="{C5689456-5D2F-4275-B647-D4DF55DA3F5D}" presName="hierChild5" presStyleCnt="0"/>
      <dgm:spPr/>
    </dgm:pt>
    <dgm:pt modelId="{31D1DC50-2870-483D-B3C8-6FAE2C1E33FB}" type="pres">
      <dgm:prSet presAssocID="{7EC60A2B-015A-4F25-87D2-5BE2E3D7D84A}" presName="Name64" presStyleLbl="parChTrans1D2" presStyleIdx="2" presStyleCnt="4"/>
      <dgm:spPr/>
      <dgm:t>
        <a:bodyPr/>
        <a:p>
          <a:endParaRPr lang="zh-CN" altLang="en-US"/>
        </a:p>
      </dgm:t>
    </dgm:pt>
    <dgm:pt modelId="{DABD4E52-7244-4BB7-BCD5-DC189A79BF22}" type="pres">
      <dgm:prSet presAssocID="{6BFCCB8B-AF98-495E-A44A-C785E686D962}" presName="hierRoot2" presStyleCnt="0">
        <dgm:presLayoutVars>
          <dgm:hierBranch val="init"/>
        </dgm:presLayoutVars>
      </dgm:prSet>
      <dgm:spPr/>
    </dgm:pt>
    <dgm:pt modelId="{116CBC4C-EAB0-4AD3-BB9E-BB48AB7E5E5C}" type="pres">
      <dgm:prSet presAssocID="{6BFCCB8B-AF98-495E-A44A-C785E686D962}" presName="rootComposite" presStyleCnt="0"/>
      <dgm:spPr/>
    </dgm:pt>
    <dgm:pt modelId="{D6B930DC-3E82-4DCF-98CB-8ED61CABC10A}" type="pres">
      <dgm:prSet presAssocID="{6BFCCB8B-AF98-495E-A44A-C785E686D962}" presName="rootText" presStyleLbl="node2" presStyleIdx="2" presStyleCnt="4" custScaleX="231516" custScaleY="177441">
        <dgm:presLayoutVars>
          <dgm:chPref val="3"/>
        </dgm:presLayoutVars>
      </dgm:prSet>
      <dgm:spPr/>
      <dgm:t>
        <a:bodyPr/>
        <a:p>
          <a:endParaRPr lang="zh-CN" altLang="en-US"/>
        </a:p>
      </dgm:t>
    </dgm:pt>
    <dgm:pt modelId="{80997F64-0393-4F38-B383-CB2EC3EF01B9}" type="pres">
      <dgm:prSet presAssocID="{6BFCCB8B-AF98-495E-A44A-C785E686D962}" presName="rootConnector" presStyleLbl="node2" presStyleIdx="2" presStyleCnt="4"/>
      <dgm:spPr/>
      <dgm:t>
        <a:bodyPr/>
        <a:p>
          <a:endParaRPr lang="zh-CN" altLang="en-US"/>
        </a:p>
      </dgm:t>
    </dgm:pt>
    <dgm:pt modelId="{8A2FCD1A-7CD3-4C34-B331-29205393E8D1}" type="pres">
      <dgm:prSet presAssocID="{6BFCCB8B-AF98-495E-A44A-C785E686D962}" presName="hierChild4" presStyleCnt="0"/>
      <dgm:spPr/>
    </dgm:pt>
    <dgm:pt modelId="{BBD70F0D-13CC-45C7-A7F9-A1201CBF0C42}" type="pres">
      <dgm:prSet presAssocID="{07C78310-BF1C-4454-A9C3-598A3464DF6D}" presName="Name64" presStyleLbl="parChTrans1D3" presStyleIdx="6" presStyleCnt="11"/>
      <dgm:spPr/>
      <dgm:t>
        <a:bodyPr/>
        <a:p>
          <a:endParaRPr lang="zh-CN" altLang="en-US"/>
        </a:p>
      </dgm:t>
    </dgm:pt>
    <dgm:pt modelId="{5E6B2D87-B16E-459B-AA97-4CF38AE15BCD}" type="pres">
      <dgm:prSet presAssocID="{753E9CD0-FF38-46B6-9692-52DDAEF2436C}" presName="hierRoot2" presStyleCnt="0">
        <dgm:presLayoutVars>
          <dgm:hierBranch val="init"/>
        </dgm:presLayoutVars>
      </dgm:prSet>
      <dgm:spPr/>
    </dgm:pt>
    <dgm:pt modelId="{72B4C948-B1CF-4D9C-A8C0-3EBA908E8571}" type="pres">
      <dgm:prSet presAssocID="{753E9CD0-FF38-46B6-9692-52DDAEF2436C}" presName="rootComposite" presStyleCnt="0"/>
      <dgm:spPr/>
    </dgm:pt>
    <dgm:pt modelId="{96446963-A2C4-4358-9546-BDB224EC9D2E}" type="pres">
      <dgm:prSet presAssocID="{753E9CD0-FF38-46B6-9692-52DDAEF2436C}" presName="rootText" presStyleLbl="node3" presStyleIdx="6" presStyleCnt="11" custScaleX="195991" custScaleY="151216">
        <dgm:presLayoutVars>
          <dgm:chPref val="3"/>
        </dgm:presLayoutVars>
      </dgm:prSet>
      <dgm:spPr/>
      <dgm:t>
        <a:bodyPr/>
        <a:p>
          <a:endParaRPr lang="zh-CN" altLang="en-US"/>
        </a:p>
      </dgm:t>
    </dgm:pt>
    <dgm:pt modelId="{163A8E22-F7A2-4D64-8D32-2DA3660BC75A}" type="pres">
      <dgm:prSet presAssocID="{753E9CD0-FF38-46B6-9692-52DDAEF2436C}" presName="rootConnector" presStyleLbl="node3" presStyleIdx="6" presStyleCnt="11"/>
      <dgm:spPr/>
      <dgm:t>
        <a:bodyPr/>
        <a:p>
          <a:endParaRPr lang="zh-CN" altLang="en-US"/>
        </a:p>
      </dgm:t>
    </dgm:pt>
    <dgm:pt modelId="{7166082E-D228-42DC-9EDF-C8B06E58984E}" type="pres">
      <dgm:prSet presAssocID="{753E9CD0-FF38-46B6-9692-52DDAEF2436C}" presName="hierChild4" presStyleCnt="0"/>
      <dgm:spPr/>
    </dgm:pt>
    <dgm:pt modelId="{433607A2-78AF-4A58-8EBF-BBFB35F0FAEF}" type="pres">
      <dgm:prSet presAssocID="{753E9CD0-FF38-46B6-9692-52DDAEF2436C}" presName="hierChild5" presStyleCnt="0"/>
      <dgm:spPr/>
    </dgm:pt>
    <dgm:pt modelId="{DEFC1C09-DAE8-4174-BC9E-54F846B3855F}" type="pres">
      <dgm:prSet presAssocID="{B8CF0C9A-CEB4-4461-ABE2-89C6DC011716}" presName="Name64" presStyleLbl="parChTrans1D3" presStyleIdx="7" presStyleCnt="11"/>
      <dgm:spPr/>
      <dgm:t>
        <a:bodyPr/>
        <a:p>
          <a:endParaRPr lang="zh-CN" altLang="en-US"/>
        </a:p>
      </dgm:t>
    </dgm:pt>
    <dgm:pt modelId="{5B8CB37B-FE0C-4D70-868B-791CE68A16A0}" type="pres">
      <dgm:prSet presAssocID="{64016EAC-5B6A-4BB2-9B6E-E654AABB9597}" presName="hierRoot2" presStyleCnt="0">
        <dgm:presLayoutVars>
          <dgm:hierBranch val="init"/>
        </dgm:presLayoutVars>
      </dgm:prSet>
      <dgm:spPr/>
    </dgm:pt>
    <dgm:pt modelId="{86E892C3-E990-4187-90F0-DFAB8CFAB6CF}" type="pres">
      <dgm:prSet presAssocID="{64016EAC-5B6A-4BB2-9B6E-E654AABB9597}" presName="rootComposite" presStyleCnt="0"/>
      <dgm:spPr/>
    </dgm:pt>
    <dgm:pt modelId="{CBE7077E-6E94-4257-A13A-4AC0F00D7BF2}" type="pres">
      <dgm:prSet presAssocID="{64016EAC-5B6A-4BB2-9B6E-E654AABB9597}" presName="rootText" presStyleLbl="node3" presStyleIdx="7" presStyleCnt="11" custScaleX="182776" custScaleY="152207">
        <dgm:presLayoutVars>
          <dgm:chPref val="3"/>
        </dgm:presLayoutVars>
      </dgm:prSet>
      <dgm:spPr/>
      <dgm:t>
        <a:bodyPr/>
        <a:p>
          <a:endParaRPr lang="zh-CN" altLang="en-US"/>
        </a:p>
      </dgm:t>
    </dgm:pt>
    <dgm:pt modelId="{A711F4A1-855C-4905-89D5-2B90B9237B51}" type="pres">
      <dgm:prSet presAssocID="{64016EAC-5B6A-4BB2-9B6E-E654AABB9597}" presName="rootConnector" presStyleLbl="node3" presStyleIdx="7" presStyleCnt="11"/>
      <dgm:spPr/>
      <dgm:t>
        <a:bodyPr/>
        <a:p>
          <a:endParaRPr lang="zh-CN" altLang="en-US"/>
        </a:p>
      </dgm:t>
    </dgm:pt>
    <dgm:pt modelId="{0228E837-5793-4093-9F5F-5F049226B53F}" type="pres">
      <dgm:prSet presAssocID="{64016EAC-5B6A-4BB2-9B6E-E654AABB9597}" presName="hierChild4" presStyleCnt="0"/>
      <dgm:spPr/>
    </dgm:pt>
    <dgm:pt modelId="{92938CDE-0E38-4F63-BBBE-5D0FC283D135}" type="pres">
      <dgm:prSet presAssocID="{64016EAC-5B6A-4BB2-9B6E-E654AABB9597}" presName="hierChild5" presStyleCnt="0"/>
      <dgm:spPr/>
    </dgm:pt>
    <dgm:pt modelId="{CBDF8A60-3DB2-4855-AA97-9B5A3991FA85}" type="pres">
      <dgm:prSet presAssocID="{6BFCCB8B-AF98-495E-A44A-C785E686D962}" presName="hierChild5" presStyleCnt="0"/>
      <dgm:spPr/>
    </dgm:pt>
    <dgm:pt modelId="{A425213B-472A-4265-BDA6-A0F74E4D4CAE}" type="pres">
      <dgm:prSet presAssocID="{A9BB451F-7A0B-4143-A34F-5E1E35C091BB}" presName="Name64" presStyleLbl="parChTrans1D2" presStyleIdx="3" presStyleCnt="4"/>
      <dgm:spPr/>
      <dgm:t>
        <a:bodyPr/>
        <a:p>
          <a:endParaRPr lang="zh-CN" altLang="en-US"/>
        </a:p>
      </dgm:t>
    </dgm:pt>
    <dgm:pt modelId="{FD9C7568-C34E-4EF7-824B-10B2E15C3705}" type="pres">
      <dgm:prSet presAssocID="{8FF87E46-FE1C-4277-A9E9-30B504DFCA53}" presName="hierRoot2" presStyleCnt="0">
        <dgm:presLayoutVars>
          <dgm:hierBranch val="init"/>
        </dgm:presLayoutVars>
      </dgm:prSet>
      <dgm:spPr/>
    </dgm:pt>
    <dgm:pt modelId="{A07FF30E-0332-493B-A848-594DC8DF0BDB}" type="pres">
      <dgm:prSet presAssocID="{8FF87E46-FE1C-4277-A9E9-30B504DFCA53}" presName="rootComposite" presStyleCnt="0"/>
      <dgm:spPr/>
    </dgm:pt>
    <dgm:pt modelId="{2CE2CB60-B6C6-41B2-A967-691FC96E045F}" type="pres">
      <dgm:prSet presAssocID="{8FF87E46-FE1C-4277-A9E9-30B504DFCA53}" presName="rootText" presStyleLbl="node2" presStyleIdx="3" presStyleCnt="4" custScaleX="261978" custScaleY="177441">
        <dgm:presLayoutVars>
          <dgm:chPref val="3"/>
        </dgm:presLayoutVars>
      </dgm:prSet>
      <dgm:spPr/>
      <dgm:t>
        <a:bodyPr/>
        <a:p>
          <a:endParaRPr lang="zh-CN" altLang="en-US"/>
        </a:p>
      </dgm:t>
    </dgm:pt>
    <dgm:pt modelId="{4D9363E9-7434-4156-BE5F-815D569D42CE}" type="pres">
      <dgm:prSet presAssocID="{8FF87E46-FE1C-4277-A9E9-30B504DFCA53}" presName="rootConnector" presStyleLbl="node2" presStyleIdx="3" presStyleCnt="4"/>
      <dgm:spPr/>
      <dgm:t>
        <a:bodyPr/>
        <a:p>
          <a:endParaRPr lang="zh-CN" altLang="en-US"/>
        </a:p>
      </dgm:t>
    </dgm:pt>
    <dgm:pt modelId="{6E770012-F76B-4177-8057-1ACFBB01D302}" type="pres">
      <dgm:prSet presAssocID="{8FF87E46-FE1C-4277-A9E9-30B504DFCA53}" presName="hierChild4" presStyleCnt="0"/>
      <dgm:spPr/>
    </dgm:pt>
    <dgm:pt modelId="{4A637723-82F9-4C11-B499-2455944D45C4}" type="pres">
      <dgm:prSet presAssocID="{5407BC56-4EE3-42EF-A910-10FA55CAFDDE}" presName="Name64" presStyleLbl="parChTrans1D3" presStyleIdx="8" presStyleCnt="11"/>
      <dgm:spPr/>
      <dgm:t>
        <a:bodyPr/>
        <a:p>
          <a:endParaRPr lang="zh-CN" altLang="en-US"/>
        </a:p>
      </dgm:t>
    </dgm:pt>
    <dgm:pt modelId="{9F4B162B-D631-46E6-B02F-44BA67188E1F}" type="pres">
      <dgm:prSet presAssocID="{019BEC64-CEEE-4C88-9F44-43F9C4CAC8BF}" presName="hierRoot2" presStyleCnt="0">
        <dgm:presLayoutVars>
          <dgm:hierBranch val="init"/>
        </dgm:presLayoutVars>
      </dgm:prSet>
      <dgm:spPr/>
    </dgm:pt>
    <dgm:pt modelId="{5291E238-DC39-4AC0-9688-03A7E47F4C56}" type="pres">
      <dgm:prSet presAssocID="{019BEC64-CEEE-4C88-9F44-43F9C4CAC8BF}" presName="rootComposite" presStyleCnt="0"/>
      <dgm:spPr/>
    </dgm:pt>
    <dgm:pt modelId="{6CF4EB24-34AC-4E79-B48B-17ACCA9E842D}" type="pres">
      <dgm:prSet presAssocID="{019BEC64-CEEE-4C88-9F44-43F9C4CAC8BF}" presName="rootText" presStyleLbl="node3" presStyleIdx="8" presStyleCnt="11" custScaleX="189418" custScaleY="153211">
        <dgm:presLayoutVars>
          <dgm:chPref val="3"/>
        </dgm:presLayoutVars>
      </dgm:prSet>
      <dgm:spPr/>
      <dgm:t>
        <a:bodyPr/>
        <a:p>
          <a:endParaRPr lang="zh-CN" altLang="en-US"/>
        </a:p>
      </dgm:t>
    </dgm:pt>
    <dgm:pt modelId="{A6B6F9F9-3ADF-4FE4-8E4A-3738143A3C9D}" type="pres">
      <dgm:prSet presAssocID="{019BEC64-CEEE-4C88-9F44-43F9C4CAC8BF}" presName="rootConnector" presStyleLbl="node3" presStyleIdx="8" presStyleCnt="11"/>
      <dgm:spPr/>
      <dgm:t>
        <a:bodyPr/>
        <a:p>
          <a:endParaRPr lang="zh-CN" altLang="en-US"/>
        </a:p>
      </dgm:t>
    </dgm:pt>
    <dgm:pt modelId="{E2884467-69BE-48A5-8E9C-7D75900B8867}" type="pres">
      <dgm:prSet presAssocID="{019BEC64-CEEE-4C88-9F44-43F9C4CAC8BF}" presName="hierChild4" presStyleCnt="0"/>
      <dgm:spPr/>
    </dgm:pt>
    <dgm:pt modelId="{CCDE9CB8-1171-430C-B1AC-F7EC081E3FBE}" type="pres">
      <dgm:prSet presAssocID="{019BEC64-CEEE-4C88-9F44-43F9C4CAC8BF}" presName="hierChild5" presStyleCnt="0"/>
      <dgm:spPr/>
    </dgm:pt>
    <dgm:pt modelId="{3B5C47DF-B91B-45D8-8F23-EA5E0678E058}" type="pres">
      <dgm:prSet presAssocID="{19F58DFC-CF8B-462F-9F97-C88BFFAC267E}" presName="Name64" presStyleLbl="parChTrans1D3" presStyleIdx="9" presStyleCnt="11"/>
      <dgm:spPr/>
      <dgm:t>
        <a:bodyPr/>
        <a:p>
          <a:endParaRPr lang="zh-CN" altLang="en-US"/>
        </a:p>
      </dgm:t>
    </dgm:pt>
    <dgm:pt modelId="{B02DE4AF-4B24-4D70-9987-1DA339717628}" type="pres">
      <dgm:prSet presAssocID="{D4B47CDF-72D3-4A59-98BF-D0EAFA1E4B7E}" presName="hierRoot2" presStyleCnt="0">
        <dgm:presLayoutVars>
          <dgm:hierBranch val="init"/>
        </dgm:presLayoutVars>
      </dgm:prSet>
      <dgm:spPr/>
    </dgm:pt>
    <dgm:pt modelId="{BDE6220D-4CCF-4C2F-B5DE-68C73F42EABA}" type="pres">
      <dgm:prSet presAssocID="{D4B47CDF-72D3-4A59-98BF-D0EAFA1E4B7E}" presName="rootComposite" presStyleCnt="0"/>
      <dgm:spPr/>
    </dgm:pt>
    <dgm:pt modelId="{60B8D45B-17F3-46A3-A081-F4284C470AD7}" type="pres">
      <dgm:prSet presAssocID="{D4B47CDF-72D3-4A59-98BF-D0EAFA1E4B7E}" presName="rootText" presStyleLbl="node3" presStyleIdx="9" presStyleCnt="11" custScaleX="188608" custScaleY="154229">
        <dgm:presLayoutVars>
          <dgm:chPref val="3"/>
        </dgm:presLayoutVars>
      </dgm:prSet>
      <dgm:spPr/>
      <dgm:t>
        <a:bodyPr/>
        <a:p>
          <a:endParaRPr lang="zh-CN" altLang="en-US"/>
        </a:p>
      </dgm:t>
    </dgm:pt>
    <dgm:pt modelId="{4F9E3B0F-3174-4B77-9CEA-60603980D5AE}" type="pres">
      <dgm:prSet presAssocID="{D4B47CDF-72D3-4A59-98BF-D0EAFA1E4B7E}" presName="rootConnector" presStyleLbl="node3" presStyleIdx="9" presStyleCnt="11"/>
      <dgm:spPr/>
      <dgm:t>
        <a:bodyPr/>
        <a:p>
          <a:endParaRPr lang="zh-CN" altLang="en-US"/>
        </a:p>
      </dgm:t>
    </dgm:pt>
    <dgm:pt modelId="{10DF4141-BCB6-4FCE-A61F-879705EC0E48}" type="pres">
      <dgm:prSet presAssocID="{D4B47CDF-72D3-4A59-98BF-D0EAFA1E4B7E}" presName="hierChild4" presStyleCnt="0"/>
      <dgm:spPr/>
    </dgm:pt>
    <dgm:pt modelId="{B74E3E9A-F04E-4A0A-88A6-A44522FFA4BB}" type="pres">
      <dgm:prSet presAssocID="{D4B47CDF-72D3-4A59-98BF-D0EAFA1E4B7E}" presName="hierChild5" presStyleCnt="0"/>
      <dgm:spPr/>
    </dgm:pt>
    <dgm:pt modelId="{30D066B4-C502-4694-87DA-13C8E37FBBB4}" type="pres">
      <dgm:prSet presAssocID="{258279A6-44C7-4F0E-9AAD-9B8F90F3F960}" presName="Name64" presStyleLbl="parChTrans1D3" presStyleIdx="10" presStyleCnt="11"/>
      <dgm:spPr/>
      <dgm:t>
        <a:bodyPr/>
        <a:p>
          <a:endParaRPr lang="zh-CN" altLang="en-US"/>
        </a:p>
      </dgm:t>
    </dgm:pt>
    <dgm:pt modelId="{64ADE9B1-2720-4B3A-A73A-FB3074325A90}" type="pres">
      <dgm:prSet presAssocID="{BDD031C6-9A4B-4BCC-B733-C03D7B504EC3}" presName="hierRoot2" presStyleCnt="0">
        <dgm:presLayoutVars>
          <dgm:hierBranch val="init"/>
        </dgm:presLayoutVars>
      </dgm:prSet>
      <dgm:spPr/>
    </dgm:pt>
    <dgm:pt modelId="{68C48ABC-53B5-4E3A-A09B-8C8BC27FBE6D}" type="pres">
      <dgm:prSet presAssocID="{BDD031C6-9A4B-4BCC-B733-C03D7B504EC3}" presName="rootComposite" presStyleCnt="0"/>
      <dgm:spPr/>
    </dgm:pt>
    <dgm:pt modelId="{01444EEB-7B65-4EE8-BFFE-D1E0BA260445}" type="pres">
      <dgm:prSet presAssocID="{BDD031C6-9A4B-4BCC-B733-C03D7B504EC3}" presName="rootText" presStyleLbl="node3" presStyleIdx="10" presStyleCnt="11" custScaleX="193706" custScaleY="154743">
        <dgm:presLayoutVars>
          <dgm:chPref val="3"/>
        </dgm:presLayoutVars>
      </dgm:prSet>
      <dgm:spPr/>
      <dgm:t>
        <a:bodyPr/>
        <a:p>
          <a:endParaRPr lang="zh-CN" altLang="en-US"/>
        </a:p>
      </dgm:t>
    </dgm:pt>
    <dgm:pt modelId="{4E46D1FB-6F5E-4518-88E3-9F5409F4A34F}" type="pres">
      <dgm:prSet presAssocID="{BDD031C6-9A4B-4BCC-B733-C03D7B504EC3}" presName="rootConnector" presStyleLbl="node3" presStyleIdx="10" presStyleCnt="11"/>
      <dgm:spPr/>
      <dgm:t>
        <a:bodyPr/>
        <a:p>
          <a:endParaRPr lang="zh-CN" altLang="en-US"/>
        </a:p>
      </dgm:t>
    </dgm:pt>
    <dgm:pt modelId="{449AE4BA-6F62-4268-85F5-90171F7FA78A}" type="pres">
      <dgm:prSet presAssocID="{BDD031C6-9A4B-4BCC-B733-C03D7B504EC3}" presName="hierChild4" presStyleCnt="0"/>
      <dgm:spPr/>
    </dgm:pt>
    <dgm:pt modelId="{EC28ED69-F1EB-4491-B59F-35AD3BE48EA9}" type="pres">
      <dgm:prSet presAssocID="{BDD031C6-9A4B-4BCC-B733-C03D7B504EC3}" presName="hierChild5" presStyleCnt="0"/>
      <dgm:spPr/>
    </dgm:pt>
    <dgm:pt modelId="{F86A280D-440D-4C44-98EA-1F71ECB92D0E}" type="pres">
      <dgm:prSet presAssocID="{8FF87E46-FE1C-4277-A9E9-30B504DFCA53}" presName="hierChild5" presStyleCnt="0"/>
      <dgm:spPr/>
    </dgm:pt>
    <dgm:pt modelId="{654CBC87-4B86-4D8B-94B3-79F66B08C905}" type="pres">
      <dgm:prSet presAssocID="{413431BE-33EE-4CC9-9953-761F99400792}" presName="hierChild3" presStyleCnt="0"/>
      <dgm:spPr/>
    </dgm:pt>
  </dgm:ptLst>
  <dgm:cxnLst>
    <dgm:cxn modelId="{682B3012-D898-4F23-99E9-E82D06B1DDE4}" srcId="{495D3F90-34E2-4A0C-8E97-143B5B11C24C}" destId="{413431BE-33EE-4CC9-9953-761F99400792}" srcOrd="0" destOrd="0" parTransId="{0A97A745-A9BB-444A-B187-675477597291}" sibTransId="{DEC5F240-FFF7-4637-BAD1-247CA6EFA353}"/>
    <dgm:cxn modelId="{CCEBBB95-538B-4FD0-B631-D6E1D68FE3FD}" type="presOf" srcId="{019BEC64-CEEE-4C88-9F44-43F9C4CAC8BF}" destId="{A6B6F9F9-3ADF-4FE4-8E4A-3738143A3C9D}" srcOrd="1" destOrd="0" presId="urn:microsoft.com/office/officeart/2009/3/layout/HorizontalOrganizationChart#5"/>
    <dgm:cxn modelId="{C512134A-214E-469E-AEB8-8F6FCE150A46}" type="presOf" srcId="{46C0C517-A6EF-4994-80E0-FEEA7D7FC132}" destId="{714C46CC-3971-4FF8-AAA9-9812F4D6F742}" srcOrd="1" destOrd="0" presId="urn:microsoft.com/office/officeart/2009/3/layout/HorizontalOrganizationChart#5"/>
    <dgm:cxn modelId="{DDDCBB55-3584-49CA-A8E3-8126ACD956E3}" type="presOf" srcId="{495D3F90-34E2-4A0C-8E97-143B5B11C24C}" destId="{8A2D4F83-902F-4563-AA0D-B35B025D4F20}" srcOrd="0" destOrd="0" presId="urn:microsoft.com/office/officeart/2009/3/layout/HorizontalOrganizationChart#5"/>
    <dgm:cxn modelId="{9192F150-C132-4A08-9E3B-87C2C83D13AF}" type="presOf" srcId="{818E1F9E-F76B-42AE-8BDC-1C8F88254F9A}" destId="{BB5370A4-B57A-4F2E-BA70-BCE43866B78C}" srcOrd="0" destOrd="0" presId="urn:microsoft.com/office/officeart/2009/3/layout/HorizontalOrganizationChart#5"/>
    <dgm:cxn modelId="{8318CBC9-9B71-46E7-A2F6-C57D204F068C}" type="presOf" srcId="{413431BE-33EE-4CC9-9953-761F99400792}" destId="{C9341511-9C97-443A-8D53-EDC761773C09}" srcOrd="0" destOrd="0" presId="urn:microsoft.com/office/officeart/2009/3/layout/HorizontalOrganizationChart#5"/>
    <dgm:cxn modelId="{EB25368A-27E3-402B-98A6-95583E5810E0}" srcId="{413431BE-33EE-4CC9-9953-761F99400792}" destId="{C5689456-5D2F-4275-B647-D4DF55DA3F5D}" srcOrd="1" destOrd="0" parTransId="{A13ED56D-3488-4696-B22E-E848E506F049}" sibTransId="{430DA409-3F0E-460D-877C-7094B9328B8A}"/>
    <dgm:cxn modelId="{C090C8F0-F5CE-47BF-A06F-5BB5B439450C}" type="presOf" srcId="{2DF403E3-8734-418B-A2B2-8334C6667C1B}" destId="{0B993EF5-2A59-4BAD-8A2E-1F70988CF0E7}" srcOrd="1" destOrd="0" presId="urn:microsoft.com/office/officeart/2009/3/layout/HorizontalOrganizationChart#5"/>
    <dgm:cxn modelId="{C174F95F-AE84-4789-8FB1-990B373A3ABD}" type="presOf" srcId="{BDD031C6-9A4B-4BCC-B733-C03D7B504EC3}" destId="{01444EEB-7B65-4EE8-BFFE-D1E0BA260445}" srcOrd="0" destOrd="0" presId="urn:microsoft.com/office/officeart/2009/3/layout/HorizontalOrganizationChart#5"/>
    <dgm:cxn modelId="{F54D1302-B1CC-475F-8B68-D3865ADD292A}" type="presOf" srcId="{D4B47CDF-72D3-4A59-98BF-D0EAFA1E4B7E}" destId="{60B8D45B-17F3-46A3-A081-F4284C470AD7}" srcOrd="0" destOrd="0" presId="urn:microsoft.com/office/officeart/2009/3/layout/HorizontalOrganizationChart#5"/>
    <dgm:cxn modelId="{EB915308-5FC6-4483-86BD-E878BFB248BE}" type="presOf" srcId="{C5689456-5D2F-4275-B647-D4DF55DA3F5D}" destId="{C3CEFD03-3E24-40B7-B289-7A10784EFD58}" srcOrd="0" destOrd="0" presId="urn:microsoft.com/office/officeart/2009/3/layout/HorizontalOrganizationChart#5"/>
    <dgm:cxn modelId="{A2FCE888-C60F-410E-9A4A-93679DB06F1B}" type="presOf" srcId="{A9BB451F-7A0B-4143-A34F-5E1E35C091BB}" destId="{A425213B-472A-4265-BDA6-A0F74E4D4CAE}" srcOrd="0" destOrd="0" presId="urn:microsoft.com/office/officeart/2009/3/layout/HorizontalOrganizationChart#5"/>
    <dgm:cxn modelId="{BF919A3C-90C9-49AC-893A-2D2E6DFDA640}" type="presOf" srcId="{0C243B3A-21A3-46A9-8F9A-BE588E54226D}" destId="{B608D573-B6BA-4D29-846D-BD364ACF4BBA}" srcOrd="0" destOrd="0" presId="urn:microsoft.com/office/officeart/2009/3/layout/HorizontalOrganizationChart#5"/>
    <dgm:cxn modelId="{B77A595F-672A-4917-A8B5-EE5601CD7C5B}" srcId="{413431BE-33EE-4CC9-9953-761F99400792}" destId="{8FF87E46-FE1C-4277-A9E9-30B504DFCA53}" srcOrd="3" destOrd="0" parTransId="{A9BB451F-7A0B-4143-A34F-5E1E35C091BB}" sibTransId="{14DC6EDF-8BF9-403E-AADA-F47FF7EA70E4}"/>
    <dgm:cxn modelId="{AF7BAAAD-DFF9-4F02-BE2E-398B2592628D}" type="presOf" srcId="{2073A705-F866-42E8-B343-84BE23675DA1}" destId="{EB45F28F-95D4-4AC1-95CB-2BFDF3B12748}" srcOrd="0" destOrd="0" presId="urn:microsoft.com/office/officeart/2009/3/layout/HorizontalOrganizationChart#5"/>
    <dgm:cxn modelId="{74665DA1-73D7-4271-8080-2ADA4B790B49}" type="presOf" srcId="{6BFCCB8B-AF98-495E-A44A-C785E686D962}" destId="{80997F64-0393-4F38-B383-CB2EC3EF01B9}" srcOrd="1" destOrd="0" presId="urn:microsoft.com/office/officeart/2009/3/layout/HorizontalOrganizationChart#5"/>
    <dgm:cxn modelId="{B7E7EC5A-F253-49D8-8A4F-C281D08B6D12}" type="presOf" srcId="{B8CF0C9A-CEB4-4461-ABE2-89C6DC011716}" destId="{DEFC1C09-DAE8-4174-BC9E-54F846B3855F}" srcOrd="0" destOrd="0" presId="urn:microsoft.com/office/officeart/2009/3/layout/HorizontalOrganizationChart#5"/>
    <dgm:cxn modelId="{800B14FA-D355-469F-8AC4-49FD8795874C}" type="presOf" srcId="{5E71B557-905C-4C5B-BA75-67DEB3C3A352}" destId="{16C19B58-4634-4700-8520-C7F14EEC8630}" srcOrd="0" destOrd="0" presId="urn:microsoft.com/office/officeart/2009/3/layout/HorizontalOrganizationChart#5"/>
    <dgm:cxn modelId="{184FA803-2738-48DF-B67A-837BD758492A}" type="presOf" srcId="{76D123E1-AA17-4E2B-A26C-F9DED1C084E4}" destId="{F0FB0836-EACF-4FE8-BBEC-CBD746CD4611}" srcOrd="0" destOrd="0" presId="urn:microsoft.com/office/officeart/2009/3/layout/HorizontalOrganizationChart#5"/>
    <dgm:cxn modelId="{DA145F51-45D9-4B50-B5B7-DAEC3FF4F4C5}" type="presOf" srcId="{D4B47CDF-72D3-4A59-98BF-D0EAFA1E4B7E}" destId="{4F9E3B0F-3174-4B77-9CEA-60603980D5AE}" srcOrd="1" destOrd="0" presId="urn:microsoft.com/office/officeart/2009/3/layout/HorizontalOrganizationChart#5"/>
    <dgm:cxn modelId="{56D683B1-027F-476D-A22B-FDE3D459ED7A}" type="presOf" srcId="{6C546093-30FD-4DAD-A309-DEFBA6F92500}" destId="{84F3106C-F806-4506-95B0-25D8A9BF88C2}" srcOrd="1" destOrd="0" presId="urn:microsoft.com/office/officeart/2009/3/layout/HorizontalOrganizationChart#5"/>
    <dgm:cxn modelId="{63A29198-EAC2-4036-8998-F554577C175D}" srcId="{8FF87E46-FE1C-4277-A9E9-30B504DFCA53}" destId="{D4B47CDF-72D3-4A59-98BF-D0EAFA1E4B7E}" srcOrd="1" destOrd="0" parTransId="{19F58DFC-CF8B-462F-9F97-C88BFFAC267E}" sibTransId="{24A48E7D-3DA7-40D1-9C84-48374BD7A803}"/>
    <dgm:cxn modelId="{7C9B9FDC-C459-4042-9E00-48435F0D18ED}" type="presOf" srcId="{5407BC56-4EE3-42EF-A910-10FA55CAFDDE}" destId="{4A637723-82F9-4C11-B499-2455944D45C4}" srcOrd="0" destOrd="0" presId="urn:microsoft.com/office/officeart/2009/3/layout/HorizontalOrganizationChart#5"/>
    <dgm:cxn modelId="{057E9296-7BF9-4B8A-85F5-7641C11DEE9D}" type="presOf" srcId="{753E9CD0-FF38-46B6-9692-52DDAEF2436C}" destId="{96446963-A2C4-4358-9546-BDB224EC9D2E}" srcOrd="0" destOrd="0" presId="urn:microsoft.com/office/officeart/2009/3/layout/HorizontalOrganizationChart#5"/>
    <dgm:cxn modelId="{96E6F965-6437-4BA2-B9F9-EFD72AC20264}" srcId="{2DF403E3-8734-418B-A2B2-8334C6667C1B}" destId="{818E1F9E-F76B-42AE-8BDC-1C8F88254F9A}" srcOrd="2" destOrd="0" parTransId="{FDEA83AD-18C5-46C0-8601-7561D33BD36C}" sibTransId="{A673F9D7-55CE-42C3-B612-64D86FC87B9B}"/>
    <dgm:cxn modelId="{132EDB5E-6889-4EEB-BE1B-760C7D5CADD2}" srcId="{8FF87E46-FE1C-4277-A9E9-30B504DFCA53}" destId="{019BEC64-CEEE-4C88-9F44-43F9C4CAC8BF}" srcOrd="0" destOrd="0" parTransId="{5407BC56-4EE3-42EF-A910-10FA55CAFDDE}" sibTransId="{9BF08202-BA6D-4E64-BF59-B756BC22A8E1}"/>
    <dgm:cxn modelId="{A3340085-E40D-450F-AC6D-6FBED1A4907B}" type="presOf" srcId="{753E9CD0-FF38-46B6-9692-52DDAEF2436C}" destId="{163A8E22-F7A2-4D64-8D32-2DA3660BC75A}" srcOrd="1" destOrd="0" presId="urn:microsoft.com/office/officeart/2009/3/layout/HorizontalOrganizationChart#5"/>
    <dgm:cxn modelId="{6DF78E7F-EEB0-477D-8F76-FD2A8F44145D}" type="presOf" srcId="{258279A6-44C7-4F0E-9AAD-9B8F90F3F960}" destId="{30D066B4-C502-4694-87DA-13C8E37FBBB4}" srcOrd="0" destOrd="0" presId="urn:microsoft.com/office/officeart/2009/3/layout/HorizontalOrganizationChart#5"/>
    <dgm:cxn modelId="{981D550C-19F7-444E-B63C-A540C9C37C66}" type="presOf" srcId="{CBB93E55-1FBF-468C-BEDD-94A236940354}" destId="{9E329BEA-FD9B-4347-BAE6-AC06868703AA}" srcOrd="0" destOrd="0" presId="urn:microsoft.com/office/officeart/2009/3/layout/HorizontalOrganizationChart#5"/>
    <dgm:cxn modelId="{42F34034-81AC-4FA9-9BA3-3D5117499ED0}" type="presOf" srcId="{8FF87E46-FE1C-4277-A9E9-30B504DFCA53}" destId="{4D9363E9-7434-4156-BE5F-815D569D42CE}" srcOrd="1" destOrd="0" presId="urn:microsoft.com/office/officeart/2009/3/layout/HorizontalOrganizationChart#5"/>
    <dgm:cxn modelId="{6DED0223-FCDA-4F52-B783-48E28CAC6429}" srcId="{413431BE-33EE-4CC9-9953-761F99400792}" destId="{2DF403E3-8734-418B-A2B2-8334C6667C1B}" srcOrd="0" destOrd="0" parTransId="{0C243B3A-21A3-46A9-8F9A-BE588E54226D}" sibTransId="{1ACF2FA1-1ED2-4E32-8CDA-4375EB2054A0}"/>
    <dgm:cxn modelId="{735EA488-3E3D-42A0-A747-59F21E01D613}" type="presOf" srcId="{07C78310-BF1C-4454-A9C3-598A3464DF6D}" destId="{BBD70F0D-13CC-45C7-A7F9-A1201CBF0C42}" srcOrd="0" destOrd="0" presId="urn:microsoft.com/office/officeart/2009/3/layout/HorizontalOrganizationChart#5"/>
    <dgm:cxn modelId="{5D28C691-2C12-4864-A224-1B1297A43AD1}" type="presOf" srcId="{7EC60A2B-015A-4F25-87D2-5BE2E3D7D84A}" destId="{31D1DC50-2870-483D-B3C8-6FAE2C1E33FB}" srcOrd="0" destOrd="0" presId="urn:microsoft.com/office/officeart/2009/3/layout/HorizontalOrganizationChart#5"/>
    <dgm:cxn modelId="{4BA5442F-964E-4274-AE8A-9E90848201BE}" type="presOf" srcId="{E651B80F-053E-431F-B5F5-4F11045A2038}" destId="{5A569A68-445F-4788-A7F5-E23903807D88}" srcOrd="1" destOrd="0" presId="urn:microsoft.com/office/officeart/2009/3/layout/HorizontalOrganizationChart#5"/>
    <dgm:cxn modelId="{4BE8424B-E546-46F6-AFAB-1EA97401CFBB}" type="presOf" srcId="{98F3BC96-A8ED-41F1-AF14-A26EC25CF586}" destId="{D7F4422E-F80A-4EF7-80A8-3A0B60F0CA1B}" srcOrd="0" destOrd="0" presId="urn:microsoft.com/office/officeart/2009/3/layout/HorizontalOrganizationChart#5"/>
    <dgm:cxn modelId="{4CE6913C-4E6C-4B7D-80E5-AD0A5B8842A6}" type="presOf" srcId="{2DF403E3-8734-418B-A2B2-8334C6667C1B}" destId="{3B7EFC2D-8CAC-4561-86CE-BE660AB6EBAE}" srcOrd="0" destOrd="0" presId="urn:microsoft.com/office/officeart/2009/3/layout/HorizontalOrganizationChart#5"/>
    <dgm:cxn modelId="{F2EA52AA-B59A-41DF-8887-D0669F1837F4}" type="presOf" srcId="{C5689456-5D2F-4275-B647-D4DF55DA3F5D}" destId="{7B352F31-A627-46FC-AFF1-41591B8B58B8}" srcOrd="1" destOrd="0" presId="urn:microsoft.com/office/officeart/2009/3/layout/HorizontalOrganizationChart#5"/>
    <dgm:cxn modelId="{DF937B64-C490-4BC7-9CCC-77BF068DC481}" type="presOf" srcId="{19F58DFC-CF8B-462F-9F97-C88BFFAC267E}" destId="{3B5C47DF-B91B-45D8-8F23-EA5E0678E058}" srcOrd="0" destOrd="0" presId="urn:microsoft.com/office/officeart/2009/3/layout/HorizontalOrganizationChart#5"/>
    <dgm:cxn modelId="{DB27F63C-74FD-44CB-9721-1B6BE508933A}" type="presOf" srcId="{C662AF26-1085-45F6-8B5B-DB3A9FB05762}" destId="{5A88332A-37C9-4E41-AA63-344EEA5E04FF}" srcOrd="1" destOrd="0" presId="urn:microsoft.com/office/officeart/2009/3/layout/HorizontalOrganizationChart#5"/>
    <dgm:cxn modelId="{4D4954C0-BA4A-4741-A793-B50E0425A787}" srcId="{6BFCCB8B-AF98-495E-A44A-C785E686D962}" destId="{64016EAC-5B6A-4BB2-9B6E-E654AABB9597}" srcOrd="1" destOrd="0" parTransId="{B8CF0C9A-CEB4-4461-ABE2-89C6DC011716}" sibTransId="{F2A0F9D0-2599-4480-8D11-9D411C9D9878}"/>
    <dgm:cxn modelId="{638EC777-1FA2-4E0D-B3A2-D19783E49966}" type="presOf" srcId="{BDD031C6-9A4B-4BCC-B733-C03D7B504EC3}" destId="{4E46D1FB-6F5E-4518-88E3-9F5409F4A34F}" srcOrd="1" destOrd="0" presId="urn:microsoft.com/office/officeart/2009/3/layout/HorizontalOrganizationChart#5"/>
    <dgm:cxn modelId="{CBA76973-CFC5-4D82-88BE-F79467E78EE3}" type="presOf" srcId="{019BEC64-CEEE-4C88-9F44-43F9C4CAC8BF}" destId="{6CF4EB24-34AC-4E79-B48B-17ACCA9E842D}" srcOrd="0" destOrd="0" presId="urn:microsoft.com/office/officeart/2009/3/layout/HorizontalOrganizationChart#5"/>
    <dgm:cxn modelId="{D37A8BED-787E-4596-B7D9-03FFF532AA54}" srcId="{2DF403E3-8734-418B-A2B2-8334C6667C1B}" destId="{6DEFF370-F25A-4894-9520-F2B2DCBDC869}" srcOrd="1" destOrd="0" parTransId="{5E71B557-905C-4C5B-BA75-67DEB3C3A352}" sibTransId="{9228BD92-0FC3-4E1F-95B9-3F602512C844}"/>
    <dgm:cxn modelId="{B0DE9F16-1781-4D6C-8A19-D5EEF9D9D8EA}" type="presOf" srcId="{C662AF26-1085-45F6-8B5B-DB3A9FB05762}" destId="{57F0395F-B4DA-485F-AA27-A0A6C8BF64DD}" srcOrd="0" destOrd="0" presId="urn:microsoft.com/office/officeart/2009/3/layout/HorizontalOrganizationChart#5"/>
    <dgm:cxn modelId="{AEB46A53-5694-433E-97EA-32B58B861D3D}" type="presOf" srcId="{E651B80F-053E-431F-B5F5-4F11045A2038}" destId="{BA2B7BED-5D44-4BA8-9B52-AEB0D7208721}" srcOrd="0" destOrd="0" presId="urn:microsoft.com/office/officeart/2009/3/layout/HorizontalOrganizationChart#5"/>
    <dgm:cxn modelId="{01106553-0CF0-465D-B2FD-91A20A4124C2}" srcId="{8FF87E46-FE1C-4277-A9E9-30B504DFCA53}" destId="{BDD031C6-9A4B-4BCC-B733-C03D7B504EC3}" srcOrd="2" destOrd="0" parTransId="{258279A6-44C7-4F0E-9AAD-9B8F90F3F960}" sibTransId="{F77F131D-C20F-465F-A875-5B9803F0D1C1}"/>
    <dgm:cxn modelId="{D5E2BADF-0772-4D93-B962-4812B50334DF}" srcId="{2DF403E3-8734-418B-A2B2-8334C6667C1B}" destId="{C662AF26-1085-45F6-8B5B-DB3A9FB05762}" srcOrd="0" destOrd="0" parTransId="{CBB93E55-1FBF-468C-BEDD-94A236940354}" sibTransId="{DA1CFF36-426B-4776-A0CD-DCEEE71C7063}"/>
    <dgm:cxn modelId="{E36F3CF6-9B7E-4340-830F-914A8A2AB1CE}" type="presOf" srcId="{6C546093-30FD-4DAD-A309-DEFBA6F92500}" destId="{2D30233D-FDDA-4AD3-9BE3-D06BFA17C1AB}" srcOrd="0" destOrd="0" presId="urn:microsoft.com/office/officeart/2009/3/layout/HorizontalOrganizationChart#5"/>
    <dgm:cxn modelId="{618D9B51-0F42-4262-BAD2-C63CB85859EB}" type="presOf" srcId="{413431BE-33EE-4CC9-9953-761F99400792}" destId="{14D62038-AC6C-45BC-9E02-1C692B393CB7}" srcOrd="1" destOrd="0" presId="urn:microsoft.com/office/officeart/2009/3/layout/HorizontalOrganizationChart#5"/>
    <dgm:cxn modelId="{A9D61BBC-464B-4A78-9A74-7B8005FAC1D8}" srcId="{C5689456-5D2F-4275-B647-D4DF55DA3F5D}" destId="{6C546093-30FD-4DAD-A309-DEFBA6F92500}" srcOrd="1" destOrd="0" parTransId="{2073A705-F866-42E8-B343-84BE23675DA1}" sibTransId="{B6C25CC6-02E3-45EF-AD2B-A1A3076605D0}"/>
    <dgm:cxn modelId="{E29C39D7-4E6E-4562-9C2A-EDEBE20D3D82}" type="presOf" srcId="{6DEFF370-F25A-4894-9520-F2B2DCBDC869}" destId="{D981C592-5729-4A5D-BA0A-FC426BFE9A51}" srcOrd="1" destOrd="0" presId="urn:microsoft.com/office/officeart/2009/3/layout/HorizontalOrganizationChart#5"/>
    <dgm:cxn modelId="{B0B357BA-A9A8-4912-B2F3-2E68B670E4B5}" type="presOf" srcId="{8FF87E46-FE1C-4277-A9E9-30B504DFCA53}" destId="{2CE2CB60-B6C6-41B2-A967-691FC96E045F}" srcOrd="0" destOrd="0" presId="urn:microsoft.com/office/officeart/2009/3/layout/HorizontalOrganizationChart#5"/>
    <dgm:cxn modelId="{AB780BDC-E63B-422F-8D38-5582DD8AC8A6}" type="presOf" srcId="{A13ED56D-3488-4696-B22E-E848E506F049}" destId="{7D7EAD01-5720-4393-B722-33BB04D92276}" srcOrd="0" destOrd="0" presId="urn:microsoft.com/office/officeart/2009/3/layout/HorizontalOrganizationChart#5"/>
    <dgm:cxn modelId="{3C27D740-96A1-4528-8E97-7D3E5F6BEC73}" srcId="{C5689456-5D2F-4275-B647-D4DF55DA3F5D}" destId="{E651B80F-053E-431F-B5F5-4F11045A2038}" srcOrd="2" destOrd="0" parTransId="{98F3BC96-A8ED-41F1-AF14-A26EC25CF586}" sibTransId="{11206A39-E0BB-47B5-B996-1D85F24BF1D8}"/>
    <dgm:cxn modelId="{CA1EB2F1-3533-4F9E-B772-C239054C48F3}" type="presOf" srcId="{6BFCCB8B-AF98-495E-A44A-C785E686D962}" destId="{D6B930DC-3E82-4DCF-98CB-8ED61CABC10A}" srcOrd="0" destOrd="0" presId="urn:microsoft.com/office/officeart/2009/3/layout/HorizontalOrganizationChart#5"/>
    <dgm:cxn modelId="{F622B716-F3B3-48A8-AD22-D6F5522AD4F4}" type="presOf" srcId="{818E1F9E-F76B-42AE-8BDC-1C8F88254F9A}" destId="{F6B1CF79-BDD9-4117-B667-F27125733CB8}" srcOrd="1" destOrd="0" presId="urn:microsoft.com/office/officeart/2009/3/layout/HorizontalOrganizationChart#5"/>
    <dgm:cxn modelId="{54EA68C1-EF37-4FE1-9288-B8507E92C0F3}" type="presOf" srcId="{FDEA83AD-18C5-46C0-8601-7561D33BD36C}" destId="{D4BF13FA-BF7C-4E1C-A92A-F2A0DC6E61DC}" srcOrd="0" destOrd="0" presId="urn:microsoft.com/office/officeart/2009/3/layout/HorizontalOrganizationChart#5"/>
    <dgm:cxn modelId="{AE7EBC21-BF7E-4D95-A342-88F6427DB3D7}" type="presOf" srcId="{64016EAC-5B6A-4BB2-9B6E-E654AABB9597}" destId="{A711F4A1-855C-4905-89D5-2B90B9237B51}" srcOrd="1" destOrd="0" presId="urn:microsoft.com/office/officeart/2009/3/layout/HorizontalOrganizationChart#5"/>
    <dgm:cxn modelId="{31288B61-A9C3-435B-9933-B76400FACF7D}" srcId="{C5689456-5D2F-4275-B647-D4DF55DA3F5D}" destId="{46C0C517-A6EF-4994-80E0-FEEA7D7FC132}" srcOrd="0" destOrd="0" parTransId="{76D123E1-AA17-4E2B-A26C-F9DED1C084E4}" sibTransId="{A5071955-5BF8-4461-82A3-1717067F73ED}"/>
    <dgm:cxn modelId="{C6C58BE6-E19B-4D91-9CA9-03A7427882E3}" type="presOf" srcId="{64016EAC-5B6A-4BB2-9B6E-E654AABB9597}" destId="{CBE7077E-6E94-4257-A13A-4AC0F00D7BF2}" srcOrd="0" destOrd="0" presId="urn:microsoft.com/office/officeart/2009/3/layout/HorizontalOrganizationChart#5"/>
    <dgm:cxn modelId="{F97A7CA5-847F-488C-8F20-0F18F3BC5E53}" srcId="{413431BE-33EE-4CC9-9953-761F99400792}" destId="{6BFCCB8B-AF98-495E-A44A-C785E686D962}" srcOrd="2" destOrd="0" parTransId="{7EC60A2B-015A-4F25-87D2-5BE2E3D7D84A}" sibTransId="{681028B6-FCE7-45A0-98FA-FF8E2EBA68C3}"/>
    <dgm:cxn modelId="{9EF36525-F178-4072-ACCC-4A9B030A5617}" type="presOf" srcId="{46C0C517-A6EF-4994-80E0-FEEA7D7FC132}" destId="{A2BE574D-4487-4E45-8667-276BCA4A22EE}" srcOrd="0" destOrd="0" presId="urn:microsoft.com/office/officeart/2009/3/layout/HorizontalOrganizationChart#5"/>
    <dgm:cxn modelId="{348CCEB4-529A-4261-AE2B-714278A8F0A9}" srcId="{6BFCCB8B-AF98-495E-A44A-C785E686D962}" destId="{753E9CD0-FF38-46B6-9692-52DDAEF2436C}" srcOrd="0" destOrd="0" parTransId="{07C78310-BF1C-4454-A9C3-598A3464DF6D}" sibTransId="{AB3EF74A-B387-4FEC-9A58-092FA212A942}"/>
    <dgm:cxn modelId="{B7945C97-770E-48F0-88C4-B2C2F51A9A3B}" type="presOf" srcId="{6DEFF370-F25A-4894-9520-F2B2DCBDC869}" destId="{FE21AD9B-8CA6-4819-A264-73589B1F2E95}" srcOrd="0" destOrd="0" presId="urn:microsoft.com/office/officeart/2009/3/layout/HorizontalOrganizationChart#5"/>
    <dgm:cxn modelId="{DDBF7D59-61FC-4E8F-8A82-246AC68312AA}" type="presParOf" srcId="{8A2D4F83-902F-4563-AA0D-B35B025D4F20}" destId="{7EEB8B19-A092-4F36-BEB3-72629AC8BEB7}" srcOrd="0" destOrd="0" presId="urn:microsoft.com/office/officeart/2009/3/layout/HorizontalOrganizationChart#5"/>
    <dgm:cxn modelId="{4FE310CF-703A-4A08-9CBA-A39F81FD40DC}" type="presParOf" srcId="{7EEB8B19-A092-4F36-BEB3-72629AC8BEB7}" destId="{E7C46BFA-A850-4E48-9AC1-69BDA51A2B29}" srcOrd="0" destOrd="0" presId="urn:microsoft.com/office/officeart/2009/3/layout/HorizontalOrganizationChart#5"/>
    <dgm:cxn modelId="{92351CF2-AED0-46EA-9F1E-5A5D80FEBCC7}" type="presParOf" srcId="{E7C46BFA-A850-4E48-9AC1-69BDA51A2B29}" destId="{C9341511-9C97-443A-8D53-EDC761773C09}" srcOrd="0" destOrd="0" presId="urn:microsoft.com/office/officeart/2009/3/layout/HorizontalOrganizationChart#5"/>
    <dgm:cxn modelId="{9127C812-0F4D-432A-A64D-5600D94D21B8}" type="presParOf" srcId="{E7C46BFA-A850-4E48-9AC1-69BDA51A2B29}" destId="{14D62038-AC6C-45BC-9E02-1C692B393CB7}" srcOrd="1" destOrd="0" presId="urn:microsoft.com/office/officeart/2009/3/layout/HorizontalOrganizationChart#5"/>
    <dgm:cxn modelId="{B9CA0E61-0DB2-469E-A66B-BB47C2071563}" type="presParOf" srcId="{7EEB8B19-A092-4F36-BEB3-72629AC8BEB7}" destId="{E8AF6F63-750E-40D0-9618-92C634DC0909}" srcOrd="1" destOrd="0" presId="urn:microsoft.com/office/officeart/2009/3/layout/HorizontalOrganizationChart#5"/>
    <dgm:cxn modelId="{72E0E893-4AD4-4862-9044-E79DABD6141E}" type="presParOf" srcId="{E8AF6F63-750E-40D0-9618-92C634DC0909}" destId="{B608D573-B6BA-4D29-846D-BD364ACF4BBA}" srcOrd="0" destOrd="0" presId="urn:microsoft.com/office/officeart/2009/3/layout/HorizontalOrganizationChart#5"/>
    <dgm:cxn modelId="{C8D68554-6112-4D4C-92AF-803B96E04BE7}" type="presParOf" srcId="{E8AF6F63-750E-40D0-9618-92C634DC0909}" destId="{21B67EEE-882E-439F-9456-B030BC962040}" srcOrd="1" destOrd="0" presId="urn:microsoft.com/office/officeart/2009/3/layout/HorizontalOrganizationChart#5"/>
    <dgm:cxn modelId="{DAB5BB54-A759-4998-A422-6B4F8ADA6149}" type="presParOf" srcId="{21B67EEE-882E-439F-9456-B030BC962040}" destId="{981A4B61-803A-46DA-875A-086A513BF14B}" srcOrd="0" destOrd="0" presId="urn:microsoft.com/office/officeart/2009/3/layout/HorizontalOrganizationChart#5"/>
    <dgm:cxn modelId="{5ED727C4-1C04-400B-A5B8-0362E71B1A4C}" type="presParOf" srcId="{981A4B61-803A-46DA-875A-086A513BF14B}" destId="{3B7EFC2D-8CAC-4561-86CE-BE660AB6EBAE}" srcOrd="0" destOrd="0" presId="urn:microsoft.com/office/officeart/2009/3/layout/HorizontalOrganizationChart#5"/>
    <dgm:cxn modelId="{7246FD15-30DD-4AEC-ABAF-6EC20B87869A}" type="presParOf" srcId="{981A4B61-803A-46DA-875A-086A513BF14B}" destId="{0B993EF5-2A59-4BAD-8A2E-1F70988CF0E7}" srcOrd="1" destOrd="0" presId="urn:microsoft.com/office/officeart/2009/3/layout/HorizontalOrganizationChart#5"/>
    <dgm:cxn modelId="{A1CAE5F5-6403-4355-B99E-D7DC05EA52E5}" type="presParOf" srcId="{21B67EEE-882E-439F-9456-B030BC962040}" destId="{DE947711-7E29-476C-9513-ECC429BC1A4B}" srcOrd="1" destOrd="0" presId="urn:microsoft.com/office/officeart/2009/3/layout/HorizontalOrganizationChart#5"/>
    <dgm:cxn modelId="{595A8421-A2FA-4C0B-9697-A3F3387BEBC2}" type="presParOf" srcId="{DE947711-7E29-476C-9513-ECC429BC1A4B}" destId="{9E329BEA-FD9B-4347-BAE6-AC06868703AA}" srcOrd="0" destOrd="0" presId="urn:microsoft.com/office/officeart/2009/3/layout/HorizontalOrganizationChart#5"/>
    <dgm:cxn modelId="{C197F0C8-E88D-41BF-A683-40C6721F3B8B}" type="presParOf" srcId="{DE947711-7E29-476C-9513-ECC429BC1A4B}" destId="{08A1E6DE-B328-4BA0-A9F4-AA3DAC37D79F}" srcOrd="1" destOrd="0" presId="urn:microsoft.com/office/officeart/2009/3/layout/HorizontalOrganizationChart#5"/>
    <dgm:cxn modelId="{B3E9E5C6-ED60-4C4D-B6AE-AC4D59ECFA26}" type="presParOf" srcId="{08A1E6DE-B328-4BA0-A9F4-AA3DAC37D79F}" destId="{16A652CB-5586-488E-B2C8-B44DF0740786}" srcOrd="0" destOrd="0" presId="urn:microsoft.com/office/officeart/2009/3/layout/HorizontalOrganizationChart#5"/>
    <dgm:cxn modelId="{E32F4E52-7AC8-4E48-BB1D-1318DEB9F4DD}" type="presParOf" srcId="{16A652CB-5586-488E-B2C8-B44DF0740786}" destId="{57F0395F-B4DA-485F-AA27-A0A6C8BF64DD}" srcOrd="0" destOrd="0" presId="urn:microsoft.com/office/officeart/2009/3/layout/HorizontalOrganizationChart#5"/>
    <dgm:cxn modelId="{80F40368-8B9C-414B-B03A-15E54252EFE4}" type="presParOf" srcId="{16A652CB-5586-488E-B2C8-B44DF0740786}" destId="{5A88332A-37C9-4E41-AA63-344EEA5E04FF}" srcOrd="1" destOrd="0" presId="urn:microsoft.com/office/officeart/2009/3/layout/HorizontalOrganizationChart#5"/>
    <dgm:cxn modelId="{720F9104-2C5D-45C9-A3AA-10E654C18895}" type="presParOf" srcId="{08A1E6DE-B328-4BA0-A9F4-AA3DAC37D79F}" destId="{E294474C-52CB-4B01-8D36-8F0B9E6BF872}" srcOrd="1" destOrd="0" presId="urn:microsoft.com/office/officeart/2009/3/layout/HorizontalOrganizationChart#5"/>
    <dgm:cxn modelId="{B7CFB809-0AC2-401C-867D-FE65188100CF}" type="presParOf" srcId="{08A1E6DE-B328-4BA0-A9F4-AA3DAC37D79F}" destId="{8EB39C37-7760-4903-9E3E-0393B8B1D139}" srcOrd="2" destOrd="0" presId="urn:microsoft.com/office/officeart/2009/3/layout/HorizontalOrganizationChart#5"/>
    <dgm:cxn modelId="{0F7AFE9C-397B-4D29-8419-D895772C2247}" type="presParOf" srcId="{DE947711-7E29-476C-9513-ECC429BC1A4B}" destId="{16C19B58-4634-4700-8520-C7F14EEC8630}" srcOrd="2" destOrd="0" presId="urn:microsoft.com/office/officeart/2009/3/layout/HorizontalOrganizationChart#5"/>
    <dgm:cxn modelId="{D6FB6264-B66A-47EA-817C-911834A9D4C2}" type="presParOf" srcId="{DE947711-7E29-476C-9513-ECC429BC1A4B}" destId="{74C587D2-D424-4053-B05F-952D42E66CBF}" srcOrd="3" destOrd="0" presId="urn:microsoft.com/office/officeart/2009/3/layout/HorizontalOrganizationChart#5"/>
    <dgm:cxn modelId="{2518CE45-EFCC-4168-BBAD-9B4BDE7EE2A0}" type="presParOf" srcId="{74C587D2-D424-4053-B05F-952D42E66CBF}" destId="{36C3CCF0-C1A1-4E93-BF43-925D0DF2B79C}" srcOrd="0" destOrd="0" presId="urn:microsoft.com/office/officeart/2009/3/layout/HorizontalOrganizationChart#5"/>
    <dgm:cxn modelId="{209D4E97-6A5E-432F-9263-AF6ACDA6D945}" type="presParOf" srcId="{36C3CCF0-C1A1-4E93-BF43-925D0DF2B79C}" destId="{FE21AD9B-8CA6-4819-A264-73589B1F2E95}" srcOrd="0" destOrd="0" presId="urn:microsoft.com/office/officeart/2009/3/layout/HorizontalOrganizationChart#5"/>
    <dgm:cxn modelId="{E97516BC-F129-490A-A408-497B36E9FE20}" type="presParOf" srcId="{36C3CCF0-C1A1-4E93-BF43-925D0DF2B79C}" destId="{D981C592-5729-4A5D-BA0A-FC426BFE9A51}" srcOrd="1" destOrd="0" presId="urn:microsoft.com/office/officeart/2009/3/layout/HorizontalOrganizationChart#5"/>
    <dgm:cxn modelId="{6CC8CB7A-C495-4361-A947-7189551EC56D}" type="presParOf" srcId="{74C587D2-D424-4053-B05F-952D42E66CBF}" destId="{8A46FACE-0FBF-4AAF-BC35-2D450109D139}" srcOrd="1" destOrd="0" presId="urn:microsoft.com/office/officeart/2009/3/layout/HorizontalOrganizationChart#5"/>
    <dgm:cxn modelId="{5CDD6EA3-9C88-4D96-8975-B8AF3BA5041D}" type="presParOf" srcId="{74C587D2-D424-4053-B05F-952D42E66CBF}" destId="{544FE4EA-3A5A-4108-B02F-576674A60FDF}" srcOrd="2" destOrd="0" presId="urn:microsoft.com/office/officeart/2009/3/layout/HorizontalOrganizationChart#5"/>
    <dgm:cxn modelId="{C37084A4-80FA-40C9-A577-6B79D1B5E9C9}" type="presParOf" srcId="{DE947711-7E29-476C-9513-ECC429BC1A4B}" destId="{D4BF13FA-BF7C-4E1C-A92A-F2A0DC6E61DC}" srcOrd="4" destOrd="0" presId="urn:microsoft.com/office/officeart/2009/3/layout/HorizontalOrganizationChart#5"/>
    <dgm:cxn modelId="{130BFE02-4796-4D32-9F06-D85CB99F70BE}" type="presParOf" srcId="{DE947711-7E29-476C-9513-ECC429BC1A4B}" destId="{5C88B323-758C-44B6-9BFF-175EE493BCF1}" srcOrd="5" destOrd="0" presId="urn:microsoft.com/office/officeart/2009/3/layout/HorizontalOrganizationChart#5"/>
    <dgm:cxn modelId="{DD255587-EEA4-47C5-8501-68AB8B660DAA}" type="presParOf" srcId="{5C88B323-758C-44B6-9BFF-175EE493BCF1}" destId="{560CA111-C35B-443B-B98D-C9118FC50EC6}" srcOrd="0" destOrd="0" presId="urn:microsoft.com/office/officeart/2009/3/layout/HorizontalOrganizationChart#5"/>
    <dgm:cxn modelId="{DE37EF8C-508C-4780-8892-C3E7C49F0FF4}" type="presParOf" srcId="{560CA111-C35B-443B-B98D-C9118FC50EC6}" destId="{BB5370A4-B57A-4F2E-BA70-BCE43866B78C}" srcOrd="0" destOrd="0" presId="urn:microsoft.com/office/officeart/2009/3/layout/HorizontalOrganizationChart#5"/>
    <dgm:cxn modelId="{4C5D9F27-C1BA-4D14-8B90-C40BF9AF74DB}" type="presParOf" srcId="{560CA111-C35B-443B-B98D-C9118FC50EC6}" destId="{F6B1CF79-BDD9-4117-B667-F27125733CB8}" srcOrd="1" destOrd="0" presId="urn:microsoft.com/office/officeart/2009/3/layout/HorizontalOrganizationChart#5"/>
    <dgm:cxn modelId="{401A8F94-16AB-4EFE-AC96-46F40BE3136F}" type="presParOf" srcId="{5C88B323-758C-44B6-9BFF-175EE493BCF1}" destId="{7E93D615-F4B3-4CF6-81B1-3DB667D95770}" srcOrd="1" destOrd="0" presId="urn:microsoft.com/office/officeart/2009/3/layout/HorizontalOrganizationChart#5"/>
    <dgm:cxn modelId="{DEF3E215-2C7F-48CC-B31F-152CA199924F}" type="presParOf" srcId="{5C88B323-758C-44B6-9BFF-175EE493BCF1}" destId="{1E05DA66-BF97-4001-96E4-39C292D9293A}" srcOrd="2" destOrd="0" presId="urn:microsoft.com/office/officeart/2009/3/layout/HorizontalOrganizationChart#5"/>
    <dgm:cxn modelId="{07B5EF84-8893-4653-AE03-372A84B92703}" type="presParOf" srcId="{21B67EEE-882E-439F-9456-B030BC962040}" destId="{5A343272-9C9C-42BA-9AD7-96941C83C3A1}" srcOrd="2" destOrd="0" presId="urn:microsoft.com/office/officeart/2009/3/layout/HorizontalOrganizationChart#5"/>
    <dgm:cxn modelId="{8975D73E-9DAB-48FC-9047-37BAE0F5118E}" type="presParOf" srcId="{E8AF6F63-750E-40D0-9618-92C634DC0909}" destId="{7D7EAD01-5720-4393-B722-33BB04D92276}" srcOrd="2" destOrd="0" presId="urn:microsoft.com/office/officeart/2009/3/layout/HorizontalOrganizationChart#5"/>
    <dgm:cxn modelId="{1C4BC701-1BDE-442D-AFAA-5E8E5B5B7DB5}" type="presParOf" srcId="{E8AF6F63-750E-40D0-9618-92C634DC0909}" destId="{ACC1B90D-68B2-496A-A40E-B28380AEEAD5}" srcOrd="3" destOrd="0" presId="urn:microsoft.com/office/officeart/2009/3/layout/HorizontalOrganizationChart#5"/>
    <dgm:cxn modelId="{DBE0A7F0-6D69-4289-8EEA-73049EC16364}" type="presParOf" srcId="{ACC1B90D-68B2-496A-A40E-B28380AEEAD5}" destId="{404A52A9-1425-49C4-A25C-47494C6831DC}" srcOrd="0" destOrd="0" presId="urn:microsoft.com/office/officeart/2009/3/layout/HorizontalOrganizationChart#5"/>
    <dgm:cxn modelId="{64FE78AC-CE73-4FC6-8828-9653FE26A5DF}" type="presParOf" srcId="{404A52A9-1425-49C4-A25C-47494C6831DC}" destId="{C3CEFD03-3E24-40B7-B289-7A10784EFD58}" srcOrd="0" destOrd="0" presId="urn:microsoft.com/office/officeart/2009/3/layout/HorizontalOrganizationChart#5"/>
    <dgm:cxn modelId="{C8F1044D-39AA-474E-91F1-8CF38B59AEA0}" type="presParOf" srcId="{404A52A9-1425-49C4-A25C-47494C6831DC}" destId="{7B352F31-A627-46FC-AFF1-41591B8B58B8}" srcOrd="1" destOrd="0" presId="urn:microsoft.com/office/officeart/2009/3/layout/HorizontalOrganizationChart#5"/>
    <dgm:cxn modelId="{8B79C117-44DE-45C0-8B96-F3C62045D8F8}" type="presParOf" srcId="{ACC1B90D-68B2-496A-A40E-B28380AEEAD5}" destId="{494D5566-EEA3-448C-9E92-BD4136947B60}" srcOrd="1" destOrd="0" presId="urn:microsoft.com/office/officeart/2009/3/layout/HorizontalOrganizationChart#5"/>
    <dgm:cxn modelId="{94CCDAC2-1D6D-413B-B0FC-18292E9011F6}" type="presParOf" srcId="{494D5566-EEA3-448C-9E92-BD4136947B60}" destId="{F0FB0836-EACF-4FE8-BBEC-CBD746CD4611}" srcOrd="0" destOrd="0" presId="urn:microsoft.com/office/officeart/2009/3/layout/HorizontalOrganizationChart#5"/>
    <dgm:cxn modelId="{99819654-FF44-4584-B395-E56493E982A8}" type="presParOf" srcId="{494D5566-EEA3-448C-9E92-BD4136947B60}" destId="{97584D80-8AAD-400D-B4CB-59DF47014D40}" srcOrd="1" destOrd="0" presId="urn:microsoft.com/office/officeart/2009/3/layout/HorizontalOrganizationChart#5"/>
    <dgm:cxn modelId="{8280DC08-DC7B-4BA0-9DB3-2C72EE4C51DC}" type="presParOf" srcId="{97584D80-8AAD-400D-B4CB-59DF47014D40}" destId="{41D322A9-C77D-4514-938F-8BFF6F35A80D}" srcOrd="0" destOrd="0" presId="urn:microsoft.com/office/officeart/2009/3/layout/HorizontalOrganizationChart#5"/>
    <dgm:cxn modelId="{4879337A-D6F1-4BBB-90E1-033966DCDDAA}" type="presParOf" srcId="{41D322A9-C77D-4514-938F-8BFF6F35A80D}" destId="{A2BE574D-4487-4E45-8667-276BCA4A22EE}" srcOrd="0" destOrd="0" presId="urn:microsoft.com/office/officeart/2009/3/layout/HorizontalOrganizationChart#5"/>
    <dgm:cxn modelId="{46B049B9-A499-4A73-9A0A-F345F04AC2C5}" type="presParOf" srcId="{41D322A9-C77D-4514-938F-8BFF6F35A80D}" destId="{714C46CC-3971-4FF8-AAA9-9812F4D6F742}" srcOrd="1" destOrd="0" presId="urn:microsoft.com/office/officeart/2009/3/layout/HorizontalOrganizationChart#5"/>
    <dgm:cxn modelId="{98E05C8D-A11F-4B26-AAB8-FFF409B3D766}" type="presParOf" srcId="{97584D80-8AAD-400D-B4CB-59DF47014D40}" destId="{77346E9A-88A4-4CD4-AA08-774ED59B952F}" srcOrd="1" destOrd="0" presId="urn:microsoft.com/office/officeart/2009/3/layout/HorizontalOrganizationChart#5"/>
    <dgm:cxn modelId="{7096A7BD-C649-42FA-BF6F-F92C3BC6CC2D}" type="presParOf" srcId="{97584D80-8AAD-400D-B4CB-59DF47014D40}" destId="{81FDFCAC-51E5-4369-9497-72E70122A554}" srcOrd="2" destOrd="0" presId="urn:microsoft.com/office/officeart/2009/3/layout/HorizontalOrganizationChart#5"/>
    <dgm:cxn modelId="{7220D49B-CB6A-403A-98CD-2824652FA9C7}" type="presParOf" srcId="{494D5566-EEA3-448C-9E92-BD4136947B60}" destId="{EB45F28F-95D4-4AC1-95CB-2BFDF3B12748}" srcOrd="2" destOrd="0" presId="urn:microsoft.com/office/officeart/2009/3/layout/HorizontalOrganizationChart#5"/>
    <dgm:cxn modelId="{0A698859-6429-414C-BE3D-889A4C92D61D}" type="presParOf" srcId="{494D5566-EEA3-448C-9E92-BD4136947B60}" destId="{2881DA8E-527E-46B7-B94F-B67D235AF178}" srcOrd="3" destOrd="0" presId="urn:microsoft.com/office/officeart/2009/3/layout/HorizontalOrganizationChart#5"/>
    <dgm:cxn modelId="{D3772399-AC9F-4413-9CBF-4105DAE376EB}" type="presParOf" srcId="{2881DA8E-527E-46B7-B94F-B67D235AF178}" destId="{EA8BCD8D-5EC5-4861-9B27-BEAA9B00DD06}" srcOrd="0" destOrd="0" presId="urn:microsoft.com/office/officeart/2009/3/layout/HorizontalOrganizationChart#5"/>
    <dgm:cxn modelId="{5C210B7A-ADB2-426B-8203-2CAC766136F1}" type="presParOf" srcId="{EA8BCD8D-5EC5-4861-9B27-BEAA9B00DD06}" destId="{2D30233D-FDDA-4AD3-9BE3-D06BFA17C1AB}" srcOrd="0" destOrd="0" presId="urn:microsoft.com/office/officeart/2009/3/layout/HorizontalOrganizationChart#5"/>
    <dgm:cxn modelId="{0A91A51C-086F-4FE0-9BDA-F263D903A7F5}" type="presParOf" srcId="{EA8BCD8D-5EC5-4861-9B27-BEAA9B00DD06}" destId="{84F3106C-F806-4506-95B0-25D8A9BF88C2}" srcOrd="1" destOrd="0" presId="urn:microsoft.com/office/officeart/2009/3/layout/HorizontalOrganizationChart#5"/>
    <dgm:cxn modelId="{659E9D5F-AE9D-4367-9FAA-9B84ECB7C046}" type="presParOf" srcId="{2881DA8E-527E-46B7-B94F-B67D235AF178}" destId="{3B6D0E8E-0D4C-4BFA-8BD9-49644495FE71}" srcOrd="1" destOrd="0" presId="urn:microsoft.com/office/officeart/2009/3/layout/HorizontalOrganizationChart#5"/>
    <dgm:cxn modelId="{9AD469B6-E77C-4C5C-AE6F-F84CF4D15F6D}" type="presParOf" srcId="{2881DA8E-527E-46B7-B94F-B67D235AF178}" destId="{95AC856A-7562-4785-B932-10D47F5F35E8}" srcOrd="2" destOrd="0" presId="urn:microsoft.com/office/officeart/2009/3/layout/HorizontalOrganizationChart#5"/>
    <dgm:cxn modelId="{99D38A8B-FB10-4AB5-8CB3-8A28CA09A2B6}" type="presParOf" srcId="{494D5566-EEA3-448C-9E92-BD4136947B60}" destId="{D7F4422E-F80A-4EF7-80A8-3A0B60F0CA1B}" srcOrd="4" destOrd="0" presId="urn:microsoft.com/office/officeart/2009/3/layout/HorizontalOrganizationChart#5"/>
    <dgm:cxn modelId="{DA9F8E2F-DB72-4BEA-8474-6ECED92D140F}" type="presParOf" srcId="{494D5566-EEA3-448C-9E92-BD4136947B60}" destId="{4405A31D-BD1D-4A31-A333-3F9A24289D52}" srcOrd="5" destOrd="0" presId="urn:microsoft.com/office/officeart/2009/3/layout/HorizontalOrganizationChart#5"/>
    <dgm:cxn modelId="{16BC22F4-7682-48CB-A44F-5E67F92C0CDA}" type="presParOf" srcId="{4405A31D-BD1D-4A31-A333-3F9A24289D52}" destId="{4F549277-CD30-4B95-8FE8-FD099D8373E1}" srcOrd="0" destOrd="0" presId="urn:microsoft.com/office/officeart/2009/3/layout/HorizontalOrganizationChart#5"/>
    <dgm:cxn modelId="{05CABF25-8D4C-47EA-985C-7492E52FD0A1}" type="presParOf" srcId="{4F549277-CD30-4B95-8FE8-FD099D8373E1}" destId="{BA2B7BED-5D44-4BA8-9B52-AEB0D7208721}" srcOrd="0" destOrd="0" presId="urn:microsoft.com/office/officeart/2009/3/layout/HorizontalOrganizationChart#5"/>
    <dgm:cxn modelId="{0D8EB7D3-6D9D-493C-8FFD-961E7493D28A}" type="presParOf" srcId="{4F549277-CD30-4B95-8FE8-FD099D8373E1}" destId="{5A569A68-445F-4788-A7F5-E23903807D88}" srcOrd="1" destOrd="0" presId="urn:microsoft.com/office/officeart/2009/3/layout/HorizontalOrganizationChart#5"/>
    <dgm:cxn modelId="{01C1816E-AD04-4944-AC3C-F4A368C57068}" type="presParOf" srcId="{4405A31D-BD1D-4A31-A333-3F9A24289D52}" destId="{FAC00BDF-FA3D-4D93-B6F8-35BB0B3B42F6}" srcOrd="1" destOrd="0" presId="urn:microsoft.com/office/officeart/2009/3/layout/HorizontalOrganizationChart#5"/>
    <dgm:cxn modelId="{FBCEDEA6-5024-4E51-B772-32A1F81E83CA}" type="presParOf" srcId="{4405A31D-BD1D-4A31-A333-3F9A24289D52}" destId="{62CE372B-18E0-456F-8667-2692E17A604B}" srcOrd="2" destOrd="0" presId="urn:microsoft.com/office/officeart/2009/3/layout/HorizontalOrganizationChart#5"/>
    <dgm:cxn modelId="{525556FB-3B64-4892-BB20-078FDED7A235}" type="presParOf" srcId="{ACC1B90D-68B2-496A-A40E-B28380AEEAD5}" destId="{DECE7444-08B8-4B2B-8199-49E4A1AF29F0}" srcOrd="2" destOrd="0" presId="urn:microsoft.com/office/officeart/2009/3/layout/HorizontalOrganizationChart#5"/>
    <dgm:cxn modelId="{1EB40920-EBF5-45D1-BB0D-F48B9E28BF40}" type="presParOf" srcId="{E8AF6F63-750E-40D0-9618-92C634DC0909}" destId="{31D1DC50-2870-483D-B3C8-6FAE2C1E33FB}" srcOrd="4" destOrd="0" presId="urn:microsoft.com/office/officeart/2009/3/layout/HorizontalOrganizationChart#5"/>
    <dgm:cxn modelId="{B468500C-B3E0-4BEF-84DD-D9A4A4231959}" type="presParOf" srcId="{E8AF6F63-750E-40D0-9618-92C634DC0909}" destId="{DABD4E52-7244-4BB7-BCD5-DC189A79BF22}" srcOrd="5" destOrd="0" presId="urn:microsoft.com/office/officeart/2009/3/layout/HorizontalOrganizationChart#5"/>
    <dgm:cxn modelId="{CC4ACA89-09A7-4220-9E24-8EC9502873AC}" type="presParOf" srcId="{DABD4E52-7244-4BB7-BCD5-DC189A79BF22}" destId="{116CBC4C-EAB0-4AD3-BB9E-BB48AB7E5E5C}" srcOrd="0" destOrd="0" presId="urn:microsoft.com/office/officeart/2009/3/layout/HorizontalOrganizationChart#5"/>
    <dgm:cxn modelId="{36365CED-6910-4F55-AA75-4DB7D0558ACD}" type="presParOf" srcId="{116CBC4C-EAB0-4AD3-BB9E-BB48AB7E5E5C}" destId="{D6B930DC-3E82-4DCF-98CB-8ED61CABC10A}" srcOrd="0" destOrd="0" presId="urn:microsoft.com/office/officeart/2009/3/layout/HorizontalOrganizationChart#5"/>
    <dgm:cxn modelId="{33163737-B403-40D6-88BF-EA49E3248870}" type="presParOf" srcId="{116CBC4C-EAB0-4AD3-BB9E-BB48AB7E5E5C}" destId="{80997F64-0393-4F38-B383-CB2EC3EF01B9}" srcOrd="1" destOrd="0" presId="urn:microsoft.com/office/officeart/2009/3/layout/HorizontalOrganizationChart#5"/>
    <dgm:cxn modelId="{20DD7F61-8D76-48DF-B881-26F53D541216}" type="presParOf" srcId="{DABD4E52-7244-4BB7-BCD5-DC189A79BF22}" destId="{8A2FCD1A-7CD3-4C34-B331-29205393E8D1}" srcOrd="1" destOrd="0" presId="urn:microsoft.com/office/officeart/2009/3/layout/HorizontalOrganizationChart#5"/>
    <dgm:cxn modelId="{4E69D037-93A7-4150-8B48-675AD8428BA5}" type="presParOf" srcId="{8A2FCD1A-7CD3-4C34-B331-29205393E8D1}" destId="{BBD70F0D-13CC-45C7-A7F9-A1201CBF0C42}" srcOrd="0" destOrd="0" presId="urn:microsoft.com/office/officeart/2009/3/layout/HorizontalOrganizationChart#5"/>
    <dgm:cxn modelId="{B526B8D4-DB6A-47AF-822B-67C21954A358}" type="presParOf" srcId="{8A2FCD1A-7CD3-4C34-B331-29205393E8D1}" destId="{5E6B2D87-B16E-459B-AA97-4CF38AE15BCD}" srcOrd="1" destOrd="0" presId="urn:microsoft.com/office/officeart/2009/3/layout/HorizontalOrganizationChart#5"/>
    <dgm:cxn modelId="{384EAEB6-4D6B-455A-B7FA-EAA6EB4586D8}" type="presParOf" srcId="{5E6B2D87-B16E-459B-AA97-4CF38AE15BCD}" destId="{72B4C948-B1CF-4D9C-A8C0-3EBA908E8571}" srcOrd="0" destOrd="0" presId="urn:microsoft.com/office/officeart/2009/3/layout/HorizontalOrganizationChart#5"/>
    <dgm:cxn modelId="{1BE40B05-3655-4681-AF01-D045D9456BAA}" type="presParOf" srcId="{72B4C948-B1CF-4D9C-A8C0-3EBA908E8571}" destId="{96446963-A2C4-4358-9546-BDB224EC9D2E}" srcOrd="0" destOrd="0" presId="urn:microsoft.com/office/officeart/2009/3/layout/HorizontalOrganizationChart#5"/>
    <dgm:cxn modelId="{2AB54669-A60A-4250-B476-CA2EC86D5394}" type="presParOf" srcId="{72B4C948-B1CF-4D9C-A8C0-3EBA908E8571}" destId="{163A8E22-F7A2-4D64-8D32-2DA3660BC75A}" srcOrd="1" destOrd="0" presId="urn:microsoft.com/office/officeart/2009/3/layout/HorizontalOrganizationChart#5"/>
    <dgm:cxn modelId="{5864D232-3E79-41FF-816D-FB88ACBF2A80}" type="presParOf" srcId="{5E6B2D87-B16E-459B-AA97-4CF38AE15BCD}" destId="{7166082E-D228-42DC-9EDF-C8B06E58984E}" srcOrd="1" destOrd="0" presId="urn:microsoft.com/office/officeart/2009/3/layout/HorizontalOrganizationChart#5"/>
    <dgm:cxn modelId="{5B5CC9B7-568A-4FA1-9DD8-3BBCBD0B8691}" type="presParOf" srcId="{5E6B2D87-B16E-459B-AA97-4CF38AE15BCD}" destId="{433607A2-78AF-4A58-8EBF-BBFB35F0FAEF}" srcOrd="2" destOrd="0" presId="urn:microsoft.com/office/officeart/2009/3/layout/HorizontalOrganizationChart#5"/>
    <dgm:cxn modelId="{ED50F0FD-E269-4426-935D-C17FC37211D8}" type="presParOf" srcId="{8A2FCD1A-7CD3-4C34-B331-29205393E8D1}" destId="{DEFC1C09-DAE8-4174-BC9E-54F846B3855F}" srcOrd="2" destOrd="0" presId="urn:microsoft.com/office/officeart/2009/3/layout/HorizontalOrganizationChart#5"/>
    <dgm:cxn modelId="{8B8115F8-B67B-459C-8483-FB3254966C87}" type="presParOf" srcId="{8A2FCD1A-7CD3-4C34-B331-29205393E8D1}" destId="{5B8CB37B-FE0C-4D70-868B-791CE68A16A0}" srcOrd="3" destOrd="0" presId="urn:microsoft.com/office/officeart/2009/3/layout/HorizontalOrganizationChart#5"/>
    <dgm:cxn modelId="{38F5247A-A10D-4E5A-AC87-75532DEB8902}" type="presParOf" srcId="{5B8CB37B-FE0C-4D70-868B-791CE68A16A0}" destId="{86E892C3-E990-4187-90F0-DFAB8CFAB6CF}" srcOrd="0" destOrd="0" presId="urn:microsoft.com/office/officeart/2009/3/layout/HorizontalOrganizationChart#5"/>
    <dgm:cxn modelId="{64DA85C1-348B-4223-BF58-4F82AC80C9E5}" type="presParOf" srcId="{86E892C3-E990-4187-90F0-DFAB8CFAB6CF}" destId="{CBE7077E-6E94-4257-A13A-4AC0F00D7BF2}" srcOrd="0" destOrd="0" presId="urn:microsoft.com/office/officeart/2009/3/layout/HorizontalOrganizationChart#5"/>
    <dgm:cxn modelId="{F9697306-E050-468A-9D09-B679E3CA13AE}" type="presParOf" srcId="{86E892C3-E990-4187-90F0-DFAB8CFAB6CF}" destId="{A711F4A1-855C-4905-89D5-2B90B9237B51}" srcOrd="1" destOrd="0" presId="urn:microsoft.com/office/officeart/2009/3/layout/HorizontalOrganizationChart#5"/>
    <dgm:cxn modelId="{EB8786E8-3097-4B5A-9595-F48C89FA86BB}" type="presParOf" srcId="{5B8CB37B-FE0C-4D70-868B-791CE68A16A0}" destId="{0228E837-5793-4093-9F5F-5F049226B53F}" srcOrd="1" destOrd="0" presId="urn:microsoft.com/office/officeart/2009/3/layout/HorizontalOrganizationChart#5"/>
    <dgm:cxn modelId="{C984D140-3D83-4D9D-9B5D-5DFE909D7665}" type="presParOf" srcId="{5B8CB37B-FE0C-4D70-868B-791CE68A16A0}" destId="{92938CDE-0E38-4F63-BBBE-5D0FC283D135}" srcOrd="2" destOrd="0" presId="urn:microsoft.com/office/officeart/2009/3/layout/HorizontalOrganizationChart#5"/>
    <dgm:cxn modelId="{2CDFCB26-0AEB-4177-8161-60769DFDF843}" type="presParOf" srcId="{DABD4E52-7244-4BB7-BCD5-DC189A79BF22}" destId="{CBDF8A60-3DB2-4855-AA97-9B5A3991FA85}" srcOrd="2" destOrd="0" presId="urn:microsoft.com/office/officeart/2009/3/layout/HorizontalOrganizationChart#5"/>
    <dgm:cxn modelId="{E08BB7DB-C36A-408F-A94D-256E0A1AE590}" type="presParOf" srcId="{E8AF6F63-750E-40D0-9618-92C634DC0909}" destId="{A425213B-472A-4265-BDA6-A0F74E4D4CAE}" srcOrd="6" destOrd="0" presId="urn:microsoft.com/office/officeart/2009/3/layout/HorizontalOrganizationChart#5"/>
    <dgm:cxn modelId="{EC85FC09-B9D4-4CCF-A38D-5A99F67F45A3}" type="presParOf" srcId="{E8AF6F63-750E-40D0-9618-92C634DC0909}" destId="{FD9C7568-C34E-4EF7-824B-10B2E15C3705}" srcOrd="7" destOrd="0" presId="urn:microsoft.com/office/officeart/2009/3/layout/HorizontalOrganizationChart#5"/>
    <dgm:cxn modelId="{FBCB5C28-ABF9-4033-96BE-0B0435C79AC8}" type="presParOf" srcId="{FD9C7568-C34E-4EF7-824B-10B2E15C3705}" destId="{A07FF30E-0332-493B-A848-594DC8DF0BDB}" srcOrd="0" destOrd="0" presId="urn:microsoft.com/office/officeart/2009/3/layout/HorizontalOrganizationChart#5"/>
    <dgm:cxn modelId="{3FDB0DC9-ABD3-4F36-ABDB-AC9BE18CA1DB}" type="presParOf" srcId="{A07FF30E-0332-493B-A848-594DC8DF0BDB}" destId="{2CE2CB60-B6C6-41B2-A967-691FC96E045F}" srcOrd="0" destOrd="0" presId="urn:microsoft.com/office/officeart/2009/3/layout/HorizontalOrganizationChart#5"/>
    <dgm:cxn modelId="{8C28226D-86D5-41B0-8CC0-BC67F7552536}" type="presParOf" srcId="{A07FF30E-0332-493B-A848-594DC8DF0BDB}" destId="{4D9363E9-7434-4156-BE5F-815D569D42CE}" srcOrd="1" destOrd="0" presId="urn:microsoft.com/office/officeart/2009/3/layout/HorizontalOrganizationChart#5"/>
    <dgm:cxn modelId="{02C48959-4FFF-41EA-8BF2-5A067486CFDF}" type="presParOf" srcId="{FD9C7568-C34E-4EF7-824B-10B2E15C3705}" destId="{6E770012-F76B-4177-8057-1ACFBB01D302}" srcOrd="1" destOrd="0" presId="urn:microsoft.com/office/officeart/2009/3/layout/HorizontalOrganizationChart#5"/>
    <dgm:cxn modelId="{903C81B9-36A0-42DE-AD90-C701A34FE005}" type="presParOf" srcId="{6E770012-F76B-4177-8057-1ACFBB01D302}" destId="{4A637723-82F9-4C11-B499-2455944D45C4}" srcOrd="0" destOrd="0" presId="urn:microsoft.com/office/officeart/2009/3/layout/HorizontalOrganizationChart#5"/>
    <dgm:cxn modelId="{648DD07D-7C52-4554-B31D-EAF2F069F108}" type="presParOf" srcId="{6E770012-F76B-4177-8057-1ACFBB01D302}" destId="{9F4B162B-D631-46E6-B02F-44BA67188E1F}" srcOrd="1" destOrd="0" presId="urn:microsoft.com/office/officeart/2009/3/layout/HorizontalOrganizationChart#5"/>
    <dgm:cxn modelId="{9A57595C-FB53-41F0-8AF5-FD6DCF7EB442}" type="presParOf" srcId="{9F4B162B-D631-46E6-B02F-44BA67188E1F}" destId="{5291E238-DC39-4AC0-9688-03A7E47F4C56}" srcOrd="0" destOrd="0" presId="urn:microsoft.com/office/officeart/2009/3/layout/HorizontalOrganizationChart#5"/>
    <dgm:cxn modelId="{D489B9C2-B408-4D30-A8E8-14A26D242632}" type="presParOf" srcId="{5291E238-DC39-4AC0-9688-03A7E47F4C56}" destId="{6CF4EB24-34AC-4E79-B48B-17ACCA9E842D}" srcOrd="0" destOrd="0" presId="urn:microsoft.com/office/officeart/2009/3/layout/HorizontalOrganizationChart#5"/>
    <dgm:cxn modelId="{1654DC4B-564B-4414-A87C-2AF4445E1074}" type="presParOf" srcId="{5291E238-DC39-4AC0-9688-03A7E47F4C56}" destId="{A6B6F9F9-3ADF-4FE4-8E4A-3738143A3C9D}" srcOrd="1" destOrd="0" presId="urn:microsoft.com/office/officeart/2009/3/layout/HorizontalOrganizationChart#5"/>
    <dgm:cxn modelId="{DA91C8DD-6510-400B-9B79-0014ED42870C}" type="presParOf" srcId="{9F4B162B-D631-46E6-B02F-44BA67188E1F}" destId="{E2884467-69BE-48A5-8E9C-7D75900B8867}" srcOrd="1" destOrd="0" presId="urn:microsoft.com/office/officeart/2009/3/layout/HorizontalOrganizationChart#5"/>
    <dgm:cxn modelId="{28E5A545-C908-42AA-A400-79903DAB56D4}" type="presParOf" srcId="{9F4B162B-D631-46E6-B02F-44BA67188E1F}" destId="{CCDE9CB8-1171-430C-B1AC-F7EC081E3FBE}" srcOrd="2" destOrd="0" presId="urn:microsoft.com/office/officeart/2009/3/layout/HorizontalOrganizationChart#5"/>
    <dgm:cxn modelId="{17773361-9DB4-489D-B0D1-D7193143074C}" type="presParOf" srcId="{6E770012-F76B-4177-8057-1ACFBB01D302}" destId="{3B5C47DF-B91B-45D8-8F23-EA5E0678E058}" srcOrd="2" destOrd="0" presId="urn:microsoft.com/office/officeart/2009/3/layout/HorizontalOrganizationChart#5"/>
    <dgm:cxn modelId="{B808A3AF-A722-419E-A100-C9241398FE3C}" type="presParOf" srcId="{6E770012-F76B-4177-8057-1ACFBB01D302}" destId="{B02DE4AF-4B24-4D70-9987-1DA339717628}" srcOrd="3" destOrd="0" presId="urn:microsoft.com/office/officeart/2009/3/layout/HorizontalOrganizationChart#5"/>
    <dgm:cxn modelId="{818C6845-D4AC-4F49-A05A-B6AB8CE3297A}" type="presParOf" srcId="{B02DE4AF-4B24-4D70-9987-1DA339717628}" destId="{BDE6220D-4CCF-4C2F-B5DE-68C73F42EABA}" srcOrd="0" destOrd="0" presId="urn:microsoft.com/office/officeart/2009/3/layout/HorizontalOrganizationChart#5"/>
    <dgm:cxn modelId="{B26E87BD-B8DC-4A7D-835C-ACD4100EE088}" type="presParOf" srcId="{BDE6220D-4CCF-4C2F-B5DE-68C73F42EABA}" destId="{60B8D45B-17F3-46A3-A081-F4284C470AD7}" srcOrd="0" destOrd="0" presId="urn:microsoft.com/office/officeart/2009/3/layout/HorizontalOrganizationChart#5"/>
    <dgm:cxn modelId="{FCC359B6-4679-46C0-8E44-5EC03E7D2247}" type="presParOf" srcId="{BDE6220D-4CCF-4C2F-B5DE-68C73F42EABA}" destId="{4F9E3B0F-3174-4B77-9CEA-60603980D5AE}" srcOrd="1" destOrd="0" presId="urn:microsoft.com/office/officeart/2009/3/layout/HorizontalOrganizationChart#5"/>
    <dgm:cxn modelId="{1DECB3A3-FC88-4A58-9FD6-4FBCFEC7593A}" type="presParOf" srcId="{B02DE4AF-4B24-4D70-9987-1DA339717628}" destId="{10DF4141-BCB6-4FCE-A61F-879705EC0E48}" srcOrd="1" destOrd="0" presId="urn:microsoft.com/office/officeart/2009/3/layout/HorizontalOrganizationChart#5"/>
    <dgm:cxn modelId="{B7030668-B9DE-43D9-8EE9-E75E3B71D45D}" type="presParOf" srcId="{B02DE4AF-4B24-4D70-9987-1DA339717628}" destId="{B74E3E9A-F04E-4A0A-88A6-A44522FFA4BB}" srcOrd="2" destOrd="0" presId="urn:microsoft.com/office/officeart/2009/3/layout/HorizontalOrganizationChart#5"/>
    <dgm:cxn modelId="{87312499-E57C-47C6-9D6B-FECA169A1A21}" type="presParOf" srcId="{6E770012-F76B-4177-8057-1ACFBB01D302}" destId="{30D066B4-C502-4694-87DA-13C8E37FBBB4}" srcOrd="4" destOrd="0" presId="urn:microsoft.com/office/officeart/2009/3/layout/HorizontalOrganizationChart#5"/>
    <dgm:cxn modelId="{0D1FD011-C50A-4D8D-888E-2842C5173E7D}" type="presParOf" srcId="{6E770012-F76B-4177-8057-1ACFBB01D302}" destId="{64ADE9B1-2720-4B3A-A73A-FB3074325A90}" srcOrd="5" destOrd="0" presId="urn:microsoft.com/office/officeart/2009/3/layout/HorizontalOrganizationChart#5"/>
    <dgm:cxn modelId="{8DCD0475-F0A4-4DD6-A2B7-9A4DC57BBED5}" type="presParOf" srcId="{64ADE9B1-2720-4B3A-A73A-FB3074325A90}" destId="{68C48ABC-53B5-4E3A-A09B-8C8BC27FBE6D}" srcOrd="0" destOrd="0" presId="urn:microsoft.com/office/officeart/2009/3/layout/HorizontalOrganizationChart#5"/>
    <dgm:cxn modelId="{A99EAD27-371C-4D67-9B5E-5191C81CAC08}" type="presParOf" srcId="{68C48ABC-53B5-4E3A-A09B-8C8BC27FBE6D}" destId="{01444EEB-7B65-4EE8-BFFE-D1E0BA260445}" srcOrd="0" destOrd="0" presId="urn:microsoft.com/office/officeart/2009/3/layout/HorizontalOrganizationChart#5"/>
    <dgm:cxn modelId="{71F488AC-A8AA-44D3-ADCC-1C065F84A470}" type="presParOf" srcId="{68C48ABC-53B5-4E3A-A09B-8C8BC27FBE6D}" destId="{4E46D1FB-6F5E-4518-88E3-9F5409F4A34F}" srcOrd="1" destOrd="0" presId="urn:microsoft.com/office/officeart/2009/3/layout/HorizontalOrganizationChart#5"/>
    <dgm:cxn modelId="{6E7497F7-CC45-41D7-8568-47B4B195CF80}" type="presParOf" srcId="{64ADE9B1-2720-4B3A-A73A-FB3074325A90}" destId="{449AE4BA-6F62-4268-85F5-90171F7FA78A}" srcOrd="1" destOrd="0" presId="urn:microsoft.com/office/officeart/2009/3/layout/HorizontalOrganizationChart#5"/>
    <dgm:cxn modelId="{A1DBE67F-C04B-47EB-9024-EE2774F17BAF}" type="presParOf" srcId="{64ADE9B1-2720-4B3A-A73A-FB3074325A90}" destId="{EC28ED69-F1EB-4491-B59F-35AD3BE48EA9}" srcOrd="2" destOrd="0" presId="urn:microsoft.com/office/officeart/2009/3/layout/HorizontalOrganizationChart#5"/>
    <dgm:cxn modelId="{A51A29A2-C0E3-4174-8B27-AD15204C3747}" type="presParOf" srcId="{FD9C7568-C34E-4EF7-824B-10B2E15C3705}" destId="{F86A280D-440D-4C44-98EA-1F71ECB92D0E}" srcOrd="2" destOrd="0" presId="urn:microsoft.com/office/officeart/2009/3/layout/HorizontalOrganizationChart#5"/>
    <dgm:cxn modelId="{E508A64D-3C99-4CE6-BED5-002755EAD909}" type="presParOf" srcId="{7EEB8B19-A092-4F36-BEB3-72629AC8BEB7}" destId="{654CBC87-4B86-4D8B-94B3-79F66B08C905}" srcOrd="2" destOrd="0" presId="urn:microsoft.com/office/officeart/2009/3/layout/HorizontalOrganizationChart#5"/>
  </dgm:cxnLst>
  <dgm:bg>
    <a:solidFill>
      <a:schemeClr val="bg1"/>
    </a:solidFill>
  </dgm:bg>
  <dgm:whole>
    <a:ln>
      <a:solidFill>
        <a:schemeClr val="bg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922645" cy="3886200"/>
        <a:chOff x="0" y="0"/>
        <a:chExt cx="5922645" cy="3886200"/>
      </a:xfrm>
    </dsp:grpSpPr>
    <dsp:sp modelId="{B608D573-B6BA-4D29-846D-BD364ACF4BBA}">
      <dsp:nvSpPr>
        <dsp:cNvPr id="5" name="任意多边形 4"/>
        <dsp:cNvSpPr/>
      </dsp:nvSpPr>
      <dsp:spPr bwMode="white">
        <a:xfrm>
          <a:off x="732861" y="503294"/>
          <a:ext cx="121698" cy="1438982"/>
        </a:xfrm>
        <a:custGeom>
          <a:avLst/>
          <a:gdLst/>
          <a:ahLst/>
          <a:cxnLst/>
          <a:pathLst>
            <a:path w="192" h="2266">
              <a:moveTo>
                <a:pt x="0" y="2266"/>
              </a:moveTo>
              <a:lnTo>
                <a:pt x="168" y="2266"/>
              </a:lnTo>
              <a:lnTo>
                <a:pt x="168" y="0"/>
              </a:lnTo>
              <a:lnTo>
                <a:pt x="192" y="0"/>
              </a:lnTo>
            </a:path>
          </a:pathLst>
        </a:custGeom>
      </dsp:spPr>
      <dsp:style>
        <a:lnRef idx="2">
          <a:schemeClr val="dk1">
            <a:shade val="60000"/>
          </a:schemeClr>
        </a:lnRef>
        <a:fillRef idx="0">
          <a:schemeClr val="dk1"/>
        </a:fillRef>
        <a:effectRef idx="0">
          <a:scrgbClr r="0" g="0" b="0"/>
        </a:effectRef>
        <a:fontRef idx="minor"/>
      </dsp:style>
      <dsp:txXfrm>
        <a:off x="732861" y="503294"/>
        <a:ext cx="121698" cy="1438982"/>
      </dsp:txXfrm>
    </dsp:sp>
    <dsp:sp modelId="{9E329BEA-FD9B-4347-BAE6-AC06868703AA}">
      <dsp:nvSpPr>
        <dsp:cNvPr id="8" name="任意多边形 7"/>
        <dsp:cNvSpPr/>
      </dsp:nvSpPr>
      <dsp:spPr bwMode="white">
        <a:xfrm>
          <a:off x="2519577" y="141471"/>
          <a:ext cx="121698" cy="361823"/>
        </a:xfrm>
        <a:custGeom>
          <a:avLst/>
          <a:gdLst/>
          <a:ahLst/>
          <a:cxnLst/>
          <a:pathLst>
            <a:path w="192" h="570">
              <a:moveTo>
                <a:pt x="0" y="570"/>
              </a:moveTo>
              <a:lnTo>
                <a:pt x="168" y="570"/>
              </a:lnTo>
              <a:lnTo>
                <a:pt x="168" y="0"/>
              </a:lnTo>
              <a:lnTo>
                <a:pt x="192" y="0"/>
              </a:lnTo>
            </a:path>
          </a:pathLst>
        </a:custGeom>
      </dsp:spPr>
      <dsp:style>
        <a:lnRef idx="2">
          <a:schemeClr val="dk1">
            <a:shade val="80000"/>
          </a:schemeClr>
        </a:lnRef>
        <a:fillRef idx="0">
          <a:schemeClr val="dk1"/>
        </a:fillRef>
        <a:effectRef idx="0">
          <a:scrgbClr r="0" g="0" b="0"/>
        </a:effectRef>
        <a:fontRef idx="minor"/>
      </dsp:style>
      <dsp:txXfrm>
        <a:off x="2519577" y="141471"/>
        <a:ext cx="121698" cy="361823"/>
      </dsp:txXfrm>
    </dsp:sp>
    <dsp:sp modelId="{16C19B58-4634-4700-8520-C7F14EEC8630}">
      <dsp:nvSpPr>
        <dsp:cNvPr id="11" name="任意多边形 10"/>
        <dsp:cNvSpPr/>
      </dsp:nvSpPr>
      <dsp:spPr bwMode="white">
        <a:xfrm>
          <a:off x="2519577" y="501410"/>
          <a:ext cx="121698" cy="1884"/>
        </a:xfrm>
        <a:custGeom>
          <a:avLst/>
          <a:gdLst/>
          <a:ahLst/>
          <a:cxnLst/>
          <a:pathLst>
            <a:path w="192" h="3">
              <a:moveTo>
                <a:pt x="0" y="3"/>
              </a:moveTo>
              <a:lnTo>
                <a:pt x="168" y="3"/>
              </a:lnTo>
              <a:lnTo>
                <a:pt x="168" y="0"/>
              </a:lnTo>
              <a:lnTo>
                <a:pt x="192" y="0"/>
              </a:lnTo>
            </a:path>
          </a:pathLst>
        </a:custGeom>
      </dsp:spPr>
      <dsp:style>
        <a:lnRef idx="2">
          <a:schemeClr val="dk1">
            <a:shade val="80000"/>
          </a:schemeClr>
        </a:lnRef>
        <a:fillRef idx="0">
          <a:schemeClr val="dk1"/>
        </a:fillRef>
        <a:effectRef idx="0">
          <a:scrgbClr r="0" g="0" b="0"/>
        </a:effectRef>
        <a:fontRef idx="minor"/>
      </dsp:style>
      <dsp:txXfrm>
        <a:off x="2519577" y="501410"/>
        <a:ext cx="121698" cy="1884"/>
      </dsp:txXfrm>
    </dsp:sp>
    <dsp:sp modelId="{D4BF13FA-BF7C-4E1C-A92A-F2A0DC6E61DC}">
      <dsp:nvSpPr>
        <dsp:cNvPr id="14" name="任意多边形 13"/>
        <dsp:cNvSpPr/>
      </dsp:nvSpPr>
      <dsp:spPr bwMode="white">
        <a:xfrm>
          <a:off x="2519577" y="503294"/>
          <a:ext cx="121698" cy="359939"/>
        </a:xfrm>
        <a:custGeom>
          <a:avLst/>
          <a:gdLst/>
          <a:ahLst/>
          <a:cxnLst/>
          <a:pathLst>
            <a:path w="192" h="567">
              <a:moveTo>
                <a:pt x="0" y="0"/>
              </a:moveTo>
              <a:lnTo>
                <a:pt x="168" y="0"/>
              </a:lnTo>
              <a:lnTo>
                <a:pt x="168" y="567"/>
              </a:lnTo>
              <a:lnTo>
                <a:pt x="192" y="567"/>
              </a:lnTo>
            </a:path>
          </a:pathLst>
        </a:custGeom>
      </dsp:spPr>
      <dsp:style>
        <a:lnRef idx="2">
          <a:schemeClr val="dk1">
            <a:shade val="80000"/>
          </a:schemeClr>
        </a:lnRef>
        <a:fillRef idx="0">
          <a:schemeClr val="dk1"/>
        </a:fillRef>
        <a:effectRef idx="0">
          <a:scrgbClr r="0" g="0" b="0"/>
        </a:effectRef>
        <a:fontRef idx="minor"/>
      </dsp:style>
      <dsp:txXfrm>
        <a:off x="2519577" y="503294"/>
        <a:ext cx="121698" cy="359939"/>
      </dsp:txXfrm>
    </dsp:sp>
    <dsp:sp modelId="{7D7EAD01-5720-4393-B722-33BB04D92276}">
      <dsp:nvSpPr>
        <dsp:cNvPr id="17" name="任意多边形 16"/>
        <dsp:cNvSpPr/>
      </dsp:nvSpPr>
      <dsp:spPr bwMode="white">
        <a:xfrm>
          <a:off x="732861" y="1583829"/>
          <a:ext cx="121698" cy="358446"/>
        </a:xfrm>
        <a:custGeom>
          <a:avLst/>
          <a:gdLst/>
          <a:ahLst/>
          <a:cxnLst/>
          <a:pathLst>
            <a:path w="192" h="564">
              <a:moveTo>
                <a:pt x="0" y="564"/>
              </a:moveTo>
              <a:lnTo>
                <a:pt x="168" y="564"/>
              </a:lnTo>
              <a:lnTo>
                <a:pt x="168" y="0"/>
              </a:lnTo>
              <a:lnTo>
                <a:pt x="192" y="0"/>
              </a:lnTo>
            </a:path>
          </a:pathLst>
        </a:custGeom>
      </dsp:spPr>
      <dsp:style>
        <a:lnRef idx="2">
          <a:schemeClr val="dk1">
            <a:shade val="60000"/>
          </a:schemeClr>
        </a:lnRef>
        <a:fillRef idx="0">
          <a:schemeClr val="dk1"/>
        </a:fillRef>
        <a:effectRef idx="0">
          <a:scrgbClr r="0" g="0" b="0"/>
        </a:effectRef>
        <a:fontRef idx="minor"/>
      </dsp:style>
      <dsp:txXfrm>
        <a:off x="732861" y="1583829"/>
        <a:ext cx="121698" cy="358446"/>
      </dsp:txXfrm>
    </dsp:sp>
    <dsp:sp modelId="{F0FB0836-EACF-4FE8-BBEC-CBD746CD4611}">
      <dsp:nvSpPr>
        <dsp:cNvPr id="20" name="任意多边形 19"/>
        <dsp:cNvSpPr/>
      </dsp:nvSpPr>
      <dsp:spPr bwMode="white">
        <a:xfrm>
          <a:off x="2981336" y="1225056"/>
          <a:ext cx="121698" cy="358773"/>
        </a:xfrm>
        <a:custGeom>
          <a:avLst/>
          <a:gdLst/>
          <a:ahLst/>
          <a:cxnLst/>
          <a:pathLst>
            <a:path w="192" h="565">
              <a:moveTo>
                <a:pt x="0" y="565"/>
              </a:moveTo>
              <a:lnTo>
                <a:pt x="168" y="565"/>
              </a:lnTo>
              <a:lnTo>
                <a:pt x="168" y="0"/>
              </a:lnTo>
              <a:lnTo>
                <a:pt x="192" y="0"/>
              </a:lnTo>
            </a:path>
          </a:pathLst>
        </a:custGeom>
      </dsp:spPr>
      <dsp:style>
        <a:lnRef idx="2">
          <a:schemeClr val="dk1">
            <a:shade val="80000"/>
          </a:schemeClr>
        </a:lnRef>
        <a:fillRef idx="0">
          <a:schemeClr val="dk1"/>
        </a:fillRef>
        <a:effectRef idx="0">
          <a:scrgbClr r="0" g="0" b="0"/>
        </a:effectRef>
        <a:fontRef idx="minor"/>
      </dsp:style>
      <dsp:txXfrm>
        <a:off x="2981336" y="1225056"/>
        <a:ext cx="121698" cy="358773"/>
      </dsp:txXfrm>
    </dsp:sp>
    <dsp:sp modelId="{EB45F28F-95D4-4AC1-95CB-2BFDF3B12748}">
      <dsp:nvSpPr>
        <dsp:cNvPr id="23" name="任意多边形 22"/>
        <dsp:cNvSpPr/>
      </dsp:nvSpPr>
      <dsp:spPr bwMode="white">
        <a:xfrm>
          <a:off x="2981336" y="1583829"/>
          <a:ext cx="121698" cy="1398"/>
        </a:xfrm>
        <a:custGeom>
          <a:avLst/>
          <a:gdLst/>
          <a:ahLst/>
          <a:cxnLst/>
          <a:pathLst>
            <a:path w="192" h="2">
              <a:moveTo>
                <a:pt x="0" y="0"/>
              </a:moveTo>
              <a:lnTo>
                <a:pt x="168" y="0"/>
              </a:lnTo>
              <a:lnTo>
                <a:pt x="168" y="2"/>
              </a:lnTo>
              <a:lnTo>
                <a:pt x="192" y="2"/>
              </a:lnTo>
            </a:path>
          </a:pathLst>
        </a:custGeom>
      </dsp:spPr>
      <dsp:style>
        <a:lnRef idx="2">
          <a:schemeClr val="dk1">
            <a:shade val="80000"/>
          </a:schemeClr>
        </a:lnRef>
        <a:fillRef idx="0">
          <a:schemeClr val="dk1"/>
        </a:fillRef>
        <a:effectRef idx="0">
          <a:scrgbClr r="0" g="0" b="0"/>
        </a:effectRef>
        <a:fontRef idx="minor"/>
      </dsp:style>
      <dsp:txXfrm>
        <a:off x="2981336" y="1583829"/>
        <a:ext cx="121698" cy="1398"/>
      </dsp:txXfrm>
    </dsp:sp>
    <dsp:sp modelId="{D7F4422E-F80A-4EF7-80A8-3A0B60F0CA1B}">
      <dsp:nvSpPr>
        <dsp:cNvPr id="26" name="任意多边形 25"/>
        <dsp:cNvSpPr/>
      </dsp:nvSpPr>
      <dsp:spPr bwMode="white">
        <a:xfrm>
          <a:off x="2981336" y="1583829"/>
          <a:ext cx="121698" cy="360172"/>
        </a:xfrm>
        <a:custGeom>
          <a:avLst/>
          <a:gdLst/>
          <a:ahLst/>
          <a:cxnLst/>
          <a:pathLst>
            <a:path w="192" h="567">
              <a:moveTo>
                <a:pt x="0" y="0"/>
              </a:moveTo>
              <a:lnTo>
                <a:pt x="168" y="0"/>
              </a:lnTo>
              <a:lnTo>
                <a:pt x="168" y="567"/>
              </a:lnTo>
              <a:lnTo>
                <a:pt x="192" y="567"/>
              </a:lnTo>
            </a:path>
          </a:pathLst>
        </a:custGeom>
      </dsp:spPr>
      <dsp:style>
        <a:lnRef idx="2">
          <a:schemeClr val="dk1">
            <a:shade val="80000"/>
          </a:schemeClr>
        </a:lnRef>
        <a:fillRef idx="0">
          <a:schemeClr val="dk1"/>
        </a:fillRef>
        <a:effectRef idx="0">
          <a:scrgbClr r="0" g="0" b="0"/>
        </a:effectRef>
        <a:fontRef idx="minor"/>
      </dsp:style>
      <dsp:txXfrm>
        <a:off x="2981336" y="1583829"/>
        <a:ext cx="121698" cy="360172"/>
      </dsp:txXfrm>
    </dsp:sp>
    <dsp:sp modelId="{31D1DC50-2870-483D-B3C8-6FAE2C1E33FB}">
      <dsp:nvSpPr>
        <dsp:cNvPr id="29" name="任意多边形 28"/>
        <dsp:cNvSpPr/>
      </dsp:nvSpPr>
      <dsp:spPr bwMode="white">
        <a:xfrm>
          <a:off x="732861" y="1942276"/>
          <a:ext cx="121698" cy="538386"/>
        </a:xfrm>
        <a:custGeom>
          <a:avLst/>
          <a:gdLst/>
          <a:ahLst/>
          <a:cxnLst/>
          <a:pathLst>
            <a:path w="192" h="848">
              <a:moveTo>
                <a:pt x="0" y="0"/>
              </a:moveTo>
              <a:lnTo>
                <a:pt x="168" y="0"/>
              </a:lnTo>
              <a:lnTo>
                <a:pt x="168" y="848"/>
              </a:lnTo>
              <a:lnTo>
                <a:pt x="192" y="848"/>
              </a:lnTo>
            </a:path>
          </a:pathLst>
        </a:custGeom>
      </dsp:spPr>
      <dsp:style>
        <a:lnRef idx="2">
          <a:schemeClr val="dk1">
            <a:shade val="60000"/>
          </a:schemeClr>
        </a:lnRef>
        <a:fillRef idx="0">
          <a:schemeClr val="dk1"/>
        </a:fillRef>
        <a:effectRef idx="0">
          <a:scrgbClr r="0" g="0" b="0"/>
        </a:effectRef>
        <a:fontRef idx="minor"/>
      </dsp:style>
      <dsp:txXfrm>
        <a:off x="732861" y="1942276"/>
        <a:ext cx="121698" cy="538386"/>
      </dsp:txXfrm>
    </dsp:sp>
    <dsp:sp modelId="{BBD70F0D-13CC-45C7-A7F9-A1201CBF0C42}">
      <dsp:nvSpPr>
        <dsp:cNvPr id="32" name="任意多边形 31"/>
        <dsp:cNvSpPr/>
      </dsp:nvSpPr>
      <dsp:spPr bwMode="white">
        <a:xfrm>
          <a:off x="2263311" y="2301391"/>
          <a:ext cx="121698" cy="179271"/>
        </a:xfrm>
        <a:custGeom>
          <a:avLst/>
          <a:gdLst/>
          <a:ahLst/>
          <a:cxnLst/>
          <a:pathLst>
            <a:path w="192" h="282">
              <a:moveTo>
                <a:pt x="0" y="282"/>
              </a:moveTo>
              <a:lnTo>
                <a:pt x="168" y="282"/>
              </a:lnTo>
              <a:lnTo>
                <a:pt x="168" y="0"/>
              </a:lnTo>
              <a:lnTo>
                <a:pt x="192" y="0"/>
              </a:lnTo>
            </a:path>
          </a:pathLst>
        </a:custGeom>
      </dsp:spPr>
      <dsp:style>
        <a:lnRef idx="2">
          <a:schemeClr val="dk1">
            <a:shade val="80000"/>
          </a:schemeClr>
        </a:lnRef>
        <a:fillRef idx="0">
          <a:schemeClr val="dk1"/>
        </a:fillRef>
        <a:effectRef idx="0">
          <a:scrgbClr r="0" g="0" b="0"/>
        </a:effectRef>
        <a:fontRef idx="minor"/>
      </dsp:style>
      <dsp:txXfrm>
        <a:off x="2263311" y="2301391"/>
        <a:ext cx="121698" cy="179271"/>
      </dsp:txXfrm>
    </dsp:sp>
    <dsp:sp modelId="{DEFC1C09-DAE8-4174-BC9E-54F846B3855F}">
      <dsp:nvSpPr>
        <dsp:cNvPr id="35" name="任意多边形 34"/>
        <dsp:cNvSpPr/>
      </dsp:nvSpPr>
      <dsp:spPr bwMode="white">
        <a:xfrm>
          <a:off x="2263311" y="2480662"/>
          <a:ext cx="121698" cy="178351"/>
        </a:xfrm>
        <a:custGeom>
          <a:avLst/>
          <a:gdLst/>
          <a:ahLst/>
          <a:cxnLst/>
          <a:pathLst>
            <a:path w="192" h="281">
              <a:moveTo>
                <a:pt x="0" y="0"/>
              </a:moveTo>
              <a:lnTo>
                <a:pt x="168" y="0"/>
              </a:lnTo>
              <a:lnTo>
                <a:pt x="168" y="281"/>
              </a:lnTo>
              <a:lnTo>
                <a:pt x="192" y="281"/>
              </a:lnTo>
            </a:path>
          </a:pathLst>
        </a:custGeom>
      </dsp:spPr>
      <dsp:style>
        <a:lnRef idx="2">
          <a:schemeClr val="dk1">
            <a:shade val="80000"/>
          </a:schemeClr>
        </a:lnRef>
        <a:fillRef idx="0">
          <a:schemeClr val="dk1"/>
        </a:fillRef>
        <a:effectRef idx="0">
          <a:scrgbClr r="0" g="0" b="0"/>
        </a:effectRef>
        <a:fontRef idx="minor"/>
      </dsp:style>
      <dsp:txXfrm>
        <a:off x="2263311" y="2480662"/>
        <a:ext cx="121698" cy="178351"/>
      </dsp:txXfrm>
    </dsp:sp>
    <dsp:sp modelId="{A425213B-472A-4265-BDA6-A0F74E4D4CAE}">
      <dsp:nvSpPr>
        <dsp:cNvPr id="38" name="任意多边形 37"/>
        <dsp:cNvSpPr/>
      </dsp:nvSpPr>
      <dsp:spPr bwMode="white">
        <a:xfrm>
          <a:off x="732861" y="1942276"/>
          <a:ext cx="121698" cy="1438982"/>
        </a:xfrm>
        <a:custGeom>
          <a:avLst/>
          <a:gdLst/>
          <a:ahLst/>
          <a:cxnLst/>
          <a:pathLst>
            <a:path w="192" h="2266">
              <a:moveTo>
                <a:pt x="0" y="0"/>
              </a:moveTo>
              <a:lnTo>
                <a:pt x="168" y="0"/>
              </a:lnTo>
              <a:lnTo>
                <a:pt x="168" y="2266"/>
              </a:lnTo>
              <a:lnTo>
                <a:pt x="192" y="2266"/>
              </a:lnTo>
            </a:path>
          </a:pathLst>
        </a:custGeom>
      </dsp:spPr>
      <dsp:style>
        <a:lnRef idx="2">
          <a:schemeClr val="dk1">
            <a:shade val="60000"/>
          </a:schemeClr>
        </a:lnRef>
        <a:fillRef idx="0">
          <a:schemeClr val="dk1"/>
        </a:fillRef>
        <a:effectRef idx="0">
          <a:scrgbClr r="0" g="0" b="0"/>
        </a:effectRef>
        <a:fontRef idx="minor"/>
      </dsp:style>
      <dsp:txXfrm>
        <a:off x="732861" y="1942276"/>
        <a:ext cx="121698" cy="1438982"/>
      </dsp:txXfrm>
    </dsp:sp>
    <dsp:sp modelId="{4A637723-82F9-4C11-B499-2455944D45C4}">
      <dsp:nvSpPr>
        <dsp:cNvPr id="41" name="任意多边形 40"/>
        <dsp:cNvSpPr/>
      </dsp:nvSpPr>
      <dsp:spPr bwMode="white">
        <a:xfrm>
          <a:off x="2448669" y="3018486"/>
          <a:ext cx="121698" cy="362771"/>
        </a:xfrm>
        <a:custGeom>
          <a:avLst/>
          <a:gdLst/>
          <a:ahLst/>
          <a:cxnLst/>
          <a:pathLst>
            <a:path w="192" h="571">
              <a:moveTo>
                <a:pt x="0" y="571"/>
              </a:moveTo>
              <a:lnTo>
                <a:pt x="168" y="571"/>
              </a:lnTo>
              <a:lnTo>
                <a:pt x="168" y="0"/>
              </a:lnTo>
              <a:lnTo>
                <a:pt x="192" y="0"/>
              </a:lnTo>
            </a:path>
          </a:pathLst>
        </a:custGeom>
      </dsp:spPr>
      <dsp:style>
        <a:lnRef idx="2">
          <a:schemeClr val="dk1">
            <a:shade val="80000"/>
          </a:schemeClr>
        </a:lnRef>
        <a:fillRef idx="0">
          <a:schemeClr val="dk1"/>
        </a:fillRef>
        <a:effectRef idx="0">
          <a:scrgbClr r="0" g="0" b="0"/>
        </a:effectRef>
        <a:fontRef idx="minor"/>
      </dsp:style>
      <dsp:txXfrm>
        <a:off x="2448669" y="3018486"/>
        <a:ext cx="121698" cy="362771"/>
      </dsp:txXfrm>
    </dsp:sp>
    <dsp:sp modelId="{3B5C47DF-B91B-45D8-8F23-EA5E0678E058}">
      <dsp:nvSpPr>
        <dsp:cNvPr id="44" name="任意多边形 43"/>
        <dsp:cNvSpPr/>
      </dsp:nvSpPr>
      <dsp:spPr bwMode="white">
        <a:xfrm>
          <a:off x="2448669" y="3379836"/>
          <a:ext cx="121698" cy="1422"/>
        </a:xfrm>
        <a:custGeom>
          <a:avLst/>
          <a:gdLst/>
          <a:ahLst/>
          <a:cxnLst/>
          <a:pathLst>
            <a:path w="192" h="2">
              <a:moveTo>
                <a:pt x="0" y="2"/>
              </a:moveTo>
              <a:lnTo>
                <a:pt x="168" y="2"/>
              </a:lnTo>
              <a:lnTo>
                <a:pt x="168" y="0"/>
              </a:lnTo>
              <a:lnTo>
                <a:pt x="192" y="0"/>
              </a:lnTo>
            </a:path>
          </a:pathLst>
        </a:custGeom>
      </dsp:spPr>
      <dsp:style>
        <a:lnRef idx="2">
          <a:schemeClr val="dk1">
            <a:shade val="80000"/>
          </a:schemeClr>
        </a:lnRef>
        <a:fillRef idx="0">
          <a:schemeClr val="dk1"/>
        </a:fillRef>
        <a:effectRef idx="0">
          <a:scrgbClr r="0" g="0" b="0"/>
        </a:effectRef>
        <a:fontRef idx="minor"/>
      </dsp:style>
      <dsp:txXfrm>
        <a:off x="2448669" y="3379836"/>
        <a:ext cx="121698" cy="1422"/>
      </dsp:txXfrm>
    </dsp:sp>
    <dsp:sp modelId="{30D066B4-C502-4694-87DA-13C8E37FBBB4}">
      <dsp:nvSpPr>
        <dsp:cNvPr id="47" name="任意多边形 46"/>
        <dsp:cNvSpPr/>
      </dsp:nvSpPr>
      <dsp:spPr bwMode="white">
        <a:xfrm>
          <a:off x="2448669" y="3381257"/>
          <a:ext cx="121698" cy="361349"/>
        </a:xfrm>
        <a:custGeom>
          <a:avLst/>
          <a:gdLst/>
          <a:ahLst/>
          <a:cxnLst/>
          <a:pathLst>
            <a:path w="192" h="569">
              <a:moveTo>
                <a:pt x="0" y="0"/>
              </a:moveTo>
              <a:lnTo>
                <a:pt x="168" y="0"/>
              </a:lnTo>
              <a:lnTo>
                <a:pt x="168" y="569"/>
              </a:lnTo>
              <a:lnTo>
                <a:pt x="192" y="569"/>
              </a:lnTo>
            </a:path>
          </a:pathLst>
        </a:custGeom>
      </dsp:spPr>
      <dsp:style>
        <a:lnRef idx="2">
          <a:schemeClr val="dk1">
            <a:shade val="80000"/>
          </a:schemeClr>
        </a:lnRef>
        <a:fillRef idx="0">
          <a:schemeClr val="dk1"/>
        </a:fillRef>
        <a:effectRef idx="0">
          <a:scrgbClr r="0" g="0" b="0"/>
        </a:effectRef>
        <a:fontRef idx="minor"/>
      </dsp:style>
      <dsp:txXfrm>
        <a:off x="2448669" y="3381257"/>
        <a:ext cx="121698" cy="361349"/>
      </dsp:txXfrm>
    </dsp:sp>
    <dsp:sp modelId="{C9341511-9C97-443A-8D53-EDC761773C09}">
      <dsp:nvSpPr>
        <dsp:cNvPr id="3" name="矩形 2"/>
        <dsp:cNvSpPr/>
      </dsp:nvSpPr>
      <dsp:spPr bwMode="white">
        <a:xfrm>
          <a:off x="492708" y="646623"/>
          <a:ext cx="240153" cy="2591305"/>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建设项目估算费用组成</a:t>
          </a:r>
          <a:endParaRPr>
            <a:solidFill>
              <a:schemeClr val="dk1"/>
            </a:solidFill>
          </a:endParaRPr>
        </a:p>
      </dsp:txBody>
      <dsp:txXfrm>
        <a:off x="492708" y="646623"/>
        <a:ext cx="240153" cy="2591305"/>
      </dsp:txXfrm>
    </dsp:sp>
    <dsp:sp modelId="{3B7EFC2D-8CAC-4561-86CE-BE660AB6EBAE}">
      <dsp:nvSpPr>
        <dsp:cNvPr id="6" name="矩形 5"/>
        <dsp:cNvSpPr/>
      </dsp:nvSpPr>
      <dsp:spPr bwMode="white">
        <a:xfrm>
          <a:off x="854559" y="338638"/>
          <a:ext cx="1665018" cy="329312"/>
        </a:xfrm>
        <a:prstGeom prst="rect">
          <a:avLst/>
        </a:prstGeom>
        <a:solidFill>
          <a:schemeClr val="bg1"/>
        </a:solidFill>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ln>
                <a:noFill/>
              </a:ln>
              <a:solidFill>
                <a:schemeClr val="dk1"/>
              </a:solidFill>
              <a:latin typeface="黑体" panose="02010600030101010101" charset="-122"/>
              <a:ea typeface="黑体" panose="02010600030101010101" charset="-122"/>
            </a:rPr>
            <a:t> 第一部分 工程费用</a:t>
          </a:r>
          <a:endParaRPr>
            <a:solidFill>
              <a:schemeClr val="dk1"/>
            </a:solidFill>
          </a:endParaRPr>
        </a:p>
      </dsp:txBody>
      <dsp:txXfrm>
        <a:off x="854559" y="338638"/>
        <a:ext cx="1665018" cy="329312"/>
      </dsp:txXfrm>
    </dsp:sp>
    <dsp:sp modelId="{57F0395F-B4DA-485F-AA27-A0A6C8BF64DD}">
      <dsp:nvSpPr>
        <dsp:cNvPr id="9" name="矩形 8"/>
        <dsp:cNvSpPr/>
      </dsp:nvSpPr>
      <dsp:spPr bwMode="white">
        <a:xfrm>
          <a:off x="2641275" y="0"/>
          <a:ext cx="1002676" cy="282942"/>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建筑工程费</a:t>
          </a:r>
          <a:endParaRPr>
            <a:solidFill>
              <a:schemeClr val="dk1"/>
            </a:solidFill>
          </a:endParaRPr>
        </a:p>
      </dsp:txBody>
      <dsp:txXfrm>
        <a:off x="2641275" y="0"/>
        <a:ext cx="1002676" cy="282942"/>
      </dsp:txXfrm>
    </dsp:sp>
    <dsp:sp modelId="{FE21AD9B-8CA6-4819-A264-73589B1F2E95}">
      <dsp:nvSpPr>
        <dsp:cNvPr id="12" name="矩形 11"/>
        <dsp:cNvSpPr/>
      </dsp:nvSpPr>
      <dsp:spPr bwMode="white">
        <a:xfrm>
          <a:off x="2641275" y="359004"/>
          <a:ext cx="1145057" cy="284813"/>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安装工程费</a:t>
          </a:r>
          <a:endParaRPr>
            <a:solidFill>
              <a:schemeClr val="dk1"/>
            </a:solidFill>
          </a:endParaRPr>
        </a:p>
      </dsp:txBody>
      <dsp:txXfrm>
        <a:off x="2641275" y="359004"/>
        <a:ext cx="1145057" cy="284813"/>
      </dsp:txXfrm>
    </dsp:sp>
    <dsp:sp modelId="{BB5370A4-B57A-4F2E-BA70-BCE43866B78C}">
      <dsp:nvSpPr>
        <dsp:cNvPr id="15" name="矩形 14"/>
        <dsp:cNvSpPr/>
      </dsp:nvSpPr>
      <dsp:spPr bwMode="white">
        <a:xfrm>
          <a:off x="2641275" y="719878"/>
          <a:ext cx="1170972" cy="286710"/>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设备购置费</a:t>
          </a:r>
          <a:endParaRPr>
            <a:solidFill>
              <a:schemeClr val="dk1"/>
            </a:solidFill>
          </a:endParaRPr>
        </a:p>
      </dsp:txBody>
      <dsp:txXfrm>
        <a:off x="2641275" y="719878"/>
        <a:ext cx="1170972" cy="286710"/>
      </dsp:txXfrm>
    </dsp:sp>
    <dsp:sp modelId="{C3CEFD03-3E24-40B7-B289-7A10784EFD58}">
      <dsp:nvSpPr>
        <dsp:cNvPr id="18" name="矩形 17"/>
        <dsp:cNvSpPr/>
      </dsp:nvSpPr>
      <dsp:spPr bwMode="white">
        <a:xfrm>
          <a:off x="854559" y="1419173"/>
          <a:ext cx="2126777" cy="329312"/>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第二部分 工程建设其他费用</a:t>
          </a:r>
          <a:endParaRPr>
            <a:solidFill>
              <a:schemeClr val="dk1"/>
            </a:solidFill>
          </a:endParaRPr>
        </a:p>
      </dsp:txBody>
      <dsp:txXfrm>
        <a:off x="854559" y="1419173"/>
        <a:ext cx="2126777" cy="329312"/>
      </dsp:txXfrm>
    </dsp:sp>
    <dsp:sp modelId="{A2BE574D-4487-4E45-8667-276BCA4A22EE}">
      <dsp:nvSpPr>
        <dsp:cNvPr id="21" name="矩形 20"/>
        <dsp:cNvSpPr/>
      </dsp:nvSpPr>
      <dsp:spPr bwMode="white">
        <a:xfrm>
          <a:off x="3103034" y="1082649"/>
          <a:ext cx="1177502" cy="284813"/>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前期工程费</a:t>
          </a:r>
          <a:endParaRPr>
            <a:solidFill>
              <a:schemeClr val="dk1"/>
            </a:solidFill>
          </a:endParaRPr>
        </a:p>
      </dsp:txBody>
      <dsp:txXfrm>
        <a:off x="3103034" y="1082649"/>
        <a:ext cx="1177502" cy="284813"/>
      </dsp:txXfrm>
    </dsp:sp>
    <dsp:sp modelId="{2D30233D-FDDA-4AD3-9BE3-D06BFA17C1AB}">
      <dsp:nvSpPr>
        <dsp:cNvPr id="24" name="矩形 23"/>
        <dsp:cNvSpPr/>
      </dsp:nvSpPr>
      <dsp:spPr bwMode="white">
        <a:xfrm>
          <a:off x="3103034" y="1443523"/>
          <a:ext cx="2326903" cy="283408"/>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与项目建设有关的其他费用</a:t>
          </a:r>
          <a:endParaRPr>
            <a:solidFill>
              <a:schemeClr val="dk1"/>
            </a:solidFill>
          </a:endParaRPr>
        </a:p>
      </dsp:txBody>
      <dsp:txXfrm>
        <a:off x="3103034" y="1443523"/>
        <a:ext cx="2326903" cy="283408"/>
      </dsp:txXfrm>
    </dsp:sp>
    <dsp:sp modelId="{BA2B7BED-5D44-4BA8-9B52-AEB0D7208721}">
      <dsp:nvSpPr>
        <dsp:cNvPr id="27" name="矩形 26"/>
        <dsp:cNvSpPr/>
      </dsp:nvSpPr>
      <dsp:spPr bwMode="white">
        <a:xfrm>
          <a:off x="3103034" y="1802993"/>
          <a:ext cx="2239092" cy="282016"/>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与试运行有关的其他费用</a:t>
          </a:r>
          <a:endParaRPr>
            <a:solidFill>
              <a:schemeClr val="dk1"/>
            </a:solidFill>
          </a:endParaRPr>
        </a:p>
      </dsp:txBody>
      <dsp:txXfrm>
        <a:off x="3103034" y="1802993"/>
        <a:ext cx="2239092" cy="282016"/>
      </dsp:txXfrm>
    </dsp:sp>
    <dsp:sp modelId="{D6B930DC-3E82-4DCF-98CB-8ED61CABC10A}">
      <dsp:nvSpPr>
        <dsp:cNvPr id="30" name="矩形 29"/>
        <dsp:cNvSpPr/>
      </dsp:nvSpPr>
      <dsp:spPr bwMode="white">
        <a:xfrm>
          <a:off x="854559" y="2316006"/>
          <a:ext cx="1408752" cy="329312"/>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第三部分 预备费</a:t>
          </a:r>
          <a:endParaRPr>
            <a:solidFill>
              <a:schemeClr val="dk1"/>
            </a:solidFill>
          </a:endParaRPr>
        </a:p>
      </dsp:txBody>
      <dsp:txXfrm>
        <a:off x="854559" y="2316006"/>
        <a:ext cx="1408752" cy="329312"/>
      </dsp:txXfrm>
    </dsp:sp>
    <dsp:sp modelId="{96446963-A2C4-4358-9546-BDB224EC9D2E}">
      <dsp:nvSpPr>
        <dsp:cNvPr id="33" name="矩形 32"/>
        <dsp:cNvSpPr/>
      </dsp:nvSpPr>
      <dsp:spPr bwMode="white">
        <a:xfrm>
          <a:off x="2385009" y="2161070"/>
          <a:ext cx="1192586" cy="280641"/>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基本预备费</a:t>
          </a:r>
          <a:endParaRPr>
            <a:solidFill>
              <a:schemeClr val="dk1"/>
            </a:solidFill>
          </a:endParaRPr>
        </a:p>
      </dsp:txBody>
      <dsp:txXfrm>
        <a:off x="2385009" y="2161070"/>
        <a:ext cx="1192586" cy="280641"/>
      </dsp:txXfrm>
    </dsp:sp>
    <dsp:sp modelId="{CBE7077E-6E94-4257-A13A-4AC0F00D7BF2}">
      <dsp:nvSpPr>
        <dsp:cNvPr id="36" name="矩形 35"/>
        <dsp:cNvSpPr/>
      </dsp:nvSpPr>
      <dsp:spPr bwMode="white">
        <a:xfrm>
          <a:off x="2385009" y="2517773"/>
          <a:ext cx="1112174" cy="282480"/>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价差预备费</a:t>
          </a:r>
          <a:endParaRPr>
            <a:solidFill>
              <a:schemeClr val="dk1"/>
            </a:solidFill>
          </a:endParaRPr>
        </a:p>
      </dsp:txBody>
      <dsp:txXfrm>
        <a:off x="2385009" y="2517773"/>
        <a:ext cx="1112174" cy="282480"/>
      </dsp:txXfrm>
    </dsp:sp>
    <dsp:sp modelId="{2CE2CB60-B6C6-41B2-A967-691FC96E045F}">
      <dsp:nvSpPr>
        <dsp:cNvPr id="39" name="矩形 38"/>
        <dsp:cNvSpPr/>
      </dsp:nvSpPr>
      <dsp:spPr bwMode="white">
        <a:xfrm>
          <a:off x="854559" y="3216601"/>
          <a:ext cx="1594110" cy="329312"/>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第四部分 专项费用</a:t>
          </a:r>
          <a:endParaRPr>
            <a:solidFill>
              <a:schemeClr val="dk1"/>
            </a:solidFill>
          </a:endParaRPr>
        </a:p>
      </dsp:txBody>
      <dsp:txXfrm>
        <a:off x="854559" y="3216601"/>
        <a:ext cx="1594110" cy="329312"/>
      </dsp:txXfrm>
    </dsp:sp>
    <dsp:sp modelId="{6CF4EB24-34AC-4E79-B48B-17ACCA9E842D}">
      <dsp:nvSpPr>
        <dsp:cNvPr id="42" name="矩形 41"/>
        <dsp:cNvSpPr/>
      </dsp:nvSpPr>
      <dsp:spPr bwMode="white">
        <a:xfrm>
          <a:off x="2570368" y="2876314"/>
          <a:ext cx="1152590" cy="284344"/>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车辆购置费</a:t>
          </a:r>
          <a:endParaRPr>
            <a:solidFill>
              <a:schemeClr val="dk1"/>
            </a:solidFill>
          </a:endParaRPr>
        </a:p>
      </dsp:txBody>
      <dsp:txXfrm>
        <a:off x="2570368" y="2876314"/>
        <a:ext cx="1152590" cy="284344"/>
      </dsp:txXfrm>
    </dsp:sp>
    <dsp:sp modelId="{60B8D45B-17F3-46A3-A081-F4284C470AD7}">
      <dsp:nvSpPr>
        <dsp:cNvPr id="45" name="矩形 44"/>
        <dsp:cNvSpPr/>
      </dsp:nvSpPr>
      <dsp:spPr bwMode="white">
        <a:xfrm>
          <a:off x="2570368" y="3236719"/>
          <a:ext cx="1147661" cy="286233"/>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建设期利息</a:t>
          </a:r>
          <a:endParaRPr>
            <a:solidFill>
              <a:schemeClr val="dk1"/>
            </a:solidFill>
          </a:endParaRPr>
        </a:p>
      </dsp:txBody>
      <dsp:txXfrm>
        <a:off x="2570368" y="3236719"/>
        <a:ext cx="1147661" cy="286233"/>
      </dsp:txXfrm>
    </dsp:sp>
    <dsp:sp modelId="{01444EEB-7B65-4EE8-BFFE-D1E0BA260445}">
      <dsp:nvSpPr>
        <dsp:cNvPr id="48" name="矩形 47"/>
        <dsp:cNvSpPr/>
      </dsp:nvSpPr>
      <dsp:spPr bwMode="white">
        <a:xfrm>
          <a:off x="2570368" y="3599013"/>
          <a:ext cx="1178682" cy="287187"/>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pPr>
          <a:r>
            <a:rPr lang="zh-CN" altLang="en-US" sz="1200">
              <a:solidFill>
                <a:schemeClr val="dk1"/>
              </a:solidFill>
              <a:latin typeface="黑体" panose="02010600030101010101" charset="-122"/>
              <a:ea typeface="黑体" panose="02010600030101010101" charset="-122"/>
            </a:rPr>
            <a:t>  铺底流动资金</a:t>
          </a:r>
          <a:endParaRPr>
            <a:solidFill>
              <a:schemeClr val="dk1"/>
            </a:solidFill>
          </a:endParaRPr>
        </a:p>
      </dsp:txBody>
      <dsp:txXfrm>
        <a:off x="2570368" y="3599013"/>
        <a:ext cx="1178682" cy="287187"/>
      </dsp:txXfrm>
    </dsp:sp>
    <dsp:sp modelId="{14D62038-AC6C-45BC-9E02-1C692B393CB7}">
      <dsp:nvSpPr>
        <dsp:cNvPr id="4" name="矩形 3" hidden="1"/>
        <dsp:cNvSpPr/>
      </dsp:nvSpPr>
      <dsp:spPr bwMode="white">
        <a:xfrm>
          <a:off x="492708" y="646623"/>
          <a:ext cx="48031" cy="2591305"/>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492708" y="646623"/>
        <a:ext cx="48031" cy="2591305"/>
      </dsp:txXfrm>
    </dsp:sp>
    <dsp:sp modelId="{0B993EF5-2A59-4BAD-8A2E-1F70988CF0E7}">
      <dsp:nvSpPr>
        <dsp:cNvPr id="7" name="矩形 6" hidden="1"/>
        <dsp:cNvSpPr/>
      </dsp:nvSpPr>
      <dsp:spPr bwMode="white">
        <a:xfrm>
          <a:off x="854559" y="338638"/>
          <a:ext cx="333004" cy="329312"/>
        </a:xfrm>
        <a:prstGeom prst="rect">
          <a:avLst/>
        </a:prstGeom>
        <a:solidFill>
          <a:schemeClr val="bg1"/>
        </a:solidFill>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854559" y="338638"/>
        <a:ext cx="333004" cy="329312"/>
      </dsp:txXfrm>
    </dsp:sp>
    <dsp:sp modelId="{5A88332A-37C9-4E41-AA63-344EEA5E04FF}">
      <dsp:nvSpPr>
        <dsp:cNvPr id="10" name="矩形 9" hidden="1"/>
        <dsp:cNvSpPr/>
      </dsp:nvSpPr>
      <dsp:spPr bwMode="white">
        <a:xfrm>
          <a:off x="2641275" y="0"/>
          <a:ext cx="200535" cy="282942"/>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2641275" y="0"/>
        <a:ext cx="200535" cy="282942"/>
      </dsp:txXfrm>
    </dsp:sp>
    <dsp:sp modelId="{D981C592-5729-4A5D-BA0A-FC426BFE9A51}">
      <dsp:nvSpPr>
        <dsp:cNvPr id="13" name="矩形 12" hidden="1"/>
        <dsp:cNvSpPr/>
      </dsp:nvSpPr>
      <dsp:spPr bwMode="white">
        <a:xfrm>
          <a:off x="2641275" y="359004"/>
          <a:ext cx="229011" cy="284813"/>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2641275" y="359004"/>
        <a:ext cx="229011" cy="284813"/>
      </dsp:txXfrm>
    </dsp:sp>
    <dsp:sp modelId="{F6B1CF79-BDD9-4117-B667-F27125733CB8}">
      <dsp:nvSpPr>
        <dsp:cNvPr id="16" name="矩形 15" hidden="1"/>
        <dsp:cNvSpPr/>
      </dsp:nvSpPr>
      <dsp:spPr bwMode="white">
        <a:xfrm>
          <a:off x="2641275" y="719878"/>
          <a:ext cx="234194" cy="286710"/>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2641275" y="719878"/>
        <a:ext cx="234194" cy="286710"/>
      </dsp:txXfrm>
    </dsp:sp>
    <dsp:sp modelId="{7B352F31-A627-46FC-AFF1-41591B8B58B8}">
      <dsp:nvSpPr>
        <dsp:cNvPr id="19" name="矩形 18" hidden="1"/>
        <dsp:cNvSpPr/>
      </dsp:nvSpPr>
      <dsp:spPr bwMode="white">
        <a:xfrm>
          <a:off x="854559" y="1419173"/>
          <a:ext cx="425355" cy="329312"/>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854559" y="1419173"/>
        <a:ext cx="425355" cy="329312"/>
      </dsp:txXfrm>
    </dsp:sp>
    <dsp:sp modelId="{714C46CC-3971-4FF8-AAA9-9812F4D6F742}">
      <dsp:nvSpPr>
        <dsp:cNvPr id="22" name="矩形 21" hidden="1"/>
        <dsp:cNvSpPr/>
      </dsp:nvSpPr>
      <dsp:spPr bwMode="white">
        <a:xfrm>
          <a:off x="3103034" y="1082649"/>
          <a:ext cx="235500" cy="284813"/>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3103034" y="1082649"/>
        <a:ext cx="235500" cy="284813"/>
      </dsp:txXfrm>
    </dsp:sp>
    <dsp:sp modelId="{84F3106C-F806-4506-95B0-25D8A9BF88C2}">
      <dsp:nvSpPr>
        <dsp:cNvPr id="25" name="矩形 24" hidden="1"/>
        <dsp:cNvSpPr/>
      </dsp:nvSpPr>
      <dsp:spPr bwMode="white">
        <a:xfrm>
          <a:off x="3103034" y="1443523"/>
          <a:ext cx="465381" cy="283408"/>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3103034" y="1443523"/>
        <a:ext cx="465381" cy="283408"/>
      </dsp:txXfrm>
    </dsp:sp>
    <dsp:sp modelId="{5A569A68-445F-4788-A7F5-E23903807D88}">
      <dsp:nvSpPr>
        <dsp:cNvPr id="28" name="矩形 27" hidden="1"/>
        <dsp:cNvSpPr/>
      </dsp:nvSpPr>
      <dsp:spPr bwMode="white">
        <a:xfrm>
          <a:off x="3103034" y="1802993"/>
          <a:ext cx="447818" cy="282016"/>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3103034" y="1802993"/>
        <a:ext cx="447818" cy="282016"/>
      </dsp:txXfrm>
    </dsp:sp>
    <dsp:sp modelId="{80997F64-0393-4F38-B383-CB2EC3EF01B9}">
      <dsp:nvSpPr>
        <dsp:cNvPr id="31" name="矩形 30" hidden="1"/>
        <dsp:cNvSpPr/>
      </dsp:nvSpPr>
      <dsp:spPr bwMode="white">
        <a:xfrm>
          <a:off x="854559" y="2316006"/>
          <a:ext cx="281750" cy="329312"/>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854559" y="2316006"/>
        <a:ext cx="281750" cy="329312"/>
      </dsp:txXfrm>
    </dsp:sp>
    <dsp:sp modelId="{163A8E22-F7A2-4D64-8D32-2DA3660BC75A}">
      <dsp:nvSpPr>
        <dsp:cNvPr id="34" name="矩形 33" hidden="1"/>
        <dsp:cNvSpPr/>
      </dsp:nvSpPr>
      <dsp:spPr bwMode="white">
        <a:xfrm>
          <a:off x="2385009" y="2161070"/>
          <a:ext cx="238517" cy="280641"/>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2385009" y="2161070"/>
        <a:ext cx="238517" cy="280641"/>
      </dsp:txXfrm>
    </dsp:sp>
    <dsp:sp modelId="{A711F4A1-855C-4905-89D5-2B90B9237B51}">
      <dsp:nvSpPr>
        <dsp:cNvPr id="37" name="矩形 36" hidden="1"/>
        <dsp:cNvSpPr/>
      </dsp:nvSpPr>
      <dsp:spPr bwMode="white">
        <a:xfrm>
          <a:off x="2385009" y="2517773"/>
          <a:ext cx="222435" cy="282480"/>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2385009" y="2517773"/>
        <a:ext cx="222435" cy="282480"/>
      </dsp:txXfrm>
    </dsp:sp>
    <dsp:sp modelId="{4D9363E9-7434-4156-BE5F-815D569D42CE}">
      <dsp:nvSpPr>
        <dsp:cNvPr id="40" name="矩形 39" hidden="1"/>
        <dsp:cNvSpPr/>
      </dsp:nvSpPr>
      <dsp:spPr bwMode="white">
        <a:xfrm>
          <a:off x="854559" y="3216601"/>
          <a:ext cx="318822" cy="329312"/>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854559" y="3216601"/>
        <a:ext cx="318822" cy="329312"/>
      </dsp:txXfrm>
    </dsp:sp>
    <dsp:sp modelId="{A6B6F9F9-3ADF-4FE4-8E4A-3738143A3C9D}">
      <dsp:nvSpPr>
        <dsp:cNvPr id="43" name="矩形 42" hidden="1"/>
        <dsp:cNvSpPr/>
      </dsp:nvSpPr>
      <dsp:spPr bwMode="white">
        <a:xfrm>
          <a:off x="2570368" y="2876314"/>
          <a:ext cx="230518" cy="284344"/>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2570368" y="2876314"/>
        <a:ext cx="230518" cy="284344"/>
      </dsp:txXfrm>
    </dsp:sp>
    <dsp:sp modelId="{4F9E3B0F-3174-4B77-9CEA-60603980D5AE}">
      <dsp:nvSpPr>
        <dsp:cNvPr id="46" name="矩形 45" hidden="1"/>
        <dsp:cNvSpPr/>
      </dsp:nvSpPr>
      <dsp:spPr bwMode="white">
        <a:xfrm>
          <a:off x="2570368" y="3236719"/>
          <a:ext cx="229532" cy="286233"/>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2570368" y="3236719"/>
        <a:ext cx="229532" cy="286233"/>
      </dsp:txXfrm>
    </dsp:sp>
    <dsp:sp modelId="{4E46D1FB-6F5E-4518-88E3-9F5409F4A34F}">
      <dsp:nvSpPr>
        <dsp:cNvPr id="49" name="矩形 48" hidden="1"/>
        <dsp:cNvSpPr/>
      </dsp:nvSpPr>
      <dsp:spPr bwMode="white">
        <a:xfrm>
          <a:off x="2570368" y="3599013"/>
          <a:ext cx="235736" cy="287187"/>
        </a:xfrm>
        <a:prstGeom prst="rect">
          <a:avLst/>
        </a:prstGeom>
        <a:ln>
          <a:solidFill>
            <a:schemeClr val="bg1"/>
          </a:solidFill>
        </a:ln>
      </dsp:spPr>
      <dsp:style>
        <a:lnRef idx="2">
          <a:schemeClr val="dk1">
            <a:shade val="80000"/>
          </a:schemeClr>
        </a:lnRef>
        <a:fillRef idx="1">
          <a:schemeClr val="lt1"/>
        </a:fillRef>
        <a:effectRef idx="0">
          <a:scrgbClr r="0" g="0" b="0"/>
        </a:effectRef>
        <a:fontRef idx="minor">
          <a:schemeClr val="lt1"/>
        </a:fontRef>
      </dsp:style>
      <dsp:txXfrm>
        <a:off x="2570368" y="3599013"/>
        <a:ext cx="235736" cy="28718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5">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linDir" val="fromL"/>
                      <dgm:param type="chAlign" val="t"/>
                    </dgm:alg>
                  </dgm:if>
                  <dgm:else name="Name31">
                    <dgm:alg type="hierChild">
                      <dgm:param type="linDir" val="fromR"/>
                      <dgm:param type="chAlign" val="t"/>
                    </dgm:alg>
                  </dgm:else>
                </dgm:choose>
              </dgm:if>
              <dgm:if name="Name32" func="var" arg="hierBranch" op="equ" val="r">
                <dgm:choose name="Name33">
                  <dgm:if name="Name34" func="var" arg="dir" op="equ" val="norm">
                    <dgm:alg type="hierChild">
                      <dgm:param type="linDir" val="fromL"/>
                      <dgm:param type="chAlign" val="b"/>
                    </dgm:alg>
                  </dgm:if>
                  <dgm:else name="Name35">
                    <dgm:alg type="hierChild">
                      <dgm:param type="linDir" val="fromR"/>
                      <dgm:param type="chAlign" val="b"/>
                    </dgm:alg>
                  </dgm:else>
                </dgm:choose>
              </dgm:if>
              <dgm:if name="Name36" func="var" arg="hierBranch" op="equ" val="hang">
                <dgm:choose name="Name37">
                  <dgm:if name="Name38" func="var" arg="dir" op="equ" val="norm">
                    <dgm:alg type="hierChild">
                      <dgm:param type="linDir" val="fromT"/>
                      <dgm:param type="chAlign" val="l"/>
                      <dgm:param type="secLinDir" val="fromL"/>
                      <dgm:param type="secChAlign" val="t"/>
                    </dgm:alg>
                  </dgm:if>
                  <dgm:else name="Name39">
                    <dgm:alg type="hierChild">
                      <dgm:param type="linDir" val="fromT"/>
                      <dgm:param type="chAlign" val="r"/>
                      <dgm:param type="secLinDir" val="fromR"/>
                      <dgm:param type="secChAlign" val="t"/>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dim" val="1D"/>
                            <dgm:param type="endSty" val="noArr"/>
                            <dgm:param type="connRout" val="bend"/>
                            <dgm:param type="begPts" val="midR"/>
                            <dgm:param type="endPts" val="bCtr tCtr"/>
                          </dgm:alg>
                        </dgm:if>
                        <dgm:else name="Name50">
                          <dgm:alg type="conn">
                            <dgm:param type="dim" val="1D"/>
                            <dgm:param type="endSty" val="noArr"/>
                            <dgm:param type="connRout" val="bend"/>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dim" val="1D"/>
                            <dgm:param type="endSty" val="noArr"/>
                            <dgm:param type="connRout" val="bend"/>
                            <dgm:param type="begPts" val="midR"/>
                            <dgm:param type="endPts" val="tCtr"/>
                          </dgm:alg>
                        </dgm:if>
                        <dgm:else name="Name55">
                          <dgm:alg type="conn">
                            <dgm:param type="dim" val="1D"/>
                            <dgm:param type="endSty" val="noArr"/>
                            <dgm:param type="connRout" val="bend"/>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dim" val="1D"/>
                            <dgm:param type="endSty" val="noArr"/>
                            <dgm:param type="connRout" val="bend"/>
                            <dgm:param type="begPts" val="midR"/>
                            <dgm:param type="endPts" val="bCtr"/>
                          </dgm:alg>
                        </dgm:if>
                        <dgm:else name="Name60">
                          <dgm:alg type="conn">
                            <dgm:param type="dim" val="1D"/>
                            <dgm:param type="endSty" val="noArr"/>
                            <dgm:param type="connRout" val="bend"/>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dim" val="1D"/>
                            <dgm:param type="endSty" val="noArr"/>
                            <dgm:param type="connRout" val="bend"/>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dim" val="1D"/>
                            <dgm:param type="endSty" val="noArr"/>
                            <dgm:param type="connRout" val="bend"/>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linDir" val="fromL"/>
                            <dgm:param type="chAlign" val="t"/>
                          </dgm:alg>
                        </dgm:if>
                        <dgm:else name="Name93">
                          <dgm:alg type="hierChild">
                            <dgm:param type="linDir" val="fromR"/>
                            <dgm:param type="chAlign" val="t"/>
                          </dgm:alg>
                        </dgm:else>
                      </dgm:choose>
                    </dgm:if>
                    <dgm:if name="Name94" func="var" arg="hierBranch" op="equ" val="r">
                      <dgm:choose name="Name95">
                        <dgm:if name="Name96" func="var" arg="dir" op="equ" val="norm">
                          <dgm:alg type="hierChild">
                            <dgm:param type="linDir" val="fromL"/>
                            <dgm:param type="chAlign" val="b"/>
                          </dgm:alg>
                        </dgm:if>
                        <dgm:else name="Name97">
                          <dgm:alg type="hierChild">
                            <dgm:param type="linDir" val="fromR"/>
                            <dgm:param type="chAlign" val="b"/>
                          </dgm:alg>
                        </dgm:else>
                      </dgm:choose>
                    </dgm:if>
                    <dgm:if name="Name98" func="var" arg="hierBranch" op="equ" val="hang">
                      <dgm:choose name="Name99">
                        <dgm:if name="Name100" func="var" arg="dir" op="equ" val="norm">
                          <dgm:alg type="hierChild">
                            <dgm:param type="linDir" val="fromT"/>
                            <dgm:param type="chAlign" val="l"/>
                            <dgm:param type="secLinDir" val="fromL"/>
                            <dgm:param type="secChAlign" val="t"/>
                          </dgm:alg>
                        </dgm:if>
                        <dgm:else name="Name101">
                          <dgm:alg type="hierChild">
                            <dgm:param type="linDir" val="fromT"/>
                            <dgm:param type="chAlign" val="r"/>
                            <dgm:param type="secLinDir" val="fromR"/>
                            <dgm:param type="secChAlign" val="t"/>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linDir" val="fromT"/>
                        <dgm:param type="chAlign" val="l"/>
                        <dgm:param type="secLinDir" val="fromL"/>
                        <dgm:param type="secChAlign" val="t"/>
                      </dgm:alg>
                    </dgm:if>
                    <dgm:else name="Name109">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linDir" val="fromT"/>
                  <dgm:param type="chAlign" val="l"/>
                  <dgm:param type="secLinDir" val="fromL"/>
                  <dgm:param type="secChAlign" val="t"/>
                </dgm:alg>
              </dgm:if>
              <dgm:else name="Name113">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dim" val="1D"/>
                        <dgm:param type="endSty" val="noArr"/>
                        <dgm:param type="connRout" val="bend"/>
                        <dgm:param type="begPts" val="midR"/>
                        <dgm:param type="endPts" val="bCtr tCtr"/>
                      </dgm:alg>
                    </dgm:if>
                    <dgm:else name="Name118">
                      <dgm:alg type="conn">
                        <dgm:param type="dim" val="1D"/>
                        <dgm:param type="endSty" val="noArr"/>
                        <dgm:param type="connRout" val="bend"/>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linDir" val="fromL"/>
                            <dgm:param type="chAlign" val="t"/>
                          </dgm:alg>
                        </dgm:if>
                        <dgm:else name="Name145">
                          <dgm:alg type="hierChild">
                            <dgm:param type="linDir" val="fromR"/>
                            <dgm:param type="chAlign" val="t"/>
                          </dgm:alg>
                        </dgm:else>
                      </dgm:choose>
                    </dgm:if>
                    <dgm:if name="Name146" func="var" arg="hierBranch" op="equ" val="r">
                      <dgm:choose name="Name147">
                        <dgm:if name="Name148" func="var" arg="dir" op="equ" val="norm">
                          <dgm:alg type="hierChild">
                            <dgm:param type="linDir" val="fromL"/>
                            <dgm:param type="chAlign" val="b"/>
                          </dgm:alg>
                        </dgm:if>
                        <dgm:else name="Name149">
                          <dgm:alg type="hierChild">
                            <dgm:param type="linDir" val="fromR"/>
                            <dgm:param type="chAlign" val="b"/>
                          </dgm:alg>
                        </dgm:else>
                      </dgm:choose>
                    </dgm:if>
                    <dgm:if name="Name150" func="var" arg="hierBranch" op="equ" val="hang">
                      <dgm:choose name="Name151">
                        <dgm:if name="Name152" func="var" arg="dir" op="equ" val="norm">
                          <dgm:alg type="hierChild">
                            <dgm:param type="linDir" val="fromT"/>
                            <dgm:param type="chAlign" val="l"/>
                            <dgm:param type="secLinDir" val="fromL"/>
                            <dgm:param type="secChAlign" val="t"/>
                          </dgm:alg>
                        </dgm:if>
                        <dgm:else name="Name153">
                          <dgm:alg type="hierChild">
                            <dgm:param type="linDir" val="fromT"/>
                            <dgm:param type="chAlign" val="r"/>
                            <dgm:param type="secLinDir" val="fromR"/>
                            <dgm:param type="secChAlign" val="t"/>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linDir" val="fromT"/>
                        <dgm:param type="chAlign" val="l"/>
                        <dgm:param type="secLinDir" val="fromL"/>
                        <dgm:param type="secChAlign" val="t"/>
                      </dgm:alg>
                    </dgm:if>
                    <dgm:else name="Name161">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68</Pages>
  <Words>24282</Words>
  <Characters>24785</Characters>
  <Lines>227</Lines>
  <Paragraphs>64</Paragraphs>
  <TotalTime>1372</TotalTime>
  <ScaleCrop>false</ScaleCrop>
  <LinksUpToDate>false</LinksUpToDate>
  <CharactersWithSpaces>26695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2024-08-28T01:20:00Z</dcterms:created>
  <dc:creator>造价处</dc:creator>
  <cp:lastModifiedBy>工作人员</cp:lastModifiedBy>
  <cp:lastPrinted>2024-08-28T01:21:00Z</cp:lastPrinted>
  <dcterms:modified xsi:type="dcterms:W3CDTF">2024-09-05T09:42:45Z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F6D1F6FE2A6C4332833FA2DF58D98C3D</vt:lpwstr>
  </property>
</Properties>
</file>