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b/>
          <w:sz w:val="28"/>
          <w:szCs w:val="28"/>
        </w:rPr>
      </w:pPr>
      <w:bookmarkStart w:id="0" w:name="_Toc405366237"/>
      <w:bookmarkStart w:id="191" w:name="_GoBack"/>
      <w:bookmarkEnd w:id="191"/>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outlineLvl w:val="4"/>
        <w:rPr>
          <w:b/>
          <w:sz w:val="36"/>
          <w:szCs w:val="36"/>
        </w:rPr>
      </w:pPr>
      <w:r>
        <w:rPr>
          <w:b/>
          <w:sz w:val="36"/>
          <w:szCs w:val="36"/>
        </w:rPr>
        <w:t>昆明地区深基坑勘察设计规</w:t>
      </w:r>
      <w:r>
        <w:rPr>
          <w:rFonts w:hint="eastAsia"/>
          <w:b/>
          <w:sz w:val="36"/>
          <w:szCs w:val="36"/>
        </w:rPr>
        <w:t>程</w:t>
      </w:r>
    </w:p>
    <w:p>
      <w:pPr>
        <w:spacing w:line="360" w:lineRule="auto"/>
        <w:jc w:val="center"/>
        <w:rPr>
          <w:b/>
          <w:sz w:val="28"/>
          <w:szCs w:val="28"/>
        </w:rPr>
      </w:pPr>
      <w:r>
        <w:rPr>
          <w:b/>
          <w:sz w:val="28"/>
          <w:szCs w:val="28"/>
        </w:rPr>
        <w:t xml:space="preserve">Code for investigation and design of </w:t>
      </w:r>
    </w:p>
    <w:p>
      <w:pPr>
        <w:spacing w:line="360" w:lineRule="auto"/>
        <w:jc w:val="center"/>
        <w:rPr>
          <w:b/>
          <w:sz w:val="28"/>
          <w:szCs w:val="28"/>
        </w:rPr>
      </w:pPr>
      <w:r>
        <w:rPr>
          <w:b/>
          <w:sz w:val="28"/>
          <w:szCs w:val="28"/>
        </w:rPr>
        <w:t>deep foundation pit in Kunming</w:t>
      </w:r>
      <w:r>
        <w:rPr>
          <w:rFonts w:hint="eastAsia"/>
          <w:b/>
          <w:sz w:val="28"/>
          <w:szCs w:val="28"/>
        </w:rPr>
        <w:t xml:space="preserve"> </w:t>
      </w:r>
      <w:r>
        <w:rPr>
          <w:b/>
          <w:sz w:val="28"/>
          <w:szCs w:val="28"/>
        </w:rPr>
        <w:t>Area</w:t>
      </w:r>
    </w:p>
    <w:p>
      <w:pPr>
        <w:spacing w:line="360" w:lineRule="auto"/>
        <w:jc w:val="center"/>
        <w:rPr>
          <w:sz w:val="28"/>
          <w:szCs w:val="28"/>
        </w:rPr>
      </w:pPr>
    </w:p>
    <w:p>
      <w:pPr>
        <w:spacing w:line="360" w:lineRule="auto"/>
        <w:jc w:val="center"/>
        <w:rPr>
          <w:b/>
          <w:sz w:val="28"/>
          <w:szCs w:val="28"/>
        </w:rPr>
      </w:pPr>
    </w:p>
    <w:p>
      <w:pPr>
        <w:spacing w:line="360" w:lineRule="auto"/>
        <w:jc w:val="center"/>
        <w:outlineLvl w:val="4"/>
        <w:rPr>
          <w:b/>
          <w:sz w:val="28"/>
          <w:szCs w:val="28"/>
        </w:rPr>
      </w:pPr>
      <w:r>
        <w:rPr>
          <w:b/>
          <w:sz w:val="28"/>
          <w:szCs w:val="28"/>
        </w:rPr>
        <w:t>（</w:t>
      </w:r>
      <w:r>
        <w:rPr>
          <w:rFonts w:hint="eastAsia"/>
          <w:b/>
          <w:sz w:val="28"/>
          <w:szCs w:val="28"/>
        </w:rPr>
        <w:t>征求意见稿</w:t>
      </w:r>
      <w:r>
        <w:rPr>
          <w:b/>
          <w:sz w:val="28"/>
          <w:szCs w:val="28"/>
        </w:rPr>
        <w:t>）</w:t>
      </w: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r>
        <w:rPr>
          <w:rFonts w:hint="eastAsia"/>
          <w:b/>
          <w:sz w:val="28"/>
          <w:szCs w:val="28"/>
        </w:rPr>
        <w:t>2020年7月</w:t>
      </w:r>
    </w:p>
    <w:p>
      <w:pPr>
        <w:spacing w:line="360" w:lineRule="auto"/>
        <w:jc w:val="center"/>
        <w:rPr>
          <w:b/>
          <w:sz w:val="28"/>
          <w:szCs w:val="28"/>
        </w:rPr>
      </w:pPr>
    </w:p>
    <w:p>
      <w:pPr>
        <w:spacing w:line="360" w:lineRule="auto"/>
        <w:jc w:val="center"/>
        <w:rPr>
          <w:b/>
          <w:sz w:val="28"/>
          <w:szCs w:val="28"/>
        </w:rPr>
        <w:sectPr>
          <w:footerReference r:id="rId6" w:type="first"/>
          <w:headerReference r:id="rId3" w:type="default"/>
          <w:footerReference r:id="rId5" w:type="default"/>
          <w:headerReference r:id="rId4" w:type="even"/>
          <w:pgSz w:w="11907" w:h="16840"/>
          <w:pgMar w:top="1418" w:right="1134" w:bottom="1134" w:left="1701" w:header="851" w:footer="567" w:gutter="0"/>
          <w:pgNumType w:fmt="upperRoman" w:start="1"/>
          <w:cols w:space="720" w:num="1"/>
          <w:titlePg/>
          <w:docGrid w:linePitch="312" w:charSpace="0"/>
        </w:sectPr>
      </w:pPr>
    </w:p>
    <w:p>
      <w:pPr>
        <w:spacing w:line="360" w:lineRule="auto"/>
        <w:jc w:val="center"/>
        <w:rPr>
          <w:szCs w:val="21"/>
        </w:rPr>
      </w:pPr>
    </w:p>
    <w:p>
      <w:pPr>
        <w:spacing w:line="360" w:lineRule="auto"/>
        <w:ind w:firstLine="4080" w:firstLineChars="1700"/>
        <w:rPr>
          <w:bCs/>
          <w:sz w:val="24"/>
        </w:rPr>
      </w:pPr>
      <w:r>
        <w:rPr>
          <w:sz w:val="24"/>
        </w:rPr>
        <w:t>前  言</w:t>
      </w:r>
    </w:p>
    <w:p>
      <w:pPr>
        <w:spacing w:line="360" w:lineRule="auto"/>
        <w:jc w:val="center"/>
        <w:rPr>
          <w:bCs/>
          <w:sz w:val="24"/>
        </w:rPr>
      </w:pPr>
    </w:p>
    <w:p>
      <w:pPr>
        <w:spacing w:line="360" w:lineRule="auto"/>
        <w:ind w:firstLine="420" w:firstLineChars="200"/>
        <w:jc w:val="left"/>
        <w:rPr>
          <w:b/>
          <w:bCs/>
          <w:color w:val="FF0000"/>
          <w:szCs w:val="21"/>
        </w:rPr>
      </w:pPr>
      <w:r>
        <w:rPr>
          <w:szCs w:val="21"/>
        </w:rPr>
        <w:t>根据</w:t>
      </w:r>
      <w:r>
        <w:rPr>
          <w:rFonts w:hint="eastAsia"/>
          <w:szCs w:val="21"/>
        </w:rPr>
        <w:t>《云南省住房和城乡建设厅关于印发云南省</w:t>
      </w:r>
      <w:r>
        <w:rPr>
          <w:szCs w:val="21"/>
        </w:rPr>
        <w:t>201</w:t>
      </w:r>
      <w:r>
        <w:rPr>
          <w:rFonts w:hint="eastAsia"/>
          <w:szCs w:val="21"/>
        </w:rPr>
        <w:t>5年工程建设地方标准制订修订计划的通知》云建标函[</w:t>
      </w:r>
      <w:r>
        <w:rPr>
          <w:szCs w:val="21"/>
        </w:rPr>
        <w:t>201</w:t>
      </w:r>
      <w:r>
        <w:rPr>
          <w:rFonts w:hint="eastAsia"/>
          <w:szCs w:val="21"/>
        </w:rPr>
        <w:t>5]188号</w:t>
      </w:r>
      <w:r>
        <w:rPr>
          <w:szCs w:val="21"/>
        </w:rPr>
        <w:t>，</w:t>
      </w:r>
      <w:r>
        <w:rPr>
          <w:rFonts w:hint="eastAsia"/>
          <w:szCs w:val="21"/>
        </w:rPr>
        <w:t>《昆明地区深基坑勘察设计规范》的编制</w:t>
      </w:r>
      <w:r>
        <w:rPr>
          <w:szCs w:val="21"/>
        </w:rPr>
        <w:t>由西南有色昆明勘测设计（院）股份有限公司</w:t>
      </w:r>
      <w:r>
        <w:rPr>
          <w:rFonts w:hint="eastAsia"/>
          <w:szCs w:val="21"/>
        </w:rPr>
        <w:t>、昆明理工大学</w:t>
      </w:r>
      <w:r>
        <w:rPr>
          <w:szCs w:val="21"/>
        </w:rPr>
        <w:t>、云南建投第一勘察设计有限公司</w:t>
      </w:r>
      <w:r>
        <w:rPr>
          <w:rFonts w:hint="eastAsia"/>
          <w:szCs w:val="21"/>
        </w:rPr>
        <w:t>为主编，会同省内13家有关勘察、设计、科研和施工</w:t>
      </w:r>
      <w:r>
        <w:rPr>
          <w:szCs w:val="21"/>
        </w:rPr>
        <w:t>单位，经深入调查研究</w:t>
      </w:r>
      <w:r>
        <w:rPr>
          <w:rFonts w:hint="eastAsia"/>
          <w:szCs w:val="21"/>
        </w:rPr>
        <w:t>，</w:t>
      </w:r>
      <w:r>
        <w:rPr>
          <w:szCs w:val="21"/>
        </w:rPr>
        <w:t>认真总结实践经验</w:t>
      </w:r>
      <w:r>
        <w:rPr>
          <w:rFonts w:hint="eastAsia"/>
          <w:szCs w:val="21"/>
        </w:rPr>
        <w:t>，</w:t>
      </w:r>
      <w:r>
        <w:rPr>
          <w:szCs w:val="21"/>
        </w:rPr>
        <w:t>参考有关国家和地方</w:t>
      </w:r>
      <w:r>
        <w:rPr>
          <w:rFonts w:hint="eastAsia"/>
          <w:szCs w:val="21"/>
        </w:rPr>
        <w:t>现行</w:t>
      </w:r>
      <w:r>
        <w:rPr>
          <w:szCs w:val="21"/>
        </w:rPr>
        <w:t>标准，</w:t>
      </w:r>
      <w:r>
        <w:rPr>
          <w:rFonts w:hint="eastAsia"/>
          <w:szCs w:val="21"/>
        </w:rPr>
        <w:t>充分考虑昆明地区地质环境条件和岩土工程特点</w:t>
      </w:r>
      <w:r>
        <w:rPr>
          <w:szCs w:val="21"/>
        </w:rPr>
        <w:t>，编制本规</w:t>
      </w:r>
      <w:r>
        <w:rPr>
          <w:rFonts w:hint="eastAsia"/>
          <w:szCs w:val="21"/>
        </w:rPr>
        <w:t>程</w:t>
      </w:r>
      <w:r>
        <w:rPr>
          <w:szCs w:val="21"/>
        </w:rPr>
        <w:t>。</w:t>
      </w:r>
    </w:p>
    <w:p>
      <w:pPr>
        <w:spacing w:line="360" w:lineRule="auto"/>
        <w:ind w:firstLine="420" w:firstLineChars="200"/>
        <w:jc w:val="left"/>
        <w:rPr>
          <w:b/>
          <w:bCs/>
          <w:szCs w:val="21"/>
        </w:rPr>
      </w:pPr>
      <w:r>
        <w:rPr>
          <w:szCs w:val="21"/>
        </w:rPr>
        <w:t>本规</w:t>
      </w:r>
      <w:r>
        <w:rPr>
          <w:rFonts w:hint="eastAsia"/>
          <w:szCs w:val="21"/>
        </w:rPr>
        <w:t>程</w:t>
      </w:r>
      <w:r>
        <w:rPr>
          <w:szCs w:val="21"/>
        </w:rPr>
        <w:t>共有</w:t>
      </w:r>
      <w:r>
        <w:rPr>
          <w:rFonts w:hint="eastAsia"/>
          <w:szCs w:val="21"/>
        </w:rPr>
        <w:t>9</w:t>
      </w:r>
      <w:r>
        <w:rPr>
          <w:szCs w:val="21"/>
        </w:rPr>
        <w:t>章5个附录</w:t>
      </w:r>
      <w:r>
        <w:rPr>
          <w:rFonts w:hint="eastAsia"/>
          <w:szCs w:val="21"/>
        </w:rPr>
        <w:t>及条文说明</w:t>
      </w:r>
      <w:r>
        <w:rPr>
          <w:szCs w:val="21"/>
        </w:rPr>
        <w:t>，主要技术内容有：1总则、2术语和符号、3</w:t>
      </w:r>
      <w:r>
        <w:rPr>
          <w:rFonts w:hint="eastAsia"/>
          <w:szCs w:val="21"/>
        </w:rPr>
        <w:t>基本规定</w:t>
      </w:r>
      <w:r>
        <w:rPr>
          <w:szCs w:val="21"/>
        </w:rPr>
        <w:t>、4</w:t>
      </w:r>
      <w:r>
        <w:rPr>
          <w:rFonts w:hint="eastAsia"/>
          <w:szCs w:val="21"/>
        </w:rPr>
        <w:t>基坑工程勘察与周边环境调查</w:t>
      </w:r>
      <w:r>
        <w:rPr>
          <w:szCs w:val="21"/>
        </w:rPr>
        <w:t>、5</w:t>
      </w:r>
      <w:r>
        <w:rPr>
          <w:rFonts w:hint="eastAsia"/>
          <w:szCs w:val="21"/>
        </w:rPr>
        <w:t>支护设计</w:t>
      </w:r>
      <w:r>
        <w:rPr>
          <w:szCs w:val="21"/>
        </w:rPr>
        <w:t>、6特殊</w:t>
      </w:r>
      <w:r>
        <w:rPr>
          <w:rFonts w:hint="eastAsia"/>
          <w:szCs w:val="21"/>
        </w:rPr>
        <w:t>条件基坑</w:t>
      </w:r>
      <w:r>
        <w:rPr>
          <w:szCs w:val="21"/>
        </w:rPr>
        <w:t>、7</w:t>
      </w:r>
      <w:r>
        <w:rPr>
          <w:rFonts w:hint="eastAsia"/>
          <w:szCs w:val="21"/>
        </w:rPr>
        <w:t>地下水控制</w:t>
      </w:r>
      <w:r>
        <w:rPr>
          <w:szCs w:val="21"/>
        </w:rPr>
        <w:t>、8</w:t>
      </w:r>
      <w:r>
        <w:rPr>
          <w:rFonts w:hint="eastAsia"/>
          <w:szCs w:val="21"/>
        </w:rPr>
        <w:t>基坑及周边环境监测</w:t>
      </w:r>
      <w:r>
        <w:rPr>
          <w:szCs w:val="21"/>
        </w:rPr>
        <w:t>、9</w:t>
      </w:r>
      <w:r>
        <w:rPr>
          <w:rFonts w:hint="eastAsia"/>
          <w:szCs w:val="21"/>
        </w:rPr>
        <w:t>基坑工程环境保护</w:t>
      </w:r>
      <w:r>
        <w:rPr>
          <w:szCs w:val="21"/>
        </w:rPr>
        <w:t>。</w:t>
      </w:r>
    </w:p>
    <w:p>
      <w:pPr>
        <w:spacing w:line="360" w:lineRule="auto"/>
        <w:ind w:firstLine="420" w:firstLineChars="200"/>
        <w:jc w:val="left"/>
        <w:rPr>
          <w:b/>
          <w:bCs/>
          <w:szCs w:val="21"/>
        </w:rPr>
      </w:pPr>
      <w:r>
        <w:rPr>
          <w:szCs w:val="21"/>
        </w:rPr>
        <w:t>本规</w:t>
      </w:r>
      <w:r>
        <w:rPr>
          <w:rFonts w:hint="eastAsia"/>
          <w:szCs w:val="21"/>
        </w:rPr>
        <w:t>程</w:t>
      </w:r>
      <w:r>
        <w:rPr>
          <w:szCs w:val="21"/>
        </w:rPr>
        <w:t>由云南省住房和城乡建设厅负责管理，由主编单位负责具体技术内容的解释。</w:t>
      </w:r>
    </w:p>
    <w:p>
      <w:pPr>
        <w:spacing w:line="360" w:lineRule="auto"/>
        <w:ind w:firstLine="420" w:firstLineChars="200"/>
        <w:jc w:val="left"/>
        <w:rPr>
          <w:b/>
          <w:bCs/>
          <w:szCs w:val="21"/>
        </w:rPr>
      </w:pPr>
      <w:r>
        <w:rPr>
          <w:szCs w:val="21"/>
        </w:rPr>
        <w:t>为了进一步提高本规</w:t>
      </w:r>
      <w:r>
        <w:rPr>
          <w:rFonts w:hint="eastAsia"/>
          <w:szCs w:val="21"/>
        </w:rPr>
        <w:t>程</w:t>
      </w:r>
      <w:r>
        <w:rPr>
          <w:szCs w:val="21"/>
        </w:rPr>
        <w:t>的质量，请各单位在执行过程中，</w:t>
      </w:r>
      <w:r>
        <w:rPr>
          <w:rFonts w:hint="eastAsia"/>
          <w:szCs w:val="21"/>
        </w:rPr>
        <w:t>结合工程实践</w:t>
      </w:r>
      <w:r>
        <w:rPr>
          <w:szCs w:val="21"/>
        </w:rPr>
        <w:t>总结经验，积累资料，</w:t>
      </w:r>
      <w:r>
        <w:rPr>
          <w:rFonts w:hint="eastAsia"/>
          <w:szCs w:val="21"/>
        </w:rPr>
        <w:t>并将</w:t>
      </w:r>
      <w:r>
        <w:rPr>
          <w:szCs w:val="21"/>
        </w:rPr>
        <w:t>意见和建议反馈给西南有色昆明勘测设计（院）股份有限公司（地址：</w:t>
      </w:r>
      <w:r>
        <w:rPr>
          <w:rFonts w:hint="eastAsia"/>
          <w:szCs w:val="21"/>
        </w:rPr>
        <w:t>中国（云南）自由贸易试验区昆明片区</w:t>
      </w:r>
      <w:r>
        <w:rPr>
          <w:szCs w:val="21"/>
        </w:rPr>
        <w:t>经开区广玉路36号，邮编：650217，E-mail：</w:t>
      </w:r>
      <w:r>
        <w:rPr>
          <w:rFonts w:hint="eastAsia"/>
          <w:szCs w:val="21"/>
        </w:rPr>
        <w:t>xk</w:t>
      </w:r>
      <w:r>
        <w:rPr>
          <w:szCs w:val="21"/>
        </w:rPr>
        <w:t>@</w:t>
      </w:r>
      <w:r>
        <w:rPr>
          <w:rFonts w:hint="eastAsia"/>
          <w:szCs w:val="21"/>
        </w:rPr>
        <w:t>xnyskc.com</w:t>
      </w:r>
      <w:r>
        <w:rPr>
          <w:szCs w:val="21"/>
        </w:rPr>
        <w:t>），以便今后修订时参考。</w:t>
      </w:r>
    </w:p>
    <w:p>
      <w:pPr>
        <w:spacing w:line="360" w:lineRule="auto"/>
        <w:ind w:firstLine="420" w:firstLineChars="200"/>
        <w:jc w:val="left"/>
        <w:rPr>
          <w:b/>
          <w:bCs/>
          <w:szCs w:val="21"/>
        </w:rPr>
      </w:pPr>
      <w:r>
        <w:rPr>
          <w:szCs w:val="21"/>
        </w:rPr>
        <w:t>本规</w:t>
      </w:r>
      <w:r>
        <w:rPr>
          <w:rFonts w:hint="eastAsia"/>
          <w:szCs w:val="21"/>
        </w:rPr>
        <w:t>程</w:t>
      </w:r>
      <w:r>
        <w:rPr>
          <w:szCs w:val="21"/>
        </w:rPr>
        <w:t>主编单位、参编单位、主要起草人和主要审查人：</w:t>
      </w:r>
    </w:p>
    <w:p>
      <w:pPr>
        <w:spacing w:line="360" w:lineRule="auto"/>
        <w:jc w:val="left"/>
        <w:rPr>
          <w:b/>
          <w:bCs/>
          <w:szCs w:val="21"/>
        </w:rPr>
      </w:pPr>
      <w:r>
        <w:rPr>
          <w:b/>
          <w:szCs w:val="21"/>
        </w:rPr>
        <w:t>主编单位：</w:t>
      </w:r>
      <w:r>
        <w:rPr>
          <w:rFonts w:hint="eastAsia"/>
          <w:szCs w:val="21"/>
        </w:rPr>
        <w:t>西南有色昆明勘测设计（院）股份有限公司</w:t>
      </w:r>
    </w:p>
    <w:p>
      <w:pPr>
        <w:spacing w:line="360" w:lineRule="auto"/>
        <w:ind w:firstLine="1050" w:firstLineChars="500"/>
        <w:jc w:val="left"/>
        <w:rPr>
          <w:szCs w:val="21"/>
        </w:rPr>
      </w:pPr>
      <w:r>
        <w:rPr>
          <w:rFonts w:hint="eastAsia"/>
          <w:szCs w:val="21"/>
        </w:rPr>
        <w:t>昆明理工大学</w:t>
      </w:r>
    </w:p>
    <w:p>
      <w:pPr>
        <w:spacing w:line="360" w:lineRule="auto"/>
        <w:ind w:firstLine="1050" w:firstLineChars="500"/>
        <w:jc w:val="left"/>
        <w:rPr>
          <w:szCs w:val="21"/>
        </w:rPr>
      </w:pPr>
      <w:r>
        <w:rPr>
          <w:szCs w:val="21"/>
        </w:rPr>
        <w:t>云南建投第一勘察</w:t>
      </w:r>
      <w:r>
        <w:rPr>
          <w:rFonts w:hint="eastAsia"/>
          <w:szCs w:val="21"/>
        </w:rPr>
        <w:t>设计有限公司</w:t>
      </w:r>
    </w:p>
    <w:p>
      <w:pPr>
        <w:spacing w:line="360" w:lineRule="auto"/>
        <w:jc w:val="left"/>
        <w:rPr>
          <w:szCs w:val="21"/>
        </w:rPr>
      </w:pPr>
      <w:r>
        <w:rPr>
          <w:b/>
          <w:szCs w:val="21"/>
        </w:rPr>
        <w:t>参编单位：</w:t>
      </w:r>
      <w:r>
        <w:rPr>
          <w:rFonts w:hint="eastAsia"/>
          <w:szCs w:val="21"/>
        </w:rPr>
        <w:t>昆明市住房和城乡住建局勘察设计处</w:t>
      </w:r>
    </w:p>
    <w:p>
      <w:pPr>
        <w:spacing w:line="360" w:lineRule="auto"/>
        <w:ind w:firstLine="1050" w:firstLineChars="500"/>
        <w:jc w:val="left"/>
        <w:rPr>
          <w:szCs w:val="21"/>
        </w:rPr>
      </w:pPr>
      <w:r>
        <w:rPr>
          <w:szCs w:val="21"/>
        </w:rPr>
        <w:t>中</w:t>
      </w:r>
      <w:r>
        <w:rPr>
          <w:rFonts w:hint="eastAsia"/>
          <w:szCs w:val="21"/>
        </w:rPr>
        <w:t>国有色金属工业昆明勘察设计研究院有限公司</w:t>
      </w:r>
    </w:p>
    <w:p>
      <w:pPr>
        <w:spacing w:line="360" w:lineRule="auto"/>
        <w:ind w:firstLine="1050" w:firstLineChars="500"/>
        <w:jc w:val="left"/>
        <w:rPr>
          <w:szCs w:val="21"/>
        </w:rPr>
      </w:pPr>
      <w:r>
        <w:rPr>
          <w:rFonts w:hint="eastAsia"/>
          <w:szCs w:val="21"/>
        </w:rPr>
        <w:t>昆明市建筑设计研究院集团有限司</w:t>
      </w:r>
    </w:p>
    <w:p>
      <w:pPr>
        <w:spacing w:line="360" w:lineRule="auto"/>
        <w:ind w:firstLine="1050" w:firstLineChars="500"/>
        <w:jc w:val="left"/>
        <w:rPr>
          <w:szCs w:val="21"/>
        </w:rPr>
      </w:pPr>
      <w:r>
        <w:rPr>
          <w:szCs w:val="21"/>
        </w:rPr>
        <w:t>昆明军龙岩土工程有限公司</w:t>
      </w:r>
    </w:p>
    <w:p>
      <w:pPr>
        <w:spacing w:line="360" w:lineRule="auto"/>
        <w:ind w:firstLine="1050" w:firstLineChars="500"/>
        <w:jc w:val="left"/>
        <w:rPr>
          <w:szCs w:val="21"/>
        </w:rPr>
      </w:pPr>
      <w:r>
        <w:rPr>
          <w:szCs w:val="21"/>
        </w:rPr>
        <w:t>建研地基基础工程有限责任公司</w:t>
      </w:r>
      <w:r>
        <w:rPr>
          <w:rFonts w:hint="eastAsia"/>
          <w:szCs w:val="21"/>
        </w:rPr>
        <w:t>云南分公司</w:t>
      </w:r>
    </w:p>
    <w:p>
      <w:pPr>
        <w:spacing w:line="360" w:lineRule="auto"/>
        <w:ind w:firstLine="1050" w:firstLineChars="500"/>
        <w:jc w:val="left"/>
        <w:rPr>
          <w:szCs w:val="21"/>
        </w:rPr>
      </w:pPr>
      <w:r>
        <w:rPr>
          <w:rFonts w:hint="eastAsia"/>
          <w:szCs w:val="21"/>
        </w:rPr>
        <w:t>昆明恒基施工图设计文件审查中心</w:t>
      </w:r>
    </w:p>
    <w:p>
      <w:pPr>
        <w:spacing w:line="360" w:lineRule="auto"/>
        <w:ind w:firstLine="1050" w:firstLineChars="500"/>
        <w:jc w:val="left"/>
        <w:rPr>
          <w:szCs w:val="21"/>
        </w:rPr>
      </w:pPr>
      <w:r>
        <w:rPr>
          <w:rFonts w:hint="eastAsia"/>
          <w:szCs w:val="21"/>
        </w:rPr>
        <w:t>中铁二院昆明勘察设计研究院有限责任公司</w:t>
      </w:r>
    </w:p>
    <w:p>
      <w:pPr>
        <w:spacing w:line="360" w:lineRule="auto"/>
        <w:ind w:firstLine="1050" w:firstLineChars="500"/>
        <w:jc w:val="left"/>
        <w:rPr>
          <w:szCs w:val="21"/>
        </w:rPr>
      </w:pPr>
      <w:r>
        <w:rPr>
          <w:rFonts w:hint="eastAsia"/>
          <w:szCs w:val="21"/>
        </w:rPr>
        <w:t>昆明建设咨询监理有限公司</w:t>
      </w:r>
    </w:p>
    <w:p>
      <w:pPr>
        <w:spacing w:line="360" w:lineRule="auto"/>
        <w:ind w:firstLine="1050" w:firstLineChars="500"/>
        <w:jc w:val="left"/>
        <w:rPr>
          <w:szCs w:val="21"/>
        </w:rPr>
      </w:pPr>
      <w:r>
        <w:rPr>
          <w:szCs w:val="21"/>
        </w:rPr>
        <w:t>云南</w:t>
      </w:r>
      <w:r>
        <w:rPr>
          <w:rFonts w:hint="eastAsia"/>
          <w:szCs w:val="21"/>
        </w:rPr>
        <w:t>安泰</w:t>
      </w:r>
      <w:r>
        <w:rPr>
          <w:szCs w:val="21"/>
        </w:rPr>
        <w:t>兴滇建筑设计有限公司</w:t>
      </w:r>
    </w:p>
    <w:p>
      <w:pPr>
        <w:spacing w:line="360" w:lineRule="auto"/>
        <w:ind w:firstLine="1050" w:firstLineChars="500"/>
        <w:jc w:val="left"/>
        <w:rPr>
          <w:rFonts w:hint="eastAsia"/>
          <w:szCs w:val="21"/>
        </w:rPr>
      </w:pPr>
      <w:r>
        <w:rPr>
          <w:rFonts w:hint="eastAsia"/>
          <w:szCs w:val="21"/>
        </w:rPr>
        <w:t>昆明市建设工程质量检测中心</w:t>
      </w:r>
    </w:p>
    <w:p>
      <w:pPr>
        <w:spacing w:line="360" w:lineRule="auto"/>
        <w:jc w:val="left"/>
        <w:rPr>
          <w:rFonts w:hint="eastAsia"/>
          <w:szCs w:val="21"/>
        </w:rPr>
      </w:pPr>
      <w:r>
        <w:rPr>
          <w:b/>
          <w:szCs w:val="21"/>
        </w:rPr>
        <w:t>主要起草人：</w:t>
      </w:r>
      <w:r>
        <w:rPr>
          <w:rFonts w:hint="eastAsia"/>
          <w:szCs w:val="21"/>
        </w:rPr>
        <w:t>（名单另附）</w:t>
      </w:r>
    </w:p>
    <w:p>
      <w:pPr>
        <w:spacing w:line="360" w:lineRule="auto"/>
        <w:jc w:val="left"/>
        <w:rPr>
          <w:rFonts w:hint="eastAsia"/>
          <w:b/>
          <w:szCs w:val="21"/>
        </w:rPr>
      </w:pPr>
    </w:p>
    <w:p>
      <w:pPr>
        <w:spacing w:line="360" w:lineRule="auto"/>
        <w:jc w:val="left"/>
        <w:rPr>
          <w:b/>
          <w:szCs w:val="21"/>
        </w:rPr>
      </w:pPr>
      <w:r>
        <w:rPr>
          <w:b/>
          <w:szCs w:val="21"/>
        </w:rPr>
        <w:t>主要审查人员：</w:t>
      </w:r>
      <w:r>
        <w:rPr>
          <w:rFonts w:hint="eastAsia"/>
          <w:szCs w:val="21"/>
        </w:rPr>
        <w:t>（名单另附）</w:t>
      </w:r>
    </w:p>
    <w:p>
      <w:pPr>
        <w:spacing w:line="360" w:lineRule="auto"/>
        <w:jc w:val="center"/>
        <w:rPr>
          <w:b/>
          <w:sz w:val="28"/>
          <w:szCs w:val="28"/>
        </w:rPr>
      </w:pPr>
    </w:p>
    <w:p>
      <w:pPr>
        <w:spacing w:line="360" w:lineRule="auto"/>
        <w:jc w:val="center"/>
        <w:rPr>
          <w:b/>
          <w:sz w:val="28"/>
          <w:szCs w:val="28"/>
        </w:rPr>
        <w:sectPr>
          <w:pgSz w:w="11907" w:h="16840"/>
          <w:pgMar w:top="1418" w:right="1134" w:bottom="1134" w:left="1701" w:header="851" w:footer="567" w:gutter="0"/>
          <w:pgNumType w:start="1"/>
          <w:cols w:space="720" w:num="1"/>
          <w:titlePg/>
          <w:docGrid w:linePitch="312" w:charSpace="0"/>
        </w:sectPr>
      </w:pPr>
    </w:p>
    <w:p>
      <w:pPr>
        <w:spacing w:line="360" w:lineRule="auto"/>
        <w:jc w:val="center"/>
        <w:outlineLvl w:val="4"/>
        <w:rPr>
          <w:b/>
          <w:sz w:val="28"/>
          <w:szCs w:val="28"/>
        </w:rPr>
      </w:pPr>
      <w:r>
        <w:rPr>
          <w:b/>
          <w:sz w:val="28"/>
          <w:szCs w:val="28"/>
        </w:rPr>
        <w:t xml:space="preserve">目 </w:t>
      </w:r>
      <w:r>
        <w:rPr>
          <w:rFonts w:hint="eastAsia"/>
          <w:b/>
          <w:sz w:val="28"/>
          <w:szCs w:val="28"/>
        </w:rPr>
        <w:t>次</w:t>
      </w:r>
    </w:p>
    <w:p>
      <w:pPr>
        <w:pStyle w:val="22"/>
        <w:ind w:firstLine="0"/>
        <w:rPr>
          <w:rStyle w:val="34"/>
          <w:b w:val="0"/>
        </w:rPr>
      </w:pPr>
      <w:r>
        <w:rPr>
          <w:b w:val="0"/>
        </w:rPr>
        <w:fldChar w:fldCharType="begin"/>
      </w:r>
      <w:r>
        <w:rPr>
          <w:b w:val="0"/>
        </w:rPr>
        <w:instrText xml:space="preserve"> TOC \o "1-2" \h \z \u </w:instrText>
      </w:r>
      <w:r>
        <w:rPr>
          <w:b w:val="0"/>
        </w:rPr>
        <w:fldChar w:fldCharType="separate"/>
      </w:r>
      <w:r>
        <w:fldChar w:fldCharType="begin"/>
      </w:r>
      <w:r>
        <w:instrText xml:space="preserve"> HYPERLINK \l "_Toc87018315" </w:instrText>
      </w:r>
      <w:r>
        <w:fldChar w:fldCharType="separate"/>
      </w:r>
      <w:r>
        <w:rPr>
          <w:rStyle w:val="34"/>
          <w:b w:val="0"/>
        </w:rPr>
        <w:t xml:space="preserve">1  </w:t>
      </w:r>
      <w:r>
        <w:rPr>
          <w:rStyle w:val="34"/>
          <w:rFonts w:hint="eastAsia"/>
          <w:b w:val="0"/>
        </w:rPr>
        <w:t>总则</w:t>
      </w:r>
      <w:r>
        <w:rPr>
          <w:rStyle w:val="34"/>
          <w:b w:val="0"/>
        </w:rPr>
        <w:tab/>
      </w:r>
      <w:r>
        <w:rPr>
          <w:rStyle w:val="34"/>
          <w:b w:val="0"/>
        </w:rPr>
        <w:fldChar w:fldCharType="begin"/>
      </w:r>
      <w:r>
        <w:rPr>
          <w:rStyle w:val="34"/>
          <w:b w:val="0"/>
        </w:rPr>
        <w:instrText xml:space="preserve"> PAGEREF _Toc87018315 \h </w:instrText>
      </w:r>
      <w:r>
        <w:rPr>
          <w:rStyle w:val="34"/>
          <w:b w:val="0"/>
        </w:rPr>
        <w:fldChar w:fldCharType="separate"/>
      </w:r>
      <w:r>
        <w:rPr>
          <w:rStyle w:val="34"/>
          <w:b w:val="0"/>
        </w:rPr>
        <w:t>1</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"_Toc87018316" </w:instrText>
      </w:r>
      <w:r>
        <w:fldChar w:fldCharType="separate"/>
      </w:r>
      <w:r>
        <w:rPr>
          <w:rStyle w:val="34"/>
          <w:b w:val="0"/>
        </w:rPr>
        <w:t xml:space="preserve">2  </w:t>
      </w:r>
      <w:r>
        <w:rPr>
          <w:rStyle w:val="34"/>
          <w:rFonts w:hint="eastAsia"/>
          <w:b w:val="0"/>
        </w:rPr>
        <w:t>术语和符号</w:t>
      </w:r>
      <w:r>
        <w:rPr>
          <w:rStyle w:val="34"/>
          <w:b w:val="0"/>
        </w:rPr>
        <w:tab/>
      </w:r>
      <w:r>
        <w:rPr>
          <w:rStyle w:val="34"/>
          <w:b w:val="0"/>
        </w:rPr>
        <w:fldChar w:fldCharType="begin"/>
      </w:r>
      <w:r>
        <w:rPr>
          <w:rStyle w:val="34"/>
          <w:b w:val="0"/>
        </w:rPr>
        <w:instrText xml:space="preserve"> PAGEREF _Toc87018316 \h </w:instrText>
      </w:r>
      <w:r>
        <w:rPr>
          <w:rStyle w:val="34"/>
          <w:b w:val="0"/>
        </w:rPr>
        <w:fldChar w:fldCharType="separate"/>
      </w:r>
      <w:r>
        <w:rPr>
          <w:rStyle w:val="34"/>
          <w:b w:val="0"/>
        </w:rPr>
        <w:t>2</w:t>
      </w:r>
      <w:r>
        <w:rPr>
          <w:rStyle w:val="34"/>
          <w:b w:val="0"/>
        </w:rPr>
        <w:fldChar w:fldCharType="end"/>
      </w:r>
      <w:r>
        <w:rPr>
          <w:rStyle w:val="34"/>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"_Toc87018317" </w:instrText>
      </w:r>
      <w:r>
        <w:fldChar w:fldCharType="separate"/>
      </w:r>
      <w:r>
        <w:rPr>
          <w:rStyle w:val="34"/>
          <w:b w:val="0"/>
        </w:rPr>
        <w:t xml:space="preserve">2.1  </w:t>
      </w:r>
      <w:r>
        <w:rPr>
          <w:rStyle w:val="34"/>
          <w:rFonts w:hint="eastAsia"/>
          <w:b w:val="0"/>
        </w:rPr>
        <w:t>术语</w:t>
      </w:r>
      <w:r>
        <w:rPr>
          <w:b w:val="0"/>
        </w:rPr>
        <w:tab/>
      </w:r>
      <w:r>
        <w:rPr>
          <w:b w:val="0"/>
        </w:rPr>
        <w:fldChar w:fldCharType="begin"/>
      </w:r>
      <w:r>
        <w:rPr>
          <w:b w:val="0"/>
        </w:rPr>
        <w:instrText xml:space="preserve"> PAGEREF _Toc87018317 \h </w:instrText>
      </w:r>
      <w:r>
        <w:rPr>
          <w:b w:val="0"/>
        </w:rPr>
        <w:fldChar w:fldCharType="separate"/>
      </w:r>
      <w:r>
        <w:rPr>
          <w:b w:val="0"/>
        </w:rPr>
        <w:t>2</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"_Toc87018318" </w:instrText>
      </w:r>
      <w:r>
        <w:fldChar w:fldCharType="separate"/>
      </w:r>
      <w:r>
        <w:rPr>
          <w:rStyle w:val="34"/>
          <w:b w:val="0"/>
        </w:rPr>
        <w:t xml:space="preserve">2.2  </w:t>
      </w:r>
      <w:r>
        <w:rPr>
          <w:rStyle w:val="34"/>
          <w:rFonts w:hint="eastAsia"/>
          <w:b w:val="0"/>
        </w:rPr>
        <w:t>符号</w:t>
      </w:r>
      <w:r>
        <w:rPr>
          <w:b w:val="0"/>
        </w:rPr>
        <w:tab/>
      </w:r>
      <w:r>
        <w:rPr>
          <w:b w:val="0"/>
        </w:rPr>
        <w:fldChar w:fldCharType="begin"/>
      </w:r>
      <w:r>
        <w:rPr>
          <w:b w:val="0"/>
        </w:rPr>
        <w:instrText xml:space="preserve"> PAGEREF _Toc87018318 \h </w:instrText>
      </w:r>
      <w:r>
        <w:rPr>
          <w:b w:val="0"/>
        </w:rPr>
        <w:fldChar w:fldCharType="separate"/>
      </w:r>
      <w:r>
        <w:rPr>
          <w:b w:val="0"/>
        </w:rPr>
        <w:t>4</w:t>
      </w:r>
      <w:r>
        <w:rPr>
          <w:b w:val="0"/>
        </w:rPr>
        <w:fldChar w:fldCharType="end"/>
      </w:r>
      <w:r>
        <w:rPr>
          <w:b w:val="0"/>
        </w:rPr>
        <w:fldChar w:fldCharType="end"/>
      </w:r>
    </w:p>
    <w:p>
      <w:pPr>
        <w:pStyle w:val="22"/>
        <w:ind w:firstLine="0"/>
        <w:rPr>
          <w:rStyle w:val="34"/>
          <w:b w:val="0"/>
        </w:rPr>
      </w:pPr>
      <w:r>
        <w:fldChar w:fldCharType="begin"/>
      </w:r>
      <w:r>
        <w:instrText xml:space="preserve"> HYPERLINK \l "_Toc87018319" </w:instrText>
      </w:r>
      <w:r>
        <w:fldChar w:fldCharType="separate"/>
      </w:r>
      <w:r>
        <w:rPr>
          <w:rStyle w:val="34"/>
          <w:b w:val="0"/>
        </w:rPr>
        <w:t xml:space="preserve">3  </w:t>
      </w:r>
      <w:r>
        <w:rPr>
          <w:rStyle w:val="34"/>
          <w:rFonts w:hint="eastAsia"/>
          <w:b w:val="0"/>
        </w:rPr>
        <w:t>基本规定</w:t>
      </w:r>
      <w:r>
        <w:rPr>
          <w:rStyle w:val="34"/>
          <w:b w:val="0"/>
        </w:rPr>
        <w:tab/>
      </w:r>
      <w:r>
        <w:rPr>
          <w:rStyle w:val="34"/>
          <w:b w:val="0"/>
        </w:rPr>
        <w:fldChar w:fldCharType="begin"/>
      </w:r>
      <w:r>
        <w:rPr>
          <w:rStyle w:val="34"/>
          <w:b w:val="0"/>
        </w:rPr>
        <w:instrText xml:space="preserve"> PAGEREF _Toc87018319 \h </w:instrText>
      </w:r>
      <w:r>
        <w:rPr>
          <w:rStyle w:val="34"/>
          <w:b w:val="0"/>
        </w:rPr>
        <w:fldChar w:fldCharType="separate"/>
      </w:r>
      <w:r>
        <w:rPr>
          <w:rStyle w:val="34"/>
          <w:b w:val="0"/>
        </w:rPr>
        <w:t>7</w:t>
      </w:r>
      <w:r>
        <w:rPr>
          <w:rStyle w:val="34"/>
          <w:b w:val="0"/>
        </w:rPr>
        <w:fldChar w:fldCharType="end"/>
      </w:r>
      <w:r>
        <w:rPr>
          <w:rStyle w:val="34"/>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"_Toc87018320" </w:instrText>
      </w:r>
      <w:r>
        <w:fldChar w:fldCharType="separate"/>
      </w:r>
      <w:r>
        <w:rPr>
          <w:rStyle w:val="34"/>
          <w:b w:val="0"/>
        </w:rPr>
        <w:t xml:space="preserve">3.1  </w:t>
      </w:r>
      <w:r>
        <w:rPr>
          <w:rStyle w:val="34"/>
          <w:rFonts w:hint="eastAsia"/>
          <w:b w:val="0"/>
        </w:rPr>
        <w:t>勘察与环境调查</w:t>
      </w:r>
      <w:r>
        <w:rPr>
          <w:b w:val="0"/>
        </w:rPr>
        <w:tab/>
      </w:r>
      <w:r>
        <w:rPr>
          <w:b w:val="0"/>
        </w:rPr>
        <w:fldChar w:fldCharType="begin"/>
      </w:r>
      <w:r>
        <w:rPr>
          <w:b w:val="0"/>
        </w:rPr>
        <w:instrText xml:space="preserve"> PAGEREF _Toc87018320 \h </w:instrText>
      </w:r>
      <w:r>
        <w:rPr>
          <w:b w:val="0"/>
        </w:rPr>
        <w:fldChar w:fldCharType="separate"/>
      </w:r>
      <w:r>
        <w:rPr>
          <w:b w:val="0"/>
        </w:rPr>
        <w:t>7</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"_Toc87018321" </w:instrText>
      </w:r>
      <w:r>
        <w:fldChar w:fldCharType="separate"/>
      </w:r>
      <w:r>
        <w:rPr>
          <w:rStyle w:val="34"/>
          <w:b w:val="0"/>
        </w:rPr>
        <w:t xml:space="preserve">3.2  </w:t>
      </w:r>
      <w:r>
        <w:rPr>
          <w:rStyle w:val="34"/>
          <w:rFonts w:hint="eastAsia"/>
          <w:b w:val="0"/>
        </w:rPr>
        <w:t>设计原则</w:t>
      </w:r>
      <w:r>
        <w:rPr>
          <w:b w:val="0"/>
        </w:rPr>
        <w:tab/>
      </w:r>
      <w:r>
        <w:rPr>
          <w:b w:val="0"/>
        </w:rPr>
        <w:fldChar w:fldCharType="begin"/>
      </w:r>
      <w:r>
        <w:rPr>
          <w:b w:val="0"/>
        </w:rPr>
        <w:instrText xml:space="preserve"> PAGEREF _Toc87018321 \h </w:instrText>
      </w:r>
      <w:r>
        <w:rPr>
          <w:b w:val="0"/>
        </w:rPr>
        <w:fldChar w:fldCharType="separate"/>
      </w:r>
      <w:r>
        <w:rPr>
          <w:b w:val="0"/>
        </w:rPr>
        <w:t>7</w:t>
      </w:r>
      <w:r>
        <w:rPr>
          <w:b w:val="0"/>
        </w:rPr>
        <w:fldChar w:fldCharType="end"/>
      </w:r>
      <w:r>
        <w:rPr>
          <w:b w:val="0"/>
        </w:rPr>
        <w:fldChar w:fldCharType="end"/>
      </w:r>
    </w:p>
    <w:p>
      <w:pPr>
        <w:pStyle w:val="22"/>
        <w:ind w:firstLine="0"/>
        <w:rPr>
          <w:rStyle w:val="34"/>
          <w:b w:val="0"/>
        </w:rPr>
      </w:pPr>
      <w:r>
        <w:fldChar w:fldCharType="begin"/>
      </w:r>
      <w:r>
        <w:instrText xml:space="preserve"> HYPERLINK \l "_Toc87018322" </w:instrText>
      </w:r>
      <w:r>
        <w:fldChar w:fldCharType="separate"/>
      </w:r>
      <w:r>
        <w:rPr>
          <w:rStyle w:val="34"/>
          <w:b w:val="0"/>
        </w:rPr>
        <w:t xml:space="preserve">4  </w:t>
      </w:r>
      <w:r>
        <w:rPr>
          <w:rStyle w:val="34"/>
          <w:rFonts w:hint="eastAsia"/>
          <w:b w:val="0"/>
        </w:rPr>
        <w:t>基坑工程勘察与周边环境调查</w:t>
      </w:r>
      <w:r>
        <w:rPr>
          <w:rStyle w:val="34"/>
          <w:b w:val="0"/>
        </w:rPr>
        <w:tab/>
      </w:r>
      <w:r>
        <w:rPr>
          <w:rStyle w:val="34"/>
          <w:b w:val="0"/>
        </w:rPr>
        <w:fldChar w:fldCharType="begin"/>
      </w:r>
      <w:r>
        <w:rPr>
          <w:rStyle w:val="34"/>
          <w:b w:val="0"/>
        </w:rPr>
        <w:instrText xml:space="preserve"> PAGEREF _Toc87018322 \h </w:instrText>
      </w:r>
      <w:r>
        <w:rPr>
          <w:rStyle w:val="34"/>
          <w:b w:val="0"/>
        </w:rPr>
        <w:fldChar w:fldCharType="separate"/>
      </w:r>
      <w:r>
        <w:rPr>
          <w:rStyle w:val="34"/>
          <w:b w:val="0"/>
        </w:rPr>
        <w:t>12</w:t>
      </w:r>
      <w:r>
        <w:rPr>
          <w:rStyle w:val="34"/>
          <w:b w:val="0"/>
        </w:rPr>
        <w:fldChar w:fldCharType="end"/>
      </w:r>
      <w:r>
        <w:rPr>
          <w:rStyle w:val="34"/>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"_Toc87018323" </w:instrText>
      </w:r>
      <w:r>
        <w:fldChar w:fldCharType="separate"/>
      </w:r>
      <w:r>
        <w:rPr>
          <w:rStyle w:val="34"/>
          <w:b w:val="0"/>
        </w:rPr>
        <w:t xml:space="preserve">4.1  </w:t>
      </w:r>
      <w:r>
        <w:rPr>
          <w:rStyle w:val="34"/>
          <w:rFonts w:hint="eastAsia"/>
          <w:b w:val="0"/>
        </w:rPr>
        <w:t>一般规定</w:t>
      </w:r>
      <w:r>
        <w:rPr>
          <w:b w:val="0"/>
        </w:rPr>
        <w:tab/>
      </w:r>
      <w:r>
        <w:rPr>
          <w:b w:val="0"/>
        </w:rPr>
        <w:fldChar w:fldCharType="begin"/>
      </w:r>
      <w:r>
        <w:rPr>
          <w:b w:val="0"/>
        </w:rPr>
        <w:instrText xml:space="preserve"> PAGEREF _Toc87018323 \h </w:instrText>
      </w:r>
      <w:r>
        <w:rPr>
          <w:b w:val="0"/>
        </w:rPr>
        <w:fldChar w:fldCharType="separate"/>
      </w:r>
      <w:r>
        <w:rPr>
          <w:b w:val="0"/>
        </w:rPr>
        <w:t>12</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"_Toc87018324" </w:instrText>
      </w:r>
      <w:r>
        <w:fldChar w:fldCharType="separate"/>
      </w:r>
      <w:r>
        <w:rPr>
          <w:rStyle w:val="34"/>
          <w:b w:val="0"/>
        </w:rPr>
        <w:t xml:space="preserve">4.2  </w:t>
      </w:r>
      <w:r>
        <w:rPr>
          <w:rStyle w:val="34"/>
          <w:rFonts w:hint="eastAsia"/>
          <w:b w:val="0"/>
        </w:rPr>
        <w:t>周边环境调查</w:t>
      </w:r>
      <w:r>
        <w:rPr>
          <w:b w:val="0"/>
        </w:rPr>
        <w:tab/>
      </w:r>
      <w:r>
        <w:rPr>
          <w:b w:val="0"/>
        </w:rPr>
        <w:fldChar w:fldCharType="begin"/>
      </w:r>
      <w:r>
        <w:rPr>
          <w:b w:val="0"/>
        </w:rPr>
        <w:instrText xml:space="preserve"> PAGEREF _Toc87018324 \h </w:instrText>
      </w:r>
      <w:r>
        <w:rPr>
          <w:b w:val="0"/>
        </w:rPr>
        <w:fldChar w:fldCharType="separate"/>
      </w:r>
      <w:r>
        <w:rPr>
          <w:b w:val="0"/>
        </w:rPr>
        <w:t>12</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"_Toc87018325" </w:instrText>
      </w:r>
      <w:r>
        <w:fldChar w:fldCharType="separate"/>
      </w:r>
      <w:r>
        <w:rPr>
          <w:rStyle w:val="34"/>
          <w:b w:val="0"/>
        </w:rPr>
        <w:t xml:space="preserve">4.3  </w:t>
      </w:r>
      <w:r>
        <w:rPr>
          <w:rStyle w:val="34"/>
          <w:rFonts w:hint="eastAsia"/>
          <w:b w:val="0"/>
        </w:rPr>
        <w:t>勘察</w:t>
      </w:r>
      <w:r>
        <w:rPr>
          <w:b w:val="0"/>
        </w:rPr>
        <w:tab/>
      </w:r>
      <w:r>
        <w:rPr>
          <w:b w:val="0"/>
        </w:rPr>
        <w:fldChar w:fldCharType="begin"/>
      </w:r>
      <w:r>
        <w:rPr>
          <w:b w:val="0"/>
        </w:rPr>
        <w:instrText xml:space="preserve"> PAGEREF _Toc87018325 \h </w:instrText>
      </w:r>
      <w:r>
        <w:rPr>
          <w:b w:val="0"/>
        </w:rPr>
        <w:fldChar w:fldCharType="separate"/>
      </w:r>
      <w:r>
        <w:rPr>
          <w:b w:val="0"/>
        </w:rPr>
        <w:t>13</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"_Toc87018326" </w:instrText>
      </w:r>
      <w:r>
        <w:fldChar w:fldCharType="separate"/>
      </w:r>
      <w:r>
        <w:rPr>
          <w:rStyle w:val="34"/>
          <w:b w:val="0"/>
        </w:rPr>
        <w:t xml:space="preserve">4.4  </w:t>
      </w:r>
      <w:r>
        <w:rPr>
          <w:rStyle w:val="34"/>
          <w:rFonts w:hint="eastAsia"/>
          <w:b w:val="0"/>
        </w:rPr>
        <w:t>样品采取与室内试验</w:t>
      </w:r>
      <w:r>
        <w:rPr>
          <w:b w:val="0"/>
        </w:rPr>
        <w:tab/>
      </w:r>
      <w:r>
        <w:rPr>
          <w:b w:val="0"/>
        </w:rPr>
        <w:fldChar w:fldCharType="begin"/>
      </w:r>
      <w:r>
        <w:rPr>
          <w:b w:val="0"/>
        </w:rPr>
        <w:instrText xml:space="preserve"> PAGEREF _Toc87018326 \h </w:instrText>
      </w:r>
      <w:r>
        <w:rPr>
          <w:b w:val="0"/>
        </w:rPr>
        <w:fldChar w:fldCharType="separate"/>
      </w:r>
      <w:r>
        <w:rPr>
          <w:b w:val="0"/>
        </w:rPr>
        <w:t>15</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"_Toc87018327" </w:instrText>
      </w:r>
      <w:r>
        <w:fldChar w:fldCharType="separate"/>
      </w:r>
      <w:r>
        <w:rPr>
          <w:rStyle w:val="34"/>
          <w:b w:val="0"/>
        </w:rPr>
        <w:t xml:space="preserve">4.5  </w:t>
      </w:r>
      <w:r>
        <w:rPr>
          <w:rStyle w:val="34"/>
          <w:rFonts w:hint="eastAsia"/>
          <w:b w:val="0"/>
        </w:rPr>
        <w:t>原位测试</w:t>
      </w:r>
      <w:r>
        <w:rPr>
          <w:b w:val="0"/>
        </w:rPr>
        <w:tab/>
      </w:r>
      <w:r>
        <w:rPr>
          <w:b w:val="0"/>
        </w:rPr>
        <w:fldChar w:fldCharType="begin"/>
      </w:r>
      <w:r>
        <w:rPr>
          <w:b w:val="0"/>
        </w:rPr>
        <w:instrText xml:space="preserve"> PAGEREF _Toc87018327 \h </w:instrText>
      </w:r>
      <w:r>
        <w:rPr>
          <w:b w:val="0"/>
        </w:rPr>
        <w:fldChar w:fldCharType="separate"/>
      </w:r>
      <w:r>
        <w:rPr>
          <w:b w:val="0"/>
        </w:rPr>
        <w:t>15</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"_Toc87018328" </w:instrText>
      </w:r>
      <w:r>
        <w:fldChar w:fldCharType="separate"/>
      </w:r>
      <w:r>
        <w:rPr>
          <w:rStyle w:val="34"/>
          <w:b w:val="0"/>
        </w:rPr>
        <w:t xml:space="preserve">4.6  </w:t>
      </w:r>
      <w:r>
        <w:rPr>
          <w:rStyle w:val="34"/>
          <w:rFonts w:hint="eastAsia"/>
          <w:b w:val="0"/>
        </w:rPr>
        <w:t>水文地质</w:t>
      </w:r>
      <w:r>
        <w:rPr>
          <w:b w:val="0"/>
        </w:rPr>
        <w:tab/>
      </w:r>
      <w:r>
        <w:rPr>
          <w:b w:val="0"/>
        </w:rPr>
        <w:fldChar w:fldCharType="begin"/>
      </w:r>
      <w:r>
        <w:rPr>
          <w:b w:val="0"/>
        </w:rPr>
        <w:instrText xml:space="preserve"> PAGEREF _Toc87018328 \h </w:instrText>
      </w:r>
      <w:r>
        <w:rPr>
          <w:b w:val="0"/>
        </w:rPr>
        <w:fldChar w:fldCharType="separate"/>
      </w:r>
      <w:r>
        <w:rPr>
          <w:b w:val="0"/>
        </w:rPr>
        <w:t>16</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"_Toc87018329" </w:instrText>
      </w:r>
      <w:r>
        <w:fldChar w:fldCharType="separate"/>
      </w:r>
      <w:r>
        <w:rPr>
          <w:rStyle w:val="34"/>
          <w:b w:val="0"/>
        </w:rPr>
        <w:t xml:space="preserve">4.7  </w:t>
      </w:r>
      <w:r>
        <w:rPr>
          <w:rStyle w:val="34"/>
          <w:rFonts w:hint="eastAsia"/>
          <w:b w:val="0"/>
        </w:rPr>
        <w:t>基坑稳定性分析评价</w:t>
      </w:r>
      <w:r>
        <w:rPr>
          <w:b w:val="0"/>
        </w:rPr>
        <w:tab/>
      </w:r>
      <w:r>
        <w:rPr>
          <w:b w:val="0"/>
        </w:rPr>
        <w:fldChar w:fldCharType="begin"/>
      </w:r>
      <w:r>
        <w:rPr>
          <w:b w:val="0"/>
        </w:rPr>
        <w:instrText xml:space="preserve"> PAGEREF _Toc87018329 \h </w:instrText>
      </w:r>
      <w:r>
        <w:rPr>
          <w:b w:val="0"/>
        </w:rPr>
        <w:fldChar w:fldCharType="separate"/>
      </w:r>
      <w:r>
        <w:rPr>
          <w:b w:val="0"/>
        </w:rPr>
        <w:t>16</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"_Toc87018330" </w:instrText>
      </w:r>
      <w:r>
        <w:fldChar w:fldCharType="separate"/>
      </w:r>
      <w:r>
        <w:rPr>
          <w:rStyle w:val="34"/>
          <w:b w:val="0"/>
        </w:rPr>
        <w:t xml:space="preserve">4.8  </w:t>
      </w:r>
      <w:r>
        <w:rPr>
          <w:rStyle w:val="34"/>
          <w:rFonts w:hint="eastAsia"/>
          <w:b w:val="0"/>
        </w:rPr>
        <w:t>勘察成果</w:t>
      </w:r>
      <w:r>
        <w:rPr>
          <w:b w:val="0"/>
        </w:rPr>
        <w:tab/>
      </w:r>
      <w:r>
        <w:rPr>
          <w:b w:val="0"/>
        </w:rPr>
        <w:fldChar w:fldCharType="begin"/>
      </w:r>
      <w:r>
        <w:rPr>
          <w:b w:val="0"/>
        </w:rPr>
        <w:instrText xml:space="preserve"> PAGEREF _Toc87018330 \h </w:instrText>
      </w:r>
      <w:r>
        <w:rPr>
          <w:b w:val="0"/>
        </w:rPr>
        <w:fldChar w:fldCharType="separate"/>
      </w:r>
      <w:r>
        <w:rPr>
          <w:b w:val="0"/>
        </w:rPr>
        <w:t>16</w:t>
      </w:r>
      <w:r>
        <w:rPr>
          <w:b w:val="0"/>
        </w:rPr>
        <w:fldChar w:fldCharType="end"/>
      </w:r>
      <w:r>
        <w:rPr>
          <w:b w:val="0"/>
        </w:rPr>
        <w:fldChar w:fldCharType="end"/>
      </w:r>
    </w:p>
    <w:p>
      <w:pPr>
        <w:pStyle w:val="22"/>
        <w:ind w:firstLine="0"/>
        <w:rPr>
          <w:rStyle w:val="34"/>
          <w:b w:val="0"/>
        </w:rPr>
      </w:pPr>
      <w:r>
        <w:fldChar w:fldCharType="begin"/>
      </w:r>
      <w:r>
        <w:instrText xml:space="preserve"> HYPERLINK \l "_Toc87018331" </w:instrText>
      </w:r>
      <w:r>
        <w:fldChar w:fldCharType="separate"/>
      </w:r>
      <w:r>
        <w:rPr>
          <w:rStyle w:val="34"/>
          <w:b w:val="0"/>
        </w:rPr>
        <w:t xml:space="preserve">5  </w:t>
      </w:r>
      <w:r>
        <w:rPr>
          <w:rStyle w:val="34"/>
          <w:rFonts w:hint="eastAsia"/>
          <w:b w:val="0"/>
        </w:rPr>
        <w:t>支护设计</w:t>
      </w:r>
      <w:r>
        <w:rPr>
          <w:rStyle w:val="34"/>
          <w:b w:val="0"/>
        </w:rPr>
        <w:tab/>
      </w:r>
      <w:r>
        <w:rPr>
          <w:rStyle w:val="34"/>
          <w:b w:val="0"/>
        </w:rPr>
        <w:fldChar w:fldCharType="begin"/>
      </w:r>
      <w:r>
        <w:rPr>
          <w:rStyle w:val="34"/>
          <w:b w:val="0"/>
        </w:rPr>
        <w:instrText xml:space="preserve"> PAGEREF _Toc87018331 \h </w:instrText>
      </w:r>
      <w:r>
        <w:rPr>
          <w:rStyle w:val="34"/>
          <w:b w:val="0"/>
        </w:rPr>
        <w:fldChar w:fldCharType="separate"/>
      </w:r>
      <w:r>
        <w:rPr>
          <w:rStyle w:val="34"/>
          <w:b w:val="0"/>
        </w:rPr>
        <w:t>18</w:t>
      </w:r>
      <w:r>
        <w:rPr>
          <w:rStyle w:val="34"/>
          <w:b w:val="0"/>
        </w:rPr>
        <w:fldChar w:fldCharType="end"/>
      </w:r>
      <w:r>
        <w:rPr>
          <w:rStyle w:val="34"/>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"_Toc87018332" </w:instrText>
      </w:r>
      <w:r>
        <w:fldChar w:fldCharType="separate"/>
      </w:r>
      <w:r>
        <w:rPr>
          <w:rStyle w:val="34"/>
          <w:b w:val="0"/>
        </w:rPr>
        <w:t xml:space="preserve">5.1  </w:t>
      </w:r>
      <w:r>
        <w:rPr>
          <w:rStyle w:val="34"/>
          <w:rFonts w:hint="eastAsia"/>
          <w:b w:val="0"/>
        </w:rPr>
        <w:t>一般规定</w:t>
      </w:r>
      <w:r>
        <w:rPr>
          <w:b w:val="0"/>
        </w:rPr>
        <w:tab/>
      </w:r>
      <w:r>
        <w:rPr>
          <w:b w:val="0"/>
        </w:rPr>
        <w:fldChar w:fldCharType="begin"/>
      </w:r>
      <w:r>
        <w:rPr>
          <w:b w:val="0"/>
        </w:rPr>
        <w:instrText xml:space="preserve"> PAGEREF _Toc87018332 \h </w:instrText>
      </w:r>
      <w:r>
        <w:rPr>
          <w:b w:val="0"/>
        </w:rPr>
        <w:fldChar w:fldCharType="separate"/>
      </w:r>
      <w:r>
        <w:rPr>
          <w:b w:val="0"/>
        </w:rPr>
        <w:t>18</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"_Toc87018333" </w:instrText>
      </w:r>
      <w:r>
        <w:fldChar w:fldCharType="separate"/>
      </w:r>
      <w:r>
        <w:rPr>
          <w:rStyle w:val="34"/>
          <w:b w:val="0"/>
        </w:rPr>
        <w:t xml:space="preserve">5.2  </w:t>
      </w:r>
      <w:r>
        <w:rPr>
          <w:rStyle w:val="34"/>
          <w:rFonts w:hint="eastAsia"/>
          <w:b w:val="0"/>
        </w:rPr>
        <w:t>支护结构选型</w:t>
      </w:r>
      <w:r>
        <w:rPr>
          <w:b w:val="0"/>
        </w:rPr>
        <w:tab/>
      </w:r>
      <w:r>
        <w:rPr>
          <w:b w:val="0"/>
        </w:rPr>
        <w:fldChar w:fldCharType="begin"/>
      </w:r>
      <w:r>
        <w:rPr>
          <w:b w:val="0"/>
        </w:rPr>
        <w:instrText xml:space="preserve"> PAGEREF _Toc87018333 \h </w:instrText>
      </w:r>
      <w:r>
        <w:rPr>
          <w:b w:val="0"/>
        </w:rPr>
        <w:fldChar w:fldCharType="separate"/>
      </w:r>
      <w:r>
        <w:rPr>
          <w:b w:val="0"/>
        </w:rPr>
        <w:t>18</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"_Toc87018334" </w:instrText>
      </w:r>
      <w:r>
        <w:fldChar w:fldCharType="separate"/>
      </w:r>
      <w:r>
        <w:rPr>
          <w:rStyle w:val="34"/>
          <w:b w:val="0"/>
        </w:rPr>
        <w:t xml:space="preserve">5.3  </w:t>
      </w:r>
      <w:r>
        <w:rPr>
          <w:rStyle w:val="34"/>
          <w:rFonts w:hint="eastAsia"/>
          <w:b w:val="0"/>
        </w:rPr>
        <w:t>水平荷载计算</w:t>
      </w:r>
      <w:r>
        <w:rPr>
          <w:b w:val="0"/>
        </w:rPr>
        <w:tab/>
      </w:r>
      <w:r>
        <w:rPr>
          <w:b w:val="0"/>
        </w:rPr>
        <w:fldChar w:fldCharType="begin"/>
      </w:r>
      <w:r>
        <w:rPr>
          <w:b w:val="0"/>
        </w:rPr>
        <w:instrText xml:space="preserve"> PAGEREF _Toc87018334 \h </w:instrText>
      </w:r>
      <w:r>
        <w:rPr>
          <w:b w:val="0"/>
        </w:rPr>
        <w:fldChar w:fldCharType="separate"/>
      </w:r>
      <w:r>
        <w:rPr>
          <w:b w:val="0"/>
        </w:rPr>
        <w:t>19</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"_Toc87018335" </w:instrText>
      </w:r>
      <w:r>
        <w:fldChar w:fldCharType="separate"/>
      </w:r>
      <w:r>
        <w:rPr>
          <w:rStyle w:val="34"/>
          <w:b w:val="0"/>
        </w:rPr>
        <w:t xml:space="preserve">5.4  </w:t>
      </w:r>
      <w:r>
        <w:rPr>
          <w:rStyle w:val="34"/>
          <w:rFonts w:hint="eastAsia"/>
          <w:b w:val="0"/>
        </w:rPr>
        <w:t>稳定性验算</w:t>
      </w:r>
      <w:r>
        <w:rPr>
          <w:b w:val="0"/>
        </w:rPr>
        <w:tab/>
      </w:r>
      <w:r>
        <w:rPr>
          <w:b w:val="0"/>
        </w:rPr>
        <w:fldChar w:fldCharType="begin"/>
      </w:r>
      <w:r>
        <w:rPr>
          <w:b w:val="0"/>
        </w:rPr>
        <w:instrText xml:space="preserve"> PAGEREF _Toc87018335 \h </w:instrText>
      </w:r>
      <w:r>
        <w:rPr>
          <w:b w:val="0"/>
        </w:rPr>
        <w:fldChar w:fldCharType="separate"/>
      </w:r>
      <w:r>
        <w:rPr>
          <w:b w:val="0"/>
        </w:rPr>
        <w:t>25</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"_Toc87018336" </w:instrText>
      </w:r>
      <w:r>
        <w:fldChar w:fldCharType="separate"/>
      </w:r>
      <w:r>
        <w:rPr>
          <w:rStyle w:val="34"/>
          <w:b w:val="0"/>
        </w:rPr>
        <w:t xml:space="preserve">5.5  </w:t>
      </w:r>
      <w:r>
        <w:rPr>
          <w:rStyle w:val="34"/>
          <w:rFonts w:hint="eastAsia"/>
          <w:b w:val="0"/>
        </w:rPr>
        <w:t>排桩支护</w:t>
      </w:r>
      <w:r>
        <w:rPr>
          <w:b w:val="0"/>
        </w:rPr>
        <w:tab/>
      </w:r>
      <w:r>
        <w:rPr>
          <w:b w:val="0"/>
        </w:rPr>
        <w:fldChar w:fldCharType="begin"/>
      </w:r>
      <w:r>
        <w:rPr>
          <w:b w:val="0"/>
        </w:rPr>
        <w:instrText xml:space="preserve"> PAGEREF _Toc87018336 \h </w:instrText>
      </w:r>
      <w:r>
        <w:rPr>
          <w:b w:val="0"/>
        </w:rPr>
        <w:fldChar w:fldCharType="separate"/>
      </w:r>
      <w:r>
        <w:rPr>
          <w:b w:val="0"/>
        </w:rPr>
        <w:t>34</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"_Toc87018337" </w:instrText>
      </w:r>
      <w:r>
        <w:fldChar w:fldCharType="separate"/>
      </w:r>
      <w:r>
        <w:rPr>
          <w:rStyle w:val="34"/>
          <w:b w:val="0"/>
        </w:rPr>
        <w:t xml:space="preserve">5.6  </w:t>
      </w:r>
      <w:r>
        <w:rPr>
          <w:rStyle w:val="34"/>
          <w:rFonts w:hint="eastAsia"/>
          <w:b w:val="0"/>
        </w:rPr>
        <w:t>桩锚支护</w:t>
      </w:r>
      <w:r>
        <w:rPr>
          <w:b w:val="0"/>
        </w:rPr>
        <w:tab/>
      </w:r>
      <w:r>
        <w:rPr>
          <w:b w:val="0"/>
        </w:rPr>
        <w:fldChar w:fldCharType="begin"/>
      </w:r>
      <w:r>
        <w:rPr>
          <w:b w:val="0"/>
        </w:rPr>
        <w:instrText xml:space="preserve"> PAGEREF _Toc87018337 \h </w:instrText>
      </w:r>
      <w:r>
        <w:rPr>
          <w:b w:val="0"/>
        </w:rPr>
        <w:fldChar w:fldCharType="separate"/>
      </w:r>
      <w:r>
        <w:rPr>
          <w:b w:val="0"/>
        </w:rPr>
        <w:t>43</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"_Toc87018338" </w:instrText>
      </w:r>
      <w:r>
        <w:fldChar w:fldCharType="separate"/>
      </w:r>
      <w:r>
        <w:rPr>
          <w:rStyle w:val="34"/>
          <w:b w:val="0"/>
        </w:rPr>
        <w:t xml:space="preserve">5.7  </w:t>
      </w:r>
      <w:r>
        <w:rPr>
          <w:rStyle w:val="34"/>
          <w:rFonts w:hint="eastAsia"/>
          <w:b w:val="0"/>
        </w:rPr>
        <w:t>内支撑</w:t>
      </w:r>
      <w:r>
        <w:rPr>
          <w:b w:val="0"/>
        </w:rPr>
        <w:tab/>
      </w:r>
      <w:r>
        <w:rPr>
          <w:b w:val="0"/>
        </w:rPr>
        <w:fldChar w:fldCharType="begin"/>
      </w:r>
      <w:r>
        <w:rPr>
          <w:b w:val="0"/>
        </w:rPr>
        <w:instrText xml:space="preserve"> PAGEREF _Toc87018338 \h </w:instrText>
      </w:r>
      <w:r>
        <w:rPr>
          <w:b w:val="0"/>
        </w:rPr>
        <w:fldChar w:fldCharType="separate"/>
      </w:r>
      <w:r>
        <w:rPr>
          <w:b w:val="0"/>
        </w:rPr>
        <w:t>48</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"_Toc87018339" </w:instrText>
      </w:r>
      <w:r>
        <w:fldChar w:fldCharType="separate"/>
      </w:r>
      <w:r>
        <w:rPr>
          <w:rStyle w:val="34"/>
          <w:b w:val="0"/>
        </w:rPr>
        <w:t xml:space="preserve">5.8  </w:t>
      </w:r>
      <w:r>
        <w:rPr>
          <w:rStyle w:val="34"/>
          <w:rFonts w:hint="eastAsia"/>
          <w:b w:val="0"/>
        </w:rPr>
        <w:t>土钉墙</w:t>
      </w:r>
      <w:r>
        <w:rPr>
          <w:b w:val="0"/>
        </w:rPr>
        <w:tab/>
      </w:r>
      <w:r>
        <w:rPr>
          <w:b w:val="0"/>
        </w:rPr>
        <w:fldChar w:fldCharType="begin"/>
      </w:r>
      <w:r>
        <w:rPr>
          <w:b w:val="0"/>
        </w:rPr>
        <w:instrText xml:space="preserve"> PAGEREF _Toc87018339 \h </w:instrText>
      </w:r>
      <w:r>
        <w:rPr>
          <w:b w:val="0"/>
        </w:rPr>
        <w:fldChar w:fldCharType="separate"/>
      </w:r>
      <w:r>
        <w:rPr>
          <w:b w:val="0"/>
        </w:rPr>
        <w:t>55</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"_Toc87018340" </w:instrText>
      </w:r>
      <w:r>
        <w:fldChar w:fldCharType="separate"/>
      </w:r>
      <w:r>
        <w:rPr>
          <w:rStyle w:val="34"/>
          <w:b w:val="0"/>
        </w:rPr>
        <w:t xml:space="preserve">5.9  </w:t>
      </w:r>
      <w:r>
        <w:rPr>
          <w:rStyle w:val="34"/>
          <w:rFonts w:hint="eastAsia"/>
          <w:b w:val="0"/>
        </w:rPr>
        <w:t>型钢水泥土搅拌墙</w:t>
      </w:r>
      <w:r>
        <w:rPr>
          <w:b w:val="0"/>
        </w:rPr>
        <w:tab/>
      </w:r>
      <w:r>
        <w:rPr>
          <w:b w:val="0"/>
        </w:rPr>
        <w:fldChar w:fldCharType="begin"/>
      </w:r>
      <w:r>
        <w:rPr>
          <w:b w:val="0"/>
        </w:rPr>
        <w:instrText xml:space="preserve"> PAGEREF _Toc87018340 \h </w:instrText>
      </w:r>
      <w:r>
        <w:rPr>
          <w:b w:val="0"/>
        </w:rPr>
        <w:fldChar w:fldCharType="separate"/>
      </w:r>
      <w:r>
        <w:rPr>
          <w:b w:val="0"/>
        </w:rPr>
        <w:t>62</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"_Toc87018341" </w:instrText>
      </w:r>
      <w:r>
        <w:fldChar w:fldCharType="separate"/>
      </w:r>
      <w:r>
        <w:rPr>
          <w:rStyle w:val="34"/>
          <w:b w:val="0"/>
        </w:rPr>
        <w:t xml:space="preserve">5.10  </w:t>
      </w:r>
      <w:r>
        <w:rPr>
          <w:rStyle w:val="34"/>
          <w:rFonts w:hint="eastAsia"/>
          <w:b w:val="0"/>
        </w:rPr>
        <w:t>钢板桩支护</w:t>
      </w:r>
      <w:r>
        <w:rPr>
          <w:b w:val="0"/>
        </w:rPr>
        <w:tab/>
      </w:r>
      <w:r>
        <w:rPr>
          <w:b w:val="0"/>
        </w:rPr>
        <w:fldChar w:fldCharType="begin"/>
      </w:r>
      <w:r>
        <w:rPr>
          <w:b w:val="0"/>
        </w:rPr>
        <w:instrText xml:space="preserve"> PAGEREF _Toc87018341 \h </w:instrText>
      </w:r>
      <w:r>
        <w:rPr>
          <w:b w:val="0"/>
        </w:rPr>
        <w:fldChar w:fldCharType="separate"/>
      </w:r>
      <w:r>
        <w:rPr>
          <w:b w:val="0"/>
        </w:rPr>
        <w:t>67</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"_Toc87018342" </w:instrText>
      </w:r>
      <w:r>
        <w:fldChar w:fldCharType="separate"/>
      </w:r>
      <w:r>
        <w:rPr>
          <w:rStyle w:val="34"/>
          <w:b w:val="0"/>
        </w:rPr>
        <w:t xml:space="preserve">5.11  </w:t>
      </w:r>
      <w:r>
        <w:rPr>
          <w:rStyle w:val="34"/>
          <w:rFonts w:hint="eastAsia"/>
          <w:b w:val="0"/>
        </w:rPr>
        <w:t>地下连续墙</w:t>
      </w:r>
      <w:r>
        <w:rPr>
          <w:b w:val="0"/>
        </w:rPr>
        <w:tab/>
      </w:r>
      <w:r>
        <w:rPr>
          <w:b w:val="0"/>
        </w:rPr>
        <w:fldChar w:fldCharType="begin"/>
      </w:r>
      <w:r>
        <w:rPr>
          <w:b w:val="0"/>
        </w:rPr>
        <w:instrText xml:space="preserve"> PAGEREF _Toc87018342 \h </w:instrText>
      </w:r>
      <w:r>
        <w:rPr>
          <w:b w:val="0"/>
        </w:rPr>
        <w:fldChar w:fldCharType="separate"/>
      </w:r>
      <w:r>
        <w:rPr>
          <w:b w:val="0"/>
        </w:rPr>
        <w:t>69</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"_Toc87018343" </w:instrText>
      </w:r>
      <w:r>
        <w:fldChar w:fldCharType="separate"/>
      </w:r>
      <w:r>
        <w:rPr>
          <w:rStyle w:val="34"/>
          <w:b w:val="0"/>
        </w:rPr>
        <w:t xml:space="preserve">5.12  </w:t>
      </w:r>
      <w:r>
        <w:rPr>
          <w:rStyle w:val="34"/>
          <w:rFonts w:hint="eastAsia"/>
          <w:b w:val="0"/>
        </w:rPr>
        <w:t>坡率法</w:t>
      </w:r>
      <w:r>
        <w:rPr>
          <w:b w:val="0"/>
        </w:rPr>
        <w:tab/>
      </w:r>
      <w:r>
        <w:rPr>
          <w:b w:val="0"/>
        </w:rPr>
        <w:fldChar w:fldCharType="begin"/>
      </w:r>
      <w:r>
        <w:rPr>
          <w:b w:val="0"/>
        </w:rPr>
        <w:instrText xml:space="preserve"> PAGEREF _Toc87018343 \h </w:instrText>
      </w:r>
      <w:r>
        <w:rPr>
          <w:b w:val="0"/>
        </w:rPr>
        <w:fldChar w:fldCharType="separate"/>
      </w:r>
      <w:r>
        <w:rPr>
          <w:b w:val="0"/>
        </w:rPr>
        <w:t>72</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"_Toc87018344" </w:instrText>
      </w:r>
      <w:r>
        <w:fldChar w:fldCharType="separate"/>
      </w:r>
      <w:r>
        <w:rPr>
          <w:rStyle w:val="34"/>
          <w:b w:val="0"/>
        </w:rPr>
        <w:t xml:space="preserve">5.13  </w:t>
      </w:r>
      <w:r>
        <w:rPr>
          <w:rStyle w:val="34"/>
          <w:rFonts w:hint="eastAsia"/>
          <w:b w:val="0"/>
        </w:rPr>
        <w:t>逆作法</w:t>
      </w:r>
      <w:r>
        <w:rPr>
          <w:b w:val="0"/>
        </w:rPr>
        <w:tab/>
      </w:r>
      <w:r>
        <w:rPr>
          <w:b w:val="0"/>
        </w:rPr>
        <w:fldChar w:fldCharType="begin"/>
      </w:r>
      <w:r>
        <w:rPr>
          <w:b w:val="0"/>
        </w:rPr>
        <w:instrText xml:space="preserve"> PAGEREF _Toc87018344 \h </w:instrText>
      </w:r>
      <w:r>
        <w:rPr>
          <w:b w:val="0"/>
        </w:rPr>
        <w:fldChar w:fldCharType="separate"/>
      </w:r>
      <w:r>
        <w:rPr>
          <w:b w:val="0"/>
        </w:rPr>
        <w:t>73</w:t>
      </w:r>
      <w:r>
        <w:rPr>
          <w:b w:val="0"/>
        </w:rPr>
        <w:fldChar w:fldCharType="end"/>
      </w:r>
      <w:r>
        <w:rPr>
          <w:b w:val="0"/>
        </w:rPr>
        <w:fldChar w:fldCharType="end"/>
      </w:r>
    </w:p>
    <w:p>
      <w:pPr>
        <w:pStyle w:val="22"/>
        <w:ind w:firstLine="0"/>
        <w:rPr>
          <w:rStyle w:val="34"/>
          <w:b w:val="0"/>
        </w:rPr>
      </w:pPr>
      <w:r>
        <w:fldChar w:fldCharType="begin"/>
      </w:r>
      <w:r>
        <w:instrText xml:space="preserve"> HYPERLINK \l "_Toc87018345" </w:instrText>
      </w:r>
      <w:r>
        <w:fldChar w:fldCharType="separate"/>
      </w:r>
      <w:r>
        <w:rPr>
          <w:rStyle w:val="34"/>
          <w:b w:val="0"/>
        </w:rPr>
        <w:t xml:space="preserve">6  </w:t>
      </w:r>
      <w:r>
        <w:rPr>
          <w:rStyle w:val="34"/>
          <w:rFonts w:hint="eastAsia"/>
          <w:b w:val="0"/>
        </w:rPr>
        <w:t>特殊条件基坑</w:t>
      </w:r>
      <w:r>
        <w:rPr>
          <w:rStyle w:val="34"/>
          <w:b w:val="0"/>
        </w:rPr>
        <w:tab/>
      </w:r>
      <w:r>
        <w:rPr>
          <w:rStyle w:val="34"/>
          <w:b w:val="0"/>
        </w:rPr>
        <w:fldChar w:fldCharType="begin"/>
      </w:r>
      <w:r>
        <w:rPr>
          <w:rStyle w:val="34"/>
          <w:b w:val="0"/>
        </w:rPr>
        <w:instrText xml:space="preserve"> PAGEREF _Toc87018345 \h </w:instrText>
      </w:r>
      <w:r>
        <w:rPr>
          <w:rStyle w:val="34"/>
          <w:b w:val="0"/>
        </w:rPr>
        <w:fldChar w:fldCharType="separate"/>
      </w:r>
      <w:r>
        <w:rPr>
          <w:rStyle w:val="34"/>
          <w:b w:val="0"/>
        </w:rPr>
        <w:t>78</w:t>
      </w:r>
      <w:r>
        <w:rPr>
          <w:rStyle w:val="34"/>
          <w:b w:val="0"/>
        </w:rPr>
        <w:fldChar w:fldCharType="end"/>
      </w:r>
      <w:r>
        <w:rPr>
          <w:rStyle w:val="34"/>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"_Toc87018346" </w:instrText>
      </w:r>
      <w:r>
        <w:fldChar w:fldCharType="separate"/>
      </w:r>
      <w:r>
        <w:rPr>
          <w:rStyle w:val="34"/>
          <w:b w:val="0"/>
        </w:rPr>
        <w:t xml:space="preserve">6.1  </w:t>
      </w:r>
      <w:r>
        <w:rPr>
          <w:rStyle w:val="34"/>
          <w:rFonts w:hint="eastAsia"/>
          <w:b w:val="0"/>
        </w:rPr>
        <w:t>软土基坑</w:t>
      </w:r>
      <w:r>
        <w:rPr>
          <w:b w:val="0"/>
        </w:rPr>
        <w:tab/>
      </w:r>
      <w:r>
        <w:rPr>
          <w:b w:val="0"/>
        </w:rPr>
        <w:fldChar w:fldCharType="begin"/>
      </w:r>
      <w:r>
        <w:rPr>
          <w:b w:val="0"/>
        </w:rPr>
        <w:instrText xml:space="preserve"> PAGEREF _Toc87018346 \h </w:instrText>
      </w:r>
      <w:r>
        <w:rPr>
          <w:b w:val="0"/>
        </w:rPr>
        <w:fldChar w:fldCharType="separate"/>
      </w:r>
      <w:r>
        <w:rPr>
          <w:b w:val="0"/>
        </w:rPr>
        <w:t>78</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"_Toc87018347" </w:instrText>
      </w:r>
      <w:r>
        <w:fldChar w:fldCharType="separate"/>
      </w:r>
      <w:r>
        <w:rPr>
          <w:rStyle w:val="34"/>
          <w:b w:val="0"/>
        </w:rPr>
        <w:t xml:space="preserve">6.2  </w:t>
      </w:r>
      <w:r>
        <w:rPr>
          <w:rStyle w:val="34"/>
          <w:rFonts w:hint="eastAsia"/>
          <w:b w:val="0"/>
        </w:rPr>
        <w:t>填土基坑</w:t>
      </w:r>
      <w:r>
        <w:rPr>
          <w:b w:val="0"/>
        </w:rPr>
        <w:tab/>
      </w:r>
      <w:r>
        <w:rPr>
          <w:b w:val="0"/>
        </w:rPr>
        <w:fldChar w:fldCharType="begin"/>
      </w:r>
      <w:r>
        <w:rPr>
          <w:b w:val="0"/>
        </w:rPr>
        <w:instrText xml:space="preserve"> PAGEREF _Toc87018347 \h </w:instrText>
      </w:r>
      <w:r>
        <w:rPr>
          <w:b w:val="0"/>
        </w:rPr>
        <w:fldChar w:fldCharType="separate"/>
      </w:r>
      <w:r>
        <w:rPr>
          <w:b w:val="0"/>
        </w:rPr>
        <w:t>78</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"_Toc87018348" </w:instrText>
      </w:r>
      <w:r>
        <w:fldChar w:fldCharType="separate"/>
      </w:r>
      <w:r>
        <w:rPr>
          <w:rStyle w:val="34"/>
          <w:b w:val="0"/>
        </w:rPr>
        <w:t xml:space="preserve">6.3  </w:t>
      </w:r>
      <w:r>
        <w:rPr>
          <w:rStyle w:val="34"/>
          <w:rFonts w:hint="eastAsia"/>
          <w:b w:val="0"/>
        </w:rPr>
        <w:t>土岩组合基坑</w:t>
      </w:r>
      <w:r>
        <w:rPr>
          <w:b w:val="0"/>
        </w:rPr>
        <w:tab/>
      </w:r>
      <w:r>
        <w:rPr>
          <w:b w:val="0"/>
        </w:rPr>
        <w:fldChar w:fldCharType="begin"/>
      </w:r>
      <w:r>
        <w:rPr>
          <w:b w:val="0"/>
        </w:rPr>
        <w:instrText xml:space="preserve"> PAGEREF _Toc87018348 \h </w:instrText>
      </w:r>
      <w:r>
        <w:rPr>
          <w:b w:val="0"/>
        </w:rPr>
        <w:fldChar w:fldCharType="separate"/>
      </w:r>
      <w:r>
        <w:rPr>
          <w:b w:val="0"/>
        </w:rPr>
        <w:t>78</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"_Toc87018349" </w:instrText>
      </w:r>
      <w:r>
        <w:fldChar w:fldCharType="separate"/>
      </w:r>
      <w:r>
        <w:rPr>
          <w:rStyle w:val="34"/>
          <w:b w:val="0"/>
        </w:rPr>
        <w:t xml:space="preserve">6.4  </w:t>
      </w:r>
      <w:r>
        <w:rPr>
          <w:rStyle w:val="34"/>
          <w:rFonts w:hint="eastAsia" w:ascii="宋体" w:hAnsi="宋体" w:cs="黑体"/>
          <w:b w:val="0"/>
        </w:rPr>
        <w:t>基坑与边坡组合</w:t>
      </w:r>
      <w:r>
        <w:rPr>
          <w:b w:val="0"/>
        </w:rPr>
        <w:tab/>
      </w:r>
      <w:r>
        <w:rPr>
          <w:b w:val="0"/>
        </w:rPr>
        <w:fldChar w:fldCharType="begin"/>
      </w:r>
      <w:r>
        <w:rPr>
          <w:b w:val="0"/>
        </w:rPr>
        <w:instrText xml:space="preserve"> PAGEREF _Toc87018349 \h </w:instrText>
      </w:r>
      <w:r>
        <w:rPr>
          <w:b w:val="0"/>
        </w:rPr>
        <w:fldChar w:fldCharType="separate"/>
      </w:r>
      <w:r>
        <w:rPr>
          <w:b w:val="0"/>
        </w:rPr>
        <w:t>78</w:t>
      </w:r>
      <w:r>
        <w:rPr>
          <w:b w:val="0"/>
        </w:rPr>
        <w:fldChar w:fldCharType="end"/>
      </w:r>
      <w:r>
        <w:rPr>
          <w:b w:val="0"/>
        </w:rPr>
        <w:fldChar w:fldCharType="end"/>
      </w:r>
    </w:p>
    <w:p>
      <w:pPr>
        <w:pStyle w:val="22"/>
        <w:ind w:firstLine="0"/>
        <w:rPr>
          <w:rStyle w:val="34"/>
          <w:b w:val="0"/>
        </w:rPr>
      </w:pPr>
      <w:r>
        <w:fldChar w:fldCharType="begin"/>
      </w:r>
      <w:r>
        <w:instrText xml:space="preserve"> HYPERLINK \l "_Toc87018350" </w:instrText>
      </w:r>
      <w:r>
        <w:fldChar w:fldCharType="separate"/>
      </w:r>
      <w:r>
        <w:rPr>
          <w:rStyle w:val="34"/>
          <w:b w:val="0"/>
        </w:rPr>
        <w:t xml:space="preserve">7  </w:t>
      </w:r>
      <w:r>
        <w:rPr>
          <w:rStyle w:val="34"/>
          <w:rFonts w:hint="eastAsia"/>
          <w:b w:val="0"/>
        </w:rPr>
        <w:t>地下水控制</w:t>
      </w:r>
      <w:r>
        <w:rPr>
          <w:rStyle w:val="34"/>
          <w:b w:val="0"/>
        </w:rPr>
        <w:tab/>
      </w:r>
      <w:r>
        <w:rPr>
          <w:rStyle w:val="34"/>
          <w:b w:val="0"/>
        </w:rPr>
        <w:fldChar w:fldCharType="begin"/>
      </w:r>
      <w:r>
        <w:rPr>
          <w:rStyle w:val="34"/>
          <w:b w:val="0"/>
        </w:rPr>
        <w:instrText xml:space="preserve"> PAGEREF _Toc87018350 \h </w:instrText>
      </w:r>
      <w:r>
        <w:rPr>
          <w:rStyle w:val="34"/>
          <w:b w:val="0"/>
        </w:rPr>
        <w:fldChar w:fldCharType="separate"/>
      </w:r>
      <w:r>
        <w:rPr>
          <w:rStyle w:val="34"/>
          <w:b w:val="0"/>
        </w:rPr>
        <w:t>80</w:t>
      </w:r>
      <w:r>
        <w:rPr>
          <w:rStyle w:val="34"/>
          <w:b w:val="0"/>
        </w:rPr>
        <w:fldChar w:fldCharType="end"/>
      </w:r>
      <w:r>
        <w:rPr>
          <w:rStyle w:val="34"/>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"_Toc87018351" </w:instrText>
      </w:r>
      <w:r>
        <w:fldChar w:fldCharType="separate"/>
      </w:r>
      <w:r>
        <w:rPr>
          <w:rStyle w:val="34"/>
          <w:b w:val="0"/>
        </w:rPr>
        <w:t xml:space="preserve">7.1  </w:t>
      </w:r>
      <w:r>
        <w:rPr>
          <w:rStyle w:val="34"/>
          <w:rFonts w:hint="eastAsia"/>
          <w:b w:val="0"/>
        </w:rPr>
        <w:t>一般规定</w:t>
      </w:r>
      <w:r>
        <w:rPr>
          <w:b w:val="0"/>
        </w:rPr>
        <w:tab/>
      </w:r>
      <w:r>
        <w:rPr>
          <w:b w:val="0"/>
        </w:rPr>
        <w:fldChar w:fldCharType="begin"/>
      </w:r>
      <w:r>
        <w:rPr>
          <w:b w:val="0"/>
        </w:rPr>
        <w:instrText xml:space="preserve"> PAGEREF _Toc87018351 \h </w:instrText>
      </w:r>
      <w:r>
        <w:rPr>
          <w:b w:val="0"/>
        </w:rPr>
        <w:fldChar w:fldCharType="separate"/>
      </w:r>
      <w:r>
        <w:rPr>
          <w:b w:val="0"/>
        </w:rPr>
        <w:t>80</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"_Toc87018352" </w:instrText>
      </w:r>
      <w:r>
        <w:fldChar w:fldCharType="separate"/>
      </w:r>
      <w:r>
        <w:rPr>
          <w:rStyle w:val="34"/>
          <w:b w:val="0"/>
        </w:rPr>
        <w:t xml:space="preserve">7.2  </w:t>
      </w:r>
      <w:r>
        <w:rPr>
          <w:rStyle w:val="34"/>
          <w:rFonts w:hint="eastAsia"/>
          <w:b w:val="0"/>
        </w:rPr>
        <w:t>设计计算与验算</w:t>
      </w:r>
      <w:r>
        <w:rPr>
          <w:b w:val="0"/>
        </w:rPr>
        <w:tab/>
      </w:r>
      <w:r>
        <w:rPr>
          <w:b w:val="0"/>
        </w:rPr>
        <w:fldChar w:fldCharType="begin"/>
      </w:r>
      <w:r>
        <w:rPr>
          <w:b w:val="0"/>
        </w:rPr>
        <w:instrText xml:space="preserve"> PAGEREF _Toc87018352 \h </w:instrText>
      </w:r>
      <w:r>
        <w:rPr>
          <w:b w:val="0"/>
        </w:rPr>
        <w:fldChar w:fldCharType="separate"/>
      </w:r>
      <w:r>
        <w:rPr>
          <w:b w:val="0"/>
        </w:rPr>
        <w:t>80</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"_Toc87018353" </w:instrText>
      </w:r>
      <w:r>
        <w:fldChar w:fldCharType="separate"/>
      </w:r>
      <w:r>
        <w:rPr>
          <w:rStyle w:val="34"/>
          <w:b w:val="0"/>
        </w:rPr>
        <w:t xml:space="preserve">7.3  </w:t>
      </w:r>
      <w:r>
        <w:rPr>
          <w:rStyle w:val="34"/>
          <w:rFonts w:hint="eastAsia"/>
          <w:b w:val="0"/>
        </w:rPr>
        <w:t>截水帷幕</w:t>
      </w:r>
      <w:r>
        <w:rPr>
          <w:b w:val="0"/>
        </w:rPr>
        <w:tab/>
      </w:r>
      <w:r>
        <w:rPr>
          <w:b w:val="0"/>
        </w:rPr>
        <w:fldChar w:fldCharType="begin"/>
      </w:r>
      <w:r>
        <w:rPr>
          <w:b w:val="0"/>
        </w:rPr>
        <w:instrText xml:space="preserve"> PAGEREF _Toc87018353 \h </w:instrText>
      </w:r>
      <w:r>
        <w:rPr>
          <w:b w:val="0"/>
        </w:rPr>
        <w:fldChar w:fldCharType="separate"/>
      </w:r>
      <w:r>
        <w:rPr>
          <w:b w:val="0"/>
        </w:rPr>
        <w:t>80</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"_Toc87018354" </w:instrText>
      </w:r>
      <w:r>
        <w:fldChar w:fldCharType="separate"/>
      </w:r>
      <w:r>
        <w:rPr>
          <w:rStyle w:val="34"/>
          <w:b w:val="0"/>
        </w:rPr>
        <w:t xml:space="preserve">7.4  </w:t>
      </w:r>
      <w:r>
        <w:rPr>
          <w:rStyle w:val="34"/>
          <w:rFonts w:hint="eastAsia"/>
          <w:b w:val="0"/>
        </w:rPr>
        <w:t>集水与排水</w:t>
      </w:r>
      <w:r>
        <w:rPr>
          <w:b w:val="0"/>
        </w:rPr>
        <w:tab/>
      </w:r>
      <w:r>
        <w:rPr>
          <w:b w:val="0"/>
        </w:rPr>
        <w:fldChar w:fldCharType="begin"/>
      </w:r>
      <w:r>
        <w:rPr>
          <w:b w:val="0"/>
        </w:rPr>
        <w:instrText xml:space="preserve"> PAGEREF _Toc87018354 \h </w:instrText>
      </w:r>
      <w:r>
        <w:rPr>
          <w:b w:val="0"/>
        </w:rPr>
        <w:fldChar w:fldCharType="separate"/>
      </w:r>
      <w:r>
        <w:rPr>
          <w:b w:val="0"/>
        </w:rPr>
        <w:t>81</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"_Toc87018355" </w:instrText>
      </w:r>
      <w:r>
        <w:fldChar w:fldCharType="separate"/>
      </w:r>
      <w:r>
        <w:rPr>
          <w:rStyle w:val="34"/>
          <w:b w:val="0"/>
        </w:rPr>
        <w:t xml:space="preserve">7.5  </w:t>
      </w:r>
      <w:r>
        <w:rPr>
          <w:rStyle w:val="34"/>
          <w:rFonts w:hint="eastAsia"/>
          <w:b w:val="0"/>
        </w:rPr>
        <w:t>基坑降水</w:t>
      </w:r>
      <w:r>
        <w:rPr>
          <w:b w:val="0"/>
        </w:rPr>
        <w:tab/>
      </w:r>
      <w:r>
        <w:rPr>
          <w:b w:val="0"/>
        </w:rPr>
        <w:fldChar w:fldCharType="begin"/>
      </w:r>
      <w:r>
        <w:rPr>
          <w:b w:val="0"/>
        </w:rPr>
        <w:instrText xml:space="preserve"> PAGEREF _Toc87018355 \h </w:instrText>
      </w:r>
      <w:r>
        <w:rPr>
          <w:b w:val="0"/>
        </w:rPr>
        <w:fldChar w:fldCharType="separate"/>
      </w:r>
      <w:r>
        <w:rPr>
          <w:b w:val="0"/>
        </w:rPr>
        <w:t>82</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"_Toc87018356" </w:instrText>
      </w:r>
      <w:r>
        <w:fldChar w:fldCharType="separate"/>
      </w:r>
      <w:r>
        <w:rPr>
          <w:rStyle w:val="34"/>
          <w:b w:val="0"/>
        </w:rPr>
        <w:t xml:space="preserve">7.6  </w:t>
      </w:r>
      <w:r>
        <w:rPr>
          <w:rStyle w:val="34"/>
          <w:rFonts w:hint="eastAsia"/>
          <w:b w:val="0"/>
        </w:rPr>
        <w:t>水位监测与地下水回灌</w:t>
      </w:r>
      <w:r>
        <w:rPr>
          <w:b w:val="0"/>
        </w:rPr>
        <w:tab/>
      </w:r>
      <w:r>
        <w:rPr>
          <w:b w:val="0"/>
        </w:rPr>
        <w:fldChar w:fldCharType="begin"/>
      </w:r>
      <w:r>
        <w:rPr>
          <w:b w:val="0"/>
        </w:rPr>
        <w:instrText xml:space="preserve"> PAGEREF _Toc87018356 \h </w:instrText>
      </w:r>
      <w:r>
        <w:rPr>
          <w:b w:val="0"/>
        </w:rPr>
        <w:fldChar w:fldCharType="separate"/>
      </w:r>
      <w:r>
        <w:rPr>
          <w:b w:val="0"/>
        </w:rPr>
        <w:t>84</w:t>
      </w:r>
      <w:r>
        <w:rPr>
          <w:b w:val="0"/>
        </w:rPr>
        <w:fldChar w:fldCharType="end"/>
      </w:r>
      <w:r>
        <w:rPr>
          <w:b w:val="0"/>
        </w:rPr>
        <w:fldChar w:fldCharType="end"/>
      </w:r>
    </w:p>
    <w:p>
      <w:pPr>
        <w:pStyle w:val="22"/>
        <w:ind w:firstLine="0"/>
        <w:rPr>
          <w:rStyle w:val="34"/>
          <w:b w:val="0"/>
        </w:rPr>
      </w:pPr>
      <w:r>
        <w:fldChar w:fldCharType="begin"/>
      </w:r>
      <w:r>
        <w:instrText xml:space="preserve"> HYPERLINK \l "_Toc87018357" </w:instrText>
      </w:r>
      <w:r>
        <w:fldChar w:fldCharType="separate"/>
      </w:r>
      <w:r>
        <w:rPr>
          <w:rStyle w:val="34"/>
          <w:b w:val="0"/>
        </w:rPr>
        <w:t>8</w:t>
      </w:r>
      <w:r>
        <w:rPr>
          <w:rStyle w:val="34"/>
          <w:rFonts w:hint="eastAsia"/>
          <w:b w:val="0"/>
        </w:rPr>
        <w:t>　基坑及周边环境监测</w:t>
      </w:r>
      <w:r>
        <w:rPr>
          <w:rStyle w:val="34"/>
          <w:b w:val="0"/>
        </w:rPr>
        <w:tab/>
      </w:r>
      <w:r>
        <w:rPr>
          <w:rStyle w:val="34"/>
          <w:b w:val="0"/>
        </w:rPr>
        <w:fldChar w:fldCharType="begin"/>
      </w:r>
      <w:r>
        <w:rPr>
          <w:rStyle w:val="34"/>
          <w:b w:val="0"/>
        </w:rPr>
        <w:instrText xml:space="preserve"> PAGEREF _Toc87018357 \h </w:instrText>
      </w:r>
      <w:r>
        <w:rPr>
          <w:rStyle w:val="34"/>
          <w:b w:val="0"/>
        </w:rPr>
        <w:fldChar w:fldCharType="separate"/>
      </w:r>
      <w:r>
        <w:rPr>
          <w:rStyle w:val="34"/>
          <w:b w:val="0"/>
        </w:rPr>
        <w:t>85</w:t>
      </w:r>
      <w:r>
        <w:rPr>
          <w:rStyle w:val="34"/>
          <w:b w:val="0"/>
        </w:rPr>
        <w:fldChar w:fldCharType="end"/>
      </w:r>
      <w:r>
        <w:rPr>
          <w:rStyle w:val="34"/>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"_Toc87018358" </w:instrText>
      </w:r>
      <w:r>
        <w:fldChar w:fldCharType="separate"/>
      </w:r>
      <w:r>
        <w:rPr>
          <w:rStyle w:val="34"/>
          <w:b w:val="0"/>
        </w:rPr>
        <w:t>8.1</w:t>
      </w:r>
      <w:r>
        <w:rPr>
          <w:rStyle w:val="34"/>
          <w:rFonts w:hint="eastAsia"/>
          <w:b w:val="0"/>
        </w:rPr>
        <w:t>　一般规定</w:t>
      </w:r>
      <w:r>
        <w:rPr>
          <w:b w:val="0"/>
        </w:rPr>
        <w:tab/>
      </w:r>
      <w:r>
        <w:rPr>
          <w:b w:val="0"/>
        </w:rPr>
        <w:fldChar w:fldCharType="begin"/>
      </w:r>
      <w:r>
        <w:rPr>
          <w:b w:val="0"/>
        </w:rPr>
        <w:instrText xml:space="preserve"> PAGEREF _Toc87018358 \h </w:instrText>
      </w:r>
      <w:r>
        <w:rPr>
          <w:b w:val="0"/>
        </w:rPr>
        <w:fldChar w:fldCharType="separate"/>
      </w:r>
      <w:r>
        <w:rPr>
          <w:b w:val="0"/>
        </w:rPr>
        <w:t>85</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"_Toc87018359" </w:instrText>
      </w:r>
      <w:r>
        <w:fldChar w:fldCharType="separate"/>
      </w:r>
      <w:r>
        <w:rPr>
          <w:rStyle w:val="34"/>
          <w:b w:val="0"/>
        </w:rPr>
        <w:t>8.2</w:t>
      </w:r>
      <w:r>
        <w:rPr>
          <w:rStyle w:val="34"/>
          <w:rFonts w:hint="eastAsia"/>
          <w:b w:val="0"/>
        </w:rPr>
        <w:t>　基坑监测点布置</w:t>
      </w:r>
      <w:r>
        <w:rPr>
          <w:b w:val="0"/>
        </w:rPr>
        <w:tab/>
      </w:r>
      <w:r>
        <w:rPr>
          <w:b w:val="0"/>
        </w:rPr>
        <w:fldChar w:fldCharType="begin"/>
      </w:r>
      <w:r>
        <w:rPr>
          <w:b w:val="0"/>
        </w:rPr>
        <w:instrText xml:space="preserve"> PAGEREF _Toc87018359 \h </w:instrText>
      </w:r>
      <w:r>
        <w:rPr>
          <w:b w:val="0"/>
        </w:rPr>
        <w:fldChar w:fldCharType="separate"/>
      </w:r>
      <w:r>
        <w:rPr>
          <w:b w:val="0"/>
        </w:rPr>
        <w:t>86</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"_Toc87018360" </w:instrText>
      </w:r>
      <w:r>
        <w:fldChar w:fldCharType="separate"/>
      </w:r>
      <w:r>
        <w:rPr>
          <w:rStyle w:val="34"/>
          <w:b w:val="0"/>
        </w:rPr>
        <w:t>8.3</w:t>
      </w:r>
      <w:r>
        <w:rPr>
          <w:rStyle w:val="34"/>
          <w:rFonts w:hint="eastAsia"/>
          <w:b w:val="0"/>
        </w:rPr>
        <w:t>　周边环境监测点布置</w:t>
      </w:r>
      <w:r>
        <w:rPr>
          <w:b w:val="0"/>
        </w:rPr>
        <w:tab/>
      </w:r>
      <w:r>
        <w:rPr>
          <w:b w:val="0"/>
        </w:rPr>
        <w:fldChar w:fldCharType="begin"/>
      </w:r>
      <w:r>
        <w:rPr>
          <w:b w:val="0"/>
        </w:rPr>
        <w:instrText xml:space="preserve"> PAGEREF _Toc87018360 \h </w:instrText>
      </w:r>
      <w:r>
        <w:rPr>
          <w:b w:val="0"/>
        </w:rPr>
        <w:fldChar w:fldCharType="separate"/>
      </w:r>
      <w:r>
        <w:rPr>
          <w:b w:val="0"/>
        </w:rPr>
        <w:t>87</w:t>
      </w:r>
      <w:r>
        <w:rPr>
          <w:b w:val="0"/>
        </w:rPr>
        <w:fldChar w:fldCharType="end"/>
      </w:r>
      <w:r>
        <w:rPr>
          <w:b w:val="0"/>
        </w:rPr>
        <w:fldChar w:fldCharType="end"/>
      </w:r>
    </w:p>
    <w:p>
      <w:pPr>
        <w:pStyle w:val="22"/>
        <w:rPr>
          <w:rFonts w:asciiTheme="minorHAnsi" w:hAnsiTheme="minorHAnsi" w:eastAsiaTheme="minorEastAsia" w:cstheme="minorBidi"/>
          <w:b w:val="0"/>
          <w:smallCaps w:val="0"/>
          <w:sz w:val="21"/>
          <w:szCs w:val="22"/>
        </w:rPr>
      </w:pPr>
      <w:r>
        <w:fldChar w:fldCharType="begin"/>
      </w:r>
      <w:r>
        <w:instrText xml:space="preserve"> HYPERLINK \l "_Toc87018361" </w:instrText>
      </w:r>
      <w:r>
        <w:fldChar w:fldCharType="separate"/>
      </w:r>
      <w:r>
        <w:rPr>
          <w:rStyle w:val="34"/>
          <w:b w:val="0"/>
        </w:rPr>
        <w:t>8.4</w:t>
      </w:r>
      <w:r>
        <w:rPr>
          <w:rStyle w:val="34"/>
          <w:rFonts w:hint="eastAsia"/>
          <w:b w:val="0"/>
        </w:rPr>
        <w:t>　监测频率及报警</w:t>
      </w:r>
      <w:r>
        <w:rPr>
          <w:b w:val="0"/>
        </w:rPr>
        <w:tab/>
      </w:r>
      <w:r>
        <w:rPr>
          <w:b w:val="0"/>
        </w:rPr>
        <w:fldChar w:fldCharType="begin"/>
      </w:r>
      <w:r>
        <w:rPr>
          <w:b w:val="0"/>
        </w:rPr>
        <w:instrText xml:space="preserve"> PAGEREF _Toc87018361 \h </w:instrText>
      </w:r>
      <w:r>
        <w:rPr>
          <w:b w:val="0"/>
        </w:rPr>
        <w:fldChar w:fldCharType="separate"/>
      </w:r>
      <w:r>
        <w:rPr>
          <w:b w:val="0"/>
        </w:rPr>
        <w:t>88</w:t>
      </w:r>
      <w:r>
        <w:rPr>
          <w:b w:val="0"/>
        </w:rPr>
        <w:fldChar w:fldCharType="end"/>
      </w:r>
      <w:r>
        <w:rPr>
          <w:b w:val="0"/>
        </w:rPr>
        <w:fldChar w:fldCharType="end"/>
      </w:r>
    </w:p>
    <w:p>
      <w:pPr>
        <w:pStyle w:val="22"/>
        <w:ind w:firstLine="0"/>
        <w:rPr>
          <w:rStyle w:val="34"/>
          <w:b w:val="0"/>
        </w:rPr>
      </w:pPr>
      <w:r>
        <w:fldChar w:fldCharType="begin"/>
      </w:r>
      <w:r>
        <w:instrText xml:space="preserve"> HYPERLINK \l "_Toc87018362" </w:instrText>
      </w:r>
      <w:r>
        <w:fldChar w:fldCharType="separate"/>
      </w:r>
      <w:r>
        <w:rPr>
          <w:rStyle w:val="34"/>
          <w:b w:val="0"/>
        </w:rPr>
        <w:t xml:space="preserve">9  </w:t>
      </w:r>
      <w:r>
        <w:rPr>
          <w:rStyle w:val="34"/>
          <w:rFonts w:hint="eastAsia"/>
          <w:b w:val="0"/>
        </w:rPr>
        <w:t>基坑工程环境保护</w:t>
      </w:r>
      <w:r>
        <w:rPr>
          <w:rStyle w:val="34"/>
          <w:b w:val="0"/>
        </w:rPr>
        <w:tab/>
      </w:r>
      <w:r>
        <w:rPr>
          <w:rStyle w:val="34"/>
          <w:b w:val="0"/>
        </w:rPr>
        <w:fldChar w:fldCharType="begin"/>
      </w:r>
      <w:r>
        <w:rPr>
          <w:rStyle w:val="34"/>
          <w:b w:val="0"/>
        </w:rPr>
        <w:instrText xml:space="preserve"> PAGEREF _Toc87018362 \h </w:instrText>
      </w:r>
      <w:r>
        <w:rPr>
          <w:rStyle w:val="34"/>
          <w:b w:val="0"/>
        </w:rPr>
        <w:fldChar w:fldCharType="separate"/>
      </w:r>
      <w:r>
        <w:rPr>
          <w:rStyle w:val="34"/>
          <w:b w:val="0"/>
        </w:rPr>
        <w:t>93</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"_Toc87018363" </w:instrText>
      </w:r>
      <w:r>
        <w:fldChar w:fldCharType="separate"/>
      </w:r>
      <w:r>
        <w:rPr>
          <w:rStyle w:val="34"/>
          <w:rFonts w:hint="eastAsia"/>
          <w:b w:val="0"/>
        </w:rPr>
        <w:t>附录</w:t>
      </w:r>
      <w:r>
        <w:rPr>
          <w:rStyle w:val="34"/>
          <w:b w:val="0"/>
        </w:rPr>
        <w:t xml:space="preserve">A  </w:t>
      </w:r>
      <w:r>
        <w:rPr>
          <w:rStyle w:val="34"/>
          <w:rFonts w:hint="eastAsia"/>
          <w:b w:val="0"/>
        </w:rPr>
        <w:t>特殊情况下的土压力</w:t>
      </w:r>
      <w:r>
        <w:rPr>
          <w:rStyle w:val="34"/>
          <w:b w:val="0"/>
        </w:rPr>
        <w:tab/>
      </w:r>
      <w:r>
        <w:rPr>
          <w:rStyle w:val="34"/>
          <w:b w:val="0"/>
        </w:rPr>
        <w:fldChar w:fldCharType="begin"/>
      </w:r>
      <w:r>
        <w:rPr>
          <w:rStyle w:val="34"/>
          <w:b w:val="0"/>
        </w:rPr>
        <w:instrText xml:space="preserve"> PAGEREF _Toc87018363 \h </w:instrText>
      </w:r>
      <w:r>
        <w:rPr>
          <w:rStyle w:val="34"/>
          <w:b w:val="0"/>
        </w:rPr>
        <w:fldChar w:fldCharType="separate"/>
      </w:r>
      <w:r>
        <w:rPr>
          <w:rStyle w:val="34"/>
          <w:b w:val="0"/>
        </w:rPr>
        <w:t>94</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"_Toc87018364" </w:instrText>
      </w:r>
      <w:r>
        <w:fldChar w:fldCharType="separate"/>
      </w:r>
      <w:r>
        <w:rPr>
          <w:rStyle w:val="34"/>
          <w:rFonts w:hint="eastAsia"/>
          <w:b w:val="0"/>
        </w:rPr>
        <w:t>附录</w:t>
      </w:r>
      <w:r>
        <w:rPr>
          <w:rStyle w:val="34"/>
          <w:b w:val="0"/>
        </w:rPr>
        <w:t xml:space="preserve">B  </w:t>
      </w:r>
      <w:r>
        <w:rPr>
          <w:rStyle w:val="34"/>
          <w:rFonts w:hint="eastAsia"/>
          <w:b w:val="0"/>
        </w:rPr>
        <w:t>锚杆、土钉黏结强度标准值参考指标</w:t>
      </w:r>
      <w:r>
        <w:rPr>
          <w:rStyle w:val="34"/>
          <w:b w:val="0"/>
        </w:rPr>
        <w:tab/>
      </w:r>
      <w:r>
        <w:rPr>
          <w:rStyle w:val="34"/>
          <w:b w:val="0"/>
        </w:rPr>
        <w:fldChar w:fldCharType="begin"/>
      </w:r>
      <w:r>
        <w:rPr>
          <w:rStyle w:val="34"/>
          <w:b w:val="0"/>
        </w:rPr>
        <w:instrText xml:space="preserve"> PAGEREF _Toc87018364 \h </w:instrText>
      </w:r>
      <w:r>
        <w:rPr>
          <w:rStyle w:val="34"/>
          <w:b w:val="0"/>
        </w:rPr>
        <w:fldChar w:fldCharType="separate"/>
      </w:r>
      <w:r>
        <w:rPr>
          <w:rStyle w:val="34"/>
          <w:b w:val="0"/>
        </w:rPr>
        <w:t>96</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"_Toc87018365" </w:instrText>
      </w:r>
      <w:r>
        <w:fldChar w:fldCharType="separate"/>
      </w:r>
      <w:r>
        <w:rPr>
          <w:rStyle w:val="34"/>
          <w:rFonts w:hint="eastAsia"/>
          <w:b w:val="0"/>
        </w:rPr>
        <w:t>附录</w:t>
      </w:r>
      <w:r>
        <w:rPr>
          <w:rStyle w:val="34"/>
          <w:b w:val="0"/>
        </w:rPr>
        <w:t xml:space="preserve">C  </w:t>
      </w:r>
      <w:r>
        <w:rPr>
          <w:rStyle w:val="34"/>
          <w:rFonts w:hint="eastAsia"/>
          <w:b w:val="0"/>
        </w:rPr>
        <w:t>渗透系数参考值</w:t>
      </w:r>
      <w:r>
        <w:rPr>
          <w:rStyle w:val="34"/>
          <w:b w:val="0"/>
        </w:rPr>
        <w:tab/>
      </w:r>
      <w:r>
        <w:rPr>
          <w:rStyle w:val="34"/>
          <w:b w:val="0"/>
        </w:rPr>
        <w:fldChar w:fldCharType="begin"/>
      </w:r>
      <w:r>
        <w:rPr>
          <w:rStyle w:val="34"/>
          <w:b w:val="0"/>
        </w:rPr>
        <w:instrText xml:space="preserve"> PAGEREF _Toc87018365 \h </w:instrText>
      </w:r>
      <w:r>
        <w:rPr>
          <w:rStyle w:val="34"/>
          <w:b w:val="0"/>
        </w:rPr>
        <w:fldChar w:fldCharType="separate"/>
      </w:r>
      <w:r>
        <w:rPr>
          <w:rStyle w:val="34"/>
          <w:b w:val="0"/>
        </w:rPr>
        <w:t>98</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"_Toc87018366" </w:instrText>
      </w:r>
      <w:r>
        <w:fldChar w:fldCharType="separate"/>
      </w:r>
      <w:r>
        <w:rPr>
          <w:rStyle w:val="34"/>
          <w:rFonts w:hint="eastAsia"/>
          <w:b w:val="0"/>
        </w:rPr>
        <w:t>附录</w:t>
      </w:r>
      <w:r>
        <w:rPr>
          <w:rStyle w:val="34"/>
          <w:b w:val="0"/>
        </w:rPr>
        <w:t xml:space="preserve">D  </w:t>
      </w:r>
      <w:r>
        <w:rPr>
          <w:rStyle w:val="34"/>
          <w:rFonts w:hint="eastAsia"/>
          <w:b w:val="0"/>
        </w:rPr>
        <w:t>锚杆基本试验</w:t>
      </w:r>
      <w:r>
        <w:rPr>
          <w:rStyle w:val="34"/>
          <w:b w:val="0"/>
        </w:rPr>
        <w:tab/>
      </w:r>
      <w:r>
        <w:rPr>
          <w:rStyle w:val="34"/>
          <w:b w:val="0"/>
        </w:rPr>
        <w:fldChar w:fldCharType="begin"/>
      </w:r>
      <w:r>
        <w:rPr>
          <w:rStyle w:val="34"/>
          <w:b w:val="0"/>
        </w:rPr>
        <w:instrText xml:space="preserve"> PAGEREF _Toc87018366 \h </w:instrText>
      </w:r>
      <w:r>
        <w:rPr>
          <w:rStyle w:val="34"/>
          <w:b w:val="0"/>
        </w:rPr>
        <w:fldChar w:fldCharType="separate"/>
      </w:r>
      <w:r>
        <w:rPr>
          <w:rStyle w:val="34"/>
          <w:b w:val="0"/>
        </w:rPr>
        <w:t>99</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"_Toc87018367" </w:instrText>
      </w:r>
      <w:r>
        <w:fldChar w:fldCharType="separate"/>
      </w:r>
      <w:r>
        <w:rPr>
          <w:rStyle w:val="34"/>
          <w:rFonts w:hint="eastAsia"/>
          <w:b w:val="0"/>
        </w:rPr>
        <w:t>附录</w:t>
      </w:r>
      <w:r>
        <w:rPr>
          <w:rStyle w:val="34"/>
          <w:b w:val="0"/>
        </w:rPr>
        <w:t xml:space="preserve">E  </w:t>
      </w:r>
      <w:r>
        <w:rPr>
          <w:rStyle w:val="34"/>
          <w:rFonts w:hint="eastAsia"/>
          <w:b w:val="0"/>
        </w:rPr>
        <w:t>土钉抗拔试验</w:t>
      </w:r>
      <w:r>
        <w:rPr>
          <w:rStyle w:val="34"/>
          <w:b w:val="0"/>
        </w:rPr>
        <w:tab/>
      </w:r>
      <w:r>
        <w:rPr>
          <w:rStyle w:val="34"/>
          <w:b w:val="0"/>
        </w:rPr>
        <w:fldChar w:fldCharType="begin"/>
      </w:r>
      <w:r>
        <w:rPr>
          <w:rStyle w:val="34"/>
          <w:b w:val="0"/>
        </w:rPr>
        <w:instrText xml:space="preserve"> PAGEREF _Toc87018367 \h </w:instrText>
      </w:r>
      <w:r>
        <w:rPr>
          <w:rStyle w:val="34"/>
          <w:b w:val="0"/>
        </w:rPr>
        <w:fldChar w:fldCharType="separate"/>
      </w:r>
      <w:r>
        <w:rPr>
          <w:rStyle w:val="34"/>
          <w:b w:val="0"/>
        </w:rPr>
        <w:t>103</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"_Toc87018368" </w:instrText>
      </w:r>
      <w:r>
        <w:fldChar w:fldCharType="separate"/>
      </w:r>
      <w:r>
        <w:rPr>
          <w:rStyle w:val="34"/>
          <w:rFonts w:hint="eastAsia"/>
          <w:b w:val="0"/>
        </w:rPr>
        <w:t>本规程用词说明</w:t>
      </w:r>
      <w:r>
        <w:rPr>
          <w:rStyle w:val="34"/>
          <w:b w:val="0"/>
        </w:rPr>
        <w:tab/>
      </w:r>
      <w:r>
        <w:rPr>
          <w:rStyle w:val="34"/>
          <w:b w:val="0"/>
        </w:rPr>
        <w:fldChar w:fldCharType="begin"/>
      </w:r>
      <w:r>
        <w:rPr>
          <w:rStyle w:val="34"/>
          <w:b w:val="0"/>
        </w:rPr>
        <w:instrText xml:space="preserve"> PAGEREF _Toc87018368 \h </w:instrText>
      </w:r>
      <w:r>
        <w:rPr>
          <w:rStyle w:val="34"/>
          <w:b w:val="0"/>
        </w:rPr>
        <w:fldChar w:fldCharType="separate"/>
      </w:r>
      <w:r>
        <w:rPr>
          <w:rStyle w:val="34"/>
          <w:b w:val="0"/>
        </w:rPr>
        <w:t>105</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"_Toc87018369" </w:instrText>
      </w:r>
      <w:r>
        <w:fldChar w:fldCharType="separate"/>
      </w:r>
      <w:r>
        <w:rPr>
          <w:rStyle w:val="34"/>
          <w:rFonts w:hint="eastAsia"/>
          <w:b w:val="0"/>
        </w:rPr>
        <w:t>引用标准名录</w:t>
      </w:r>
      <w:r>
        <w:rPr>
          <w:rStyle w:val="34"/>
          <w:b w:val="0"/>
        </w:rPr>
        <w:tab/>
      </w:r>
      <w:r>
        <w:rPr>
          <w:rStyle w:val="34"/>
          <w:b w:val="0"/>
        </w:rPr>
        <w:fldChar w:fldCharType="begin"/>
      </w:r>
      <w:r>
        <w:rPr>
          <w:rStyle w:val="34"/>
          <w:b w:val="0"/>
        </w:rPr>
        <w:instrText xml:space="preserve"> PAGEREF _Toc87018369 \h </w:instrText>
      </w:r>
      <w:r>
        <w:rPr>
          <w:rStyle w:val="34"/>
          <w:b w:val="0"/>
        </w:rPr>
        <w:fldChar w:fldCharType="separate"/>
      </w:r>
      <w:r>
        <w:rPr>
          <w:rStyle w:val="34"/>
          <w:b w:val="0"/>
        </w:rPr>
        <w:t>106</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"_Toc87018370" </w:instrText>
      </w:r>
      <w:r>
        <w:fldChar w:fldCharType="separate"/>
      </w:r>
      <w:r>
        <w:rPr>
          <w:rStyle w:val="34"/>
          <w:rFonts w:hint="eastAsia"/>
          <w:b w:val="0"/>
        </w:rPr>
        <w:t>条文说明</w:t>
      </w:r>
      <w:r>
        <w:rPr>
          <w:rStyle w:val="34"/>
          <w:b w:val="0"/>
        </w:rPr>
        <w:tab/>
      </w:r>
      <w:r>
        <w:rPr>
          <w:rStyle w:val="34"/>
          <w:b w:val="0"/>
        </w:rPr>
        <w:fldChar w:fldCharType="begin"/>
      </w:r>
      <w:r>
        <w:rPr>
          <w:rStyle w:val="34"/>
          <w:b w:val="0"/>
        </w:rPr>
        <w:instrText xml:space="preserve"> PAGEREF _Toc87018370 \h </w:instrText>
      </w:r>
      <w:r>
        <w:rPr>
          <w:rStyle w:val="34"/>
          <w:b w:val="0"/>
        </w:rPr>
        <w:fldChar w:fldCharType="separate"/>
      </w:r>
      <w:r>
        <w:rPr>
          <w:rStyle w:val="34"/>
          <w:b w:val="0"/>
        </w:rPr>
        <w:t>107</w:t>
      </w:r>
      <w:r>
        <w:rPr>
          <w:rStyle w:val="34"/>
          <w:b w:val="0"/>
        </w:rPr>
        <w:fldChar w:fldCharType="end"/>
      </w:r>
      <w:r>
        <w:rPr>
          <w:rStyle w:val="34"/>
          <w:b w:val="0"/>
        </w:rPr>
        <w:fldChar w:fldCharType="end"/>
      </w:r>
    </w:p>
    <w:p>
      <w:pPr>
        <w:spacing w:line="312" w:lineRule="auto"/>
        <w:rPr>
          <w:b/>
          <w:sz w:val="24"/>
        </w:rPr>
      </w:pPr>
      <w:r>
        <w:rPr>
          <w:sz w:val="24"/>
        </w:rPr>
        <w:fldChar w:fldCharType="end"/>
      </w:r>
    </w:p>
    <w:p>
      <w:pPr>
        <w:spacing w:line="360" w:lineRule="auto"/>
        <w:rPr>
          <w:b/>
          <w:sz w:val="24"/>
        </w:rPr>
      </w:pPr>
    </w:p>
    <w:p>
      <w:pPr>
        <w:spacing w:line="360" w:lineRule="auto"/>
        <w:rPr>
          <w:b/>
          <w:sz w:val="24"/>
        </w:rPr>
        <w:sectPr>
          <w:footerReference r:id="rId7" w:type="first"/>
          <w:pgSz w:w="11907" w:h="16840"/>
          <w:pgMar w:top="1418" w:right="1134" w:bottom="1134" w:left="1701" w:header="851" w:footer="567" w:gutter="0"/>
          <w:pgNumType w:start="1"/>
          <w:cols w:space="720" w:num="1"/>
          <w:titlePg/>
          <w:docGrid w:linePitch="312" w:charSpace="0"/>
        </w:sectPr>
      </w:pPr>
    </w:p>
    <w:p>
      <w:pPr>
        <w:spacing w:line="360" w:lineRule="auto"/>
        <w:jc w:val="center"/>
        <w:outlineLvl w:val="4"/>
        <w:rPr>
          <w:b/>
          <w:sz w:val="28"/>
          <w:szCs w:val="28"/>
        </w:rPr>
      </w:pPr>
      <w:r>
        <w:rPr>
          <w:b/>
          <w:sz w:val="28"/>
          <w:szCs w:val="28"/>
        </w:rPr>
        <w:t>Contents</w:t>
      </w:r>
    </w:p>
    <w:p>
      <w:pPr>
        <w:pStyle w:val="22"/>
        <w:ind w:firstLine="0"/>
        <w:rPr>
          <w:rStyle w:val="34"/>
          <w:b w:val="0"/>
        </w:rPr>
      </w:pPr>
      <w:r>
        <w:rPr>
          <w:b w:val="0"/>
          <w:bCs/>
          <w:caps/>
        </w:rPr>
        <w:fldChar w:fldCharType="begin"/>
      </w:r>
      <w:r>
        <w:rPr>
          <w:b w:val="0"/>
        </w:rPr>
        <w:instrText xml:space="preserve"> TOC \o "1-2" \h \z \u </w:instrText>
      </w:r>
      <w:r>
        <w:rPr>
          <w:b w:val="0"/>
          <w:bCs/>
          <w:caps/>
        </w:rPr>
        <w:fldChar w:fldCharType="separate"/>
      </w:r>
      <w:r>
        <w:fldChar w:fldCharType="begin"/>
      </w:r>
      <w:r>
        <w:instrText xml:space="preserve"> HYPERLINK \l "_Toc45197503" </w:instrText>
      </w:r>
      <w:r>
        <w:fldChar w:fldCharType="separate"/>
      </w:r>
      <w:r>
        <w:rPr>
          <w:rStyle w:val="34"/>
          <w:b w:val="0"/>
        </w:rPr>
        <w:t xml:space="preserve">1  </w:t>
      </w:r>
      <w:r>
        <w:rPr>
          <w:rStyle w:val="34"/>
          <w:b w:val="0"/>
          <w:smallCaps w:val="0"/>
        </w:rPr>
        <w:t>General</w:t>
      </w:r>
      <w:r>
        <w:rPr>
          <w:rStyle w:val="34"/>
          <w:b w:val="0"/>
        </w:rPr>
        <w:tab/>
      </w:r>
      <w:r>
        <w:rPr>
          <w:rStyle w:val="34"/>
          <w:b w:val="0"/>
        </w:rPr>
        <w:fldChar w:fldCharType="begin"/>
      </w:r>
      <w:r>
        <w:rPr>
          <w:rStyle w:val="34"/>
          <w:b w:val="0"/>
        </w:rPr>
        <w:instrText xml:space="preserve"> PAGEREF _Toc45197503 \h </w:instrText>
      </w:r>
      <w:r>
        <w:rPr>
          <w:rStyle w:val="34"/>
          <w:b w:val="0"/>
        </w:rPr>
        <w:fldChar w:fldCharType="separate"/>
      </w:r>
      <w:r>
        <w:rPr>
          <w:rStyle w:val="34"/>
          <w:b w:val="0"/>
        </w:rPr>
        <w:t>1</w:t>
      </w:r>
      <w:r>
        <w:rPr>
          <w:rStyle w:val="34"/>
          <w:b w:val="0"/>
        </w:rPr>
        <w:fldChar w:fldCharType="end"/>
      </w:r>
      <w:r>
        <w:rPr>
          <w:rStyle w:val="34"/>
          <w:b w:val="0"/>
        </w:rPr>
        <w:fldChar w:fldCharType="end"/>
      </w:r>
    </w:p>
    <w:p>
      <w:pPr>
        <w:pStyle w:val="22"/>
        <w:ind w:firstLine="0"/>
        <w:rPr>
          <w:rStyle w:val="34"/>
          <w:b w:val="0"/>
        </w:rPr>
      </w:pPr>
      <w:r>
        <w:fldChar w:fldCharType="begin"/>
      </w:r>
      <w:r>
        <w:instrText xml:space="preserve"> HYPERLINK \l "_Toc45197504" </w:instrText>
      </w:r>
      <w:r>
        <w:fldChar w:fldCharType="separate"/>
      </w:r>
      <w:r>
        <w:rPr>
          <w:rStyle w:val="34"/>
          <w:b w:val="0"/>
        </w:rPr>
        <w:t xml:space="preserve">2  </w:t>
      </w:r>
      <w:r>
        <w:rPr>
          <w:rStyle w:val="34"/>
          <w:b w:val="0"/>
          <w:smallCaps w:val="0"/>
        </w:rPr>
        <w:t>Terms and Symbols</w:t>
      </w:r>
      <w:r>
        <w:rPr>
          <w:rStyle w:val="34"/>
          <w:b w:val="0"/>
        </w:rPr>
        <w:tab/>
      </w:r>
      <w:r>
        <w:rPr>
          <w:rStyle w:val="34"/>
          <w:b w:val="0"/>
        </w:rPr>
        <w:fldChar w:fldCharType="begin"/>
      </w:r>
      <w:r>
        <w:rPr>
          <w:rStyle w:val="34"/>
          <w:b w:val="0"/>
        </w:rPr>
        <w:instrText xml:space="preserve"> PAGEREF _Toc45197504 \h </w:instrText>
      </w:r>
      <w:r>
        <w:rPr>
          <w:rStyle w:val="34"/>
          <w:b w:val="0"/>
        </w:rPr>
        <w:fldChar w:fldCharType="separate"/>
      </w:r>
      <w:r>
        <w:rPr>
          <w:rStyle w:val="34"/>
          <w:b w:val="0"/>
        </w:rPr>
        <w:t>2</w:t>
      </w:r>
      <w:r>
        <w:rPr>
          <w:rStyle w:val="34"/>
          <w:b w:val="0"/>
        </w:rPr>
        <w:fldChar w:fldCharType="end"/>
      </w:r>
      <w:r>
        <w:rPr>
          <w:rStyle w:val="34"/>
          <w:b w:val="0"/>
        </w:rPr>
        <w:fldChar w:fldCharType="end"/>
      </w:r>
    </w:p>
    <w:p>
      <w:pPr>
        <w:pStyle w:val="22"/>
        <w:rPr>
          <w:b w:val="0"/>
        </w:rPr>
      </w:pPr>
      <w:r>
        <w:fldChar w:fldCharType="begin"/>
      </w:r>
      <w:r>
        <w:instrText xml:space="preserve"> HYPERLINK \l "_Toc45197505" </w:instrText>
      </w:r>
      <w:r>
        <w:fldChar w:fldCharType="separate"/>
      </w:r>
      <w:r>
        <w:rPr>
          <w:rStyle w:val="34"/>
          <w:b w:val="0"/>
          <w:smallCaps w:val="0"/>
        </w:rPr>
        <w:t>2.1  Terms</w:t>
      </w:r>
      <w:r>
        <w:rPr>
          <w:b w:val="0"/>
        </w:rPr>
        <w:tab/>
      </w:r>
      <w:r>
        <w:rPr>
          <w:b w:val="0"/>
        </w:rPr>
        <w:fldChar w:fldCharType="begin"/>
      </w:r>
      <w:r>
        <w:rPr>
          <w:b w:val="0"/>
        </w:rPr>
        <w:instrText xml:space="preserve"> PAGEREF _Toc45197505 \h </w:instrText>
      </w:r>
      <w:r>
        <w:rPr>
          <w:b w:val="0"/>
        </w:rPr>
        <w:fldChar w:fldCharType="separate"/>
      </w:r>
      <w:r>
        <w:rPr>
          <w:b w:val="0"/>
        </w:rPr>
        <w:t>2</w:t>
      </w:r>
      <w:r>
        <w:rPr>
          <w:b w:val="0"/>
        </w:rPr>
        <w:fldChar w:fldCharType="end"/>
      </w:r>
      <w:r>
        <w:rPr>
          <w:b w:val="0"/>
        </w:rPr>
        <w:fldChar w:fldCharType="end"/>
      </w:r>
    </w:p>
    <w:p>
      <w:pPr>
        <w:pStyle w:val="22"/>
        <w:rPr>
          <w:b w:val="0"/>
        </w:rPr>
      </w:pPr>
      <w:r>
        <w:fldChar w:fldCharType="begin"/>
      </w:r>
      <w:r>
        <w:instrText xml:space="preserve"> HYPERLINK \l "_Toc45197506" </w:instrText>
      </w:r>
      <w:r>
        <w:fldChar w:fldCharType="separate"/>
      </w:r>
      <w:r>
        <w:rPr>
          <w:rStyle w:val="34"/>
          <w:b w:val="0"/>
          <w:smallCaps w:val="0"/>
        </w:rPr>
        <w:t>2.2  Symbols</w:t>
      </w:r>
      <w:r>
        <w:rPr>
          <w:b w:val="0"/>
        </w:rPr>
        <w:tab/>
      </w:r>
      <w:r>
        <w:rPr>
          <w:b w:val="0"/>
        </w:rPr>
        <w:fldChar w:fldCharType="begin"/>
      </w:r>
      <w:r>
        <w:rPr>
          <w:b w:val="0"/>
        </w:rPr>
        <w:instrText xml:space="preserve"> PAGEREF _Toc45197506 \h </w:instrText>
      </w:r>
      <w:r>
        <w:rPr>
          <w:b w:val="0"/>
        </w:rPr>
        <w:fldChar w:fldCharType="separate"/>
      </w:r>
      <w:r>
        <w:rPr>
          <w:b w:val="0"/>
        </w:rPr>
        <w:t>4</w:t>
      </w:r>
      <w:r>
        <w:rPr>
          <w:b w:val="0"/>
        </w:rPr>
        <w:fldChar w:fldCharType="end"/>
      </w:r>
      <w:r>
        <w:rPr>
          <w:b w:val="0"/>
        </w:rPr>
        <w:fldChar w:fldCharType="end"/>
      </w:r>
    </w:p>
    <w:p>
      <w:pPr>
        <w:pStyle w:val="18"/>
        <w:ind w:left="1424" w:hanging="1424"/>
        <w:rPr>
          <w:rFonts w:ascii="Times New Roman" w:hAnsi="Times New Roman"/>
          <w:b w:val="0"/>
          <w:sz w:val="24"/>
          <w:szCs w:val="24"/>
        </w:rPr>
      </w:pPr>
      <w:r>
        <w:fldChar w:fldCharType="begin"/>
      </w:r>
      <w:r>
        <w:instrText xml:space="preserve"> HYPERLINK \l "_Toc45197507" </w:instrText>
      </w:r>
      <w:r>
        <w:fldChar w:fldCharType="separate"/>
      </w:r>
      <w:r>
        <w:rPr>
          <w:rStyle w:val="34"/>
          <w:rFonts w:ascii="Times New Roman" w:hAnsi="Times New Roman"/>
          <w:b w:val="0"/>
          <w:caps w:val="0"/>
          <w:sz w:val="24"/>
          <w:szCs w:val="24"/>
        </w:rPr>
        <w:t>3  Basic Provisions</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_Toc45197507 \h </w:instrText>
      </w:r>
      <w:r>
        <w:rPr>
          <w:rFonts w:ascii="Times New Roman" w:hAnsi="Times New Roman"/>
          <w:b w:val="0"/>
          <w:sz w:val="24"/>
          <w:szCs w:val="24"/>
        </w:rPr>
        <w:fldChar w:fldCharType="separate"/>
      </w:r>
      <w:r>
        <w:rPr>
          <w:rFonts w:ascii="Times New Roman" w:hAnsi="Times New Roman"/>
          <w:b w:val="0"/>
          <w:sz w:val="24"/>
          <w:szCs w:val="24"/>
        </w:rPr>
        <w:t>7</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2"/>
        <w:rPr>
          <w:b w:val="0"/>
        </w:rPr>
      </w:pPr>
      <w:r>
        <w:fldChar w:fldCharType="begin"/>
      </w:r>
      <w:r>
        <w:instrText xml:space="preserve"> HYPERLINK \l "_Toc45197508" </w:instrText>
      </w:r>
      <w:r>
        <w:fldChar w:fldCharType="separate"/>
      </w:r>
      <w:r>
        <w:rPr>
          <w:rStyle w:val="34"/>
          <w:b w:val="0"/>
          <w:smallCaps w:val="0"/>
        </w:rPr>
        <w:t>3.1  Survey and Environmental Investigation</w:t>
      </w:r>
      <w:r>
        <w:rPr>
          <w:b w:val="0"/>
        </w:rPr>
        <w:tab/>
      </w:r>
      <w:r>
        <w:rPr>
          <w:b w:val="0"/>
        </w:rPr>
        <w:fldChar w:fldCharType="begin"/>
      </w:r>
      <w:r>
        <w:rPr>
          <w:b w:val="0"/>
        </w:rPr>
        <w:instrText xml:space="preserve"> PAGEREF _Toc45197508 \h </w:instrText>
      </w:r>
      <w:r>
        <w:rPr>
          <w:b w:val="0"/>
        </w:rPr>
        <w:fldChar w:fldCharType="separate"/>
      </w:r>
      <w:r>
        <w:rPr>
          <w:b w:val="0"/>
        </w:rPr>
        <w:t>7</w:t>
      </w:r>
      <w:r>
        <w:rPr>
          <w:b w:val="0"/>
        </w:rPr>
        <w:fldChar w:fldCharType="end"/>
      </w:r>
      <w:r>
        <w:rPr>
          <w:b w:val="0"/>
        </w:rPr>
        <w:fldChar w:fldCharType="end"/>
      </w:r>
    </w:p>
    <w:p>
      <w:pPr>
        <w:pStyle w:val="22"/>
        <w:rPr>
          <w:b w:val="0"/>
        </w:rPr>
      </w:pPr>
      <w:r>
        <w:fldChar w:fldCharType="begin"/>
      </w:r>
      <w:r>
        <w:instrText xml:space="preserve"> HYPERLINK \l "_Toc45197509" </w:instrText>
      </w:r>
      <w:r>
        <w:fldChar w:fldCharType="separate"/>
      </w:r>
      <w:r>
        <w:rPr>
          <w:rStyle w:val="34"/>
          <w:b w:val="0"/>
          <w:smallCaps w:val="0"/>
        </w:rPr>
        <w:t>3.2  Principles</w:t>
      </w:r>
      <w:r>
        <w:rPr>
          <w:b w:val="0"/>
        </w:rPr>
        <w:t xml:space="preserve"> </w:t>
      </w:r>
      <w:r>
        <w:rPr>
          <w:rStyle w:val="34"/>
          <w:b w:val="0"/>
          <w:smallCaps w:val="0"/>
        </w:rPr>
        <w:t>Design</w:t>
      </w:r>
      <w:r>
        <w:rPr>
          <w:b w:val="0"/>
        </w:rPr>
        <w:tab/>
      </w:r>
      <w:r>
        <w:rPr>
          <w:b w:val="0"/>
        </w:rPr>
        <w:fldChar w:fldCharType="begin"/>
      </w:r>
      <w:r>
        <w:rPr>
          <w:b w:val="0"/>
        </w:rPr>
        <w:instrText xml:space="preserve"> PAGEREF _Toc45197509 \h </w:instrText>
      </w:r>
      <w:r>
        <w:rPr>
          <w:b w:val="0"/>
        </w:rPr>
        <w:fldChar w:fldCharType="separate"/>
      </w:r>
      <w:r>
        <w:rPr>
          <w:b w:val="0"/>
        </w:rPr>
        <w:t>7</w:t>
      </w:r>
      <w:r>
        <w:rPr>
          <w:b w:val="0"/>
        </w:rPr>
        <w:fldChar w:fldCharType="end"/>
      </w:r>
      <w:r>
        <w:rPr>
          <w:b w:val="0"/>
        </w:rPr>
        <w:fldChar w:fldCharType="end"/>
      </w:r>
    </w:p>
    <w:p>
      <w:pPr>
        <w:pStyle w:val="18"/>
        <w:ind w:left="1424" w:hanging="1424"/>
        <w:rPr>
          <w:rFonts w:ascii="Times New Roman" w:hAnsi="Times New Roman"/>
          <w:b w:val="0"/>
          <w:sz w:val="24"/>
          <w:szCs w:val="24"/>
        </w:rPr>
      </w:pPr>
      <w:r>
        <w:fldChar w:fldCharType="begin"/>
      </w:r>
      <w:r>
        <w:instrText xml:space="preserve"> HYPERLINK \l "_Toc45197510" </w:instrText>
      </w:r>
      <w:r>
        <w:fldChar w:fldCharType="separate"/>
      </w:r>
      <w:r>
        <w:rPr>
          <w:rStyle w:val="34"/>
          <w:rFonts w:ascii="Times New Roman" w:hAnsi="Times New Roman"/>
          <w:b w:val="0"/>
          <w:caps w:val="0"/>
          <w:sz w:val="24"/>
          <w:szCs w:val="24"/>
        </w:rPr>
        <w:t>4  Foundation Pit Engineering Investigation and Surrounding Environment Investigation</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_Toc45197510 \h </w:instrText>
      </w:r>
      <w:r>
        <w:rPr>
          <w:rFonts w:ascii="Times New Roman" w:hAnsi="Times New Roman"/>
          <w:b w:val="0"/>
          <w:sz w:val="24"/>
          <w:szCs w:val="24"/>
        </w:rPr>
        <w:fldChar w:fldCharType="separate"/>
      </w:r>
      <w:r>
        <w:rPr>
          <w:rFonts w:ascii="Times New Roman" w:hAnsi="Times New Roman"/>
          <w:b w:val="0"/>
          <w:sz w:val="24"/>
          <w:szCs w:val="24"/>
        </w:rPr>
        <w:t>12</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2"/>
        <w:rPr>
          <w:b w:val="0"/>
        </w:rPr>
      </w:pPr>
      <w:r>
        <w:fldChar w:fldCharType="begin"/>
      </w:r>
      <w:r>
        <w:instrText xml:space="preserve"> HYPERLINK \l "_Toc45197511" </w:instrText>
      </w:r>
      <w:r>
        <w:fldChar w:fldCharType="separate"/>
      </w:r>
      <w:r>
        <w:rPr>
          <w:rStyle w:val="34"/>
          <w:b w:val="0"/>
          <w:smallCaps w:val="0"/>
        </w:rPr>
        <w:t>4.1  General</w:t>
      </w:r>
      <w:r>
        <w:rPr>
          <w:b w:val="0"/>
        </w:rPr>
        <w:tab/>
      </w:r>
      <w:r>
        <w:rPr>
          <w:b w:val="0"/>
        </w:rPr>
        <w:fldChar w:fldCharType="begin"/>
      </w:r>
      <w:r>
        <w:rPr>
          <w:b w:val="0"/>
        </w:rPr>
        <w:instrText xml:space="preserve"> PAGEREF _Toc45197511 \h </w:instrText>
      </w:r>
      <w:r>
        <w:rPr>
          <w:b w:val="0"/>
        </w:rPr>
        <w:fldChar w:fldCharType="separate"/>
      </w:r>
      <w:r>
        <w:rPr>
          <w:b w:val="0"/>
        </w:rPr>
        <w:t>12</w:t>
      </w:r>
      <w:r>
        <w:rPr>
          <w:b w:val="0"/>
        </w:rPr>
        <w:fldChar w:fldCharType="end"/>
      </w:r>
      <w:r>
        <w:rPr>
          <w:b w:val="0"/>
        </w:rPr>
        <w:fldChar w:fldCharType="end"/>
      </w:r>
    </w:p>
    <w:p>
      <w:pPr>
        <w:pStyle w:val="22"/>
        <w:rPr>
          <w:b w:val="0"/>
        </w:rPr>
      </w:pPr>
      <w:r>
        <w:fldChar w:fldCharType="begin"/>
      </w:r>
      <w:r>
        <w:instrText xml:space="preserve"> HYPERLINK \l "_Toc45197512" </w:instrText>
      </w:r>
      <w:r>
        <w:fldChar w:fldCharType="separate"/>
      </w:r>
      <w:r>
        <w:rPr>
          <w:rStyle w:val="34"/>
          <w:b w:val="0"/>
          <w:smallCaps w:val="0"/>
        </w:rPr>
        <w:t>4.2  Surrounding Environment Investigation</w:t>
      </w:r>
      <w:r>
        <w:rPr>
          <w:b w:val="0"/>
        </w:rPr>
        <w:tab/>
      </w:r>
      <w:r>
        <w:rPr>
          <w:b w:val="0"/>
        </w:rPr>
        <w:fldChar w:fldCharType="begin"/>
      </w:r>
      <w:r>
        <w:rPr>
          <w:b w:val="0"/>
        </w:rPr>
        <w:instrText xml:space="preserve"> PAGEREF _Toc45197512 \h </w:instrText>
      </w:r>
      <w:r>
        <w:rPr>
          <w:b w:val="0"/>
        </w:rPr>
        <w:fldChar w:fldCharType="separate"/>
      </w:r>
      <w:r>
        <w:rPr>
          <w:b w:val="0"/>
        </w:rPr>
        <w:t>12</w:t>
      </w:r>
      <w:r>
        <w:rPr>
          <w:b w:val="0"/>
        </w:rPr>
        <w:fldChar w:fldCharType="end"/>
      </w:r>
      <w:r>
        <w:rPr>
          <w:b w:val="0"/>
        </w:rPr>
        <w:fldChar w:fldCharType="end"/>
      </w:r>
    </w:p>
    <w:p>
      <w:pPr>
        <w:pStyle w:val="22"/>
        <w:rPr>
          <w:b w:val="0"/>
        </w:rPr>
      </w:pPr>
      <w:r>
        <w:fldChar w:fldCharType="begin"/>
      </w:r>
      <w:r>
        <w:instrText xml:space="preserve"> HYPERLINK \l "_Toc45197513" </w:instrText>
      </w:r>
      <w:r>
        <w:fldChar w:fldCharType="separate"/>
      </w:r>
      <w:r>
        <w:rPr>
          <w:rStyle w:val="34"/>
          <w:b w:val="0"/>
          <w:smallCaps w:val="0"/>
        </w:rPr>
        <w:t>4.3  Survey</w:t>
      </w:r>
      <w:r>
        <w:rPr>
          <w:b w:val="0"/>
        </w:rPr>
        <w:tab/>
      </w:r>
      <w:r>
        <w:rPr>
          <w:b w:val="0"/>
        </w:rPr>
        <w:fldChar w:fldCharType="begin"/>
      </w:r>
      <w:r>
        <w:rPr>
          <w:b w:val="0"/>
        </w:rPr>
        <w:instrText xml:space="preserve"> PAGEREF _Toc45197513 \h </w:instrText>
      </w:r>
      <w:r>
        <w:rPr>
          <w:b w:val="0"/>
        </w:rPr>
        <w:fldChar w:fldCharType="separate"/>
      </w:r>
      <w:r>
        <w:rPr>
          <w:b w:val="0"/>
        </w:rPr>
        <w:t>13</w:t>
      </w:r>
      <w:r>
        <w:rPr>
          <w:b w:val="0"/>
        </w:rPr>
        <w:fldChar w:fldCharType="end"/>
      </w:r>
      <w:r>
        <w:rPr>
          <w:b w:val="0"/>
        </w:rPr>
        <w:fldChar w:fldCharType="end"/>
      </w:r>
    </w:p>
    <w:p>
      <w:pPr>
        <w:pStyle w:val="22"/>
        <w:rPr>
          <w:b w:val="0"/>
        </w:rPr>
      </w:pPr>
      <w:r>
        <w:fldChar w:fldCharType="begin"/>
      </w:r>
      <w:r>
        <w:instrText xml:space="preserve"> HYPERLINK \l "_Toc45197514" </w:instrText>
      </w:r>
      <w:r>
        <w:fldChar w:fldCharType="separate"/>
      </w:r>
      <w:r>
        <w:rPr>
          <w:rStyle w:val="34"/>
          <w:b w:val="0"/>
          <w:smallCaps w:val="0"/>
        </w:rPr>
        <w:t>4.4  Sample Collection and Laboratory Test</w:t>
      </w:r>
      <w:r>
        <w:rPr>
          <w:b w:val="0"/>
        </w:rPr>
        <w:tab/>
      </w:r>
      <w:r>
        <w:rPr>
          <w:b w:val="0"/>
        </w:rPr>
        <w:fldChar w:fldCharType="begin"/>
      </w:r>
      <w:r>
        <w:rPr>
          <w:b w:val="0"/>
        </w:rPr>
        <w:instrText xml:space="preserve"> PAGEREF _Toc45197514 \h </w:instrText>
      </w:r>
      <w:r>
        <w:rPr>
          <w:b w:val="0"/>
        </w:rPr>
        <w:fldChar w:fldCharType="separate"/>
      </w:r>
      <w:r>
        <w:rPr>
          <w:b w:val="0"/>
        </w:rPr>
        <w:t>15</w:t>
      </w:r>
      <w:r>
        <w:rPr>
          <w:b w:val="0"/>
        </w:rPr>
        <w:fldChar w:fldCharType="end"/>
      </w:r>
      <w:r>
        <w:rPr>
          <w:b w:val="0"/>
        </w:rPr>
        <w:fldChar w:fldCharType="end"/>
      </w:r>
    </w:p>
    <w:p>
      <w:pPr>
        <w:pStyle w:val="22"/>
        <w:rPr>
          <w:b w:val="0"/>
        </w:rPr>
      </w:pPr>
      <w:r>
        <w:fldChar w:fldCharType="begin"/>
      </w:r>
      <w:r>
        <w:instrText xml:space="preserve"> HYPERLINK \l "_Toc45197515" </w:instrText>
      </w:r>
      <w:r>
        <w:fldChar w:fldCharType="separate"/>
      </w:r>
      <w:r>
        <w:rPr>
          <w:rStyle w:val="34"/>
          <w:b w:val="0"/>
          <w:smallCaps w:val="0"/>
        </w:rPr>
        <w:t>4.5  In Situ Test</w:t>
      </w:r>
      <w:r>
        <w:rPr>
          <w:b w:val="0"/>
        </w:rPr>
        <w:tab/>
      </w:r>
      <w:r>
        <w:rPr>
          <w:b w:val="0"/>
        </w:rPr>
        <w:fldChar w:fldCharType="begin"/>
      </w:r>
      <w:r>
        <w:rPr>
          <w:b w:val="0"/>
        </w:rPr>
        <w:instrText xml:space="preserve"> PAGEREF _Toc45197515 \h </w:instrText>
      </w:r>
      <w:r>
        <w:rPr>
          <w:b w:val="0"/>
        </w:rPr>
        <w:fldChar w:fldCharType="separate"/>
      </w:r>
      <w:r>
        <w:rPr>
          <w:b w:val="0"/>
        </w:rPr>
        <w:t>15</w:t>
      </w:r>
      <w:r>
        <w:rPr>
          <w:b w:val="0"/>
        </w:rPr>
        <w:fldChar w:fldCharType="end"/>
      </w:r>
      <w:r>
        <w:rPr>
          <w:b w:val="0"/>
        </w:rPr>
        <w:fldChar w:fldCharType="end"/>
      </w:r>
    </w:p>
    <w:p>
      <w:pPr>
        <w:pStyle w:val="22"/>
        <w:rPr>
          <w:b w:val="0"/>
        </w:rPr>
      </w:pPr>
      <w:r>
        <w:fldChar w:fldCharType="begin"/>
      </w:r>
      <w:r>
        <w:instrText xml:space="preserve"> HYPERLINK \l "_Toc45197516" </w:instrText>
      </w:r>
      <w:r>
        <w:fldChar w:fldCharType="separate"/>
      </w:r>
      <w:r>
        <w:rPr>
          <w:rStyle w:val="34"/>
          <w:b w:val="0"/>
          <w:smallCaps w:val="0"/>
        </w:rPr>
        <w:t>4.6  Hydrogeology</w:t>
      </w:r>
      <w:r>
        <w:rPr>
          <w:b w:val="0"/>
        </w:rPr>
        <w:tab/>
      </w:r>
      <w:r>
        <w:rPr>
          <w:b w:val="0"/>
        </w:rPr>
        <w:fldChar w:fldCharType="begin"/>
      </w:r>
      <w:r>
        <w:rPr>
          <w:b w:val="0"/>
        </w:rPr>
        <w:instrText xml:space="preserve"> PAGEREF _Toc45197516 \h </w:instrText>
      </w:r>
      <w:r>
        <w:rPr>
          <w:b w:val="0"/>
        </w:rPr>
        <w:fldChar w:fldCharType="separate"/>
      </w:r>
      <w:r>
        <w:rPr>
          <w:b w:val="0"/>
        </w:rPr>
        <w:t>16</w:t>
      </w:r>
      <w:r>
        <w:rPr>
          <w:b w:val="0"/>
        </w:rPr>
        <w:fldChar w:fldCharType="end"/>
      </w:r>
      <w:r>
        <w:rPr>
          <w:b w:val="0"/>
        </w:rPr>
        <w:fldChar w:fldCharType="end"/>
      </w:r>
    </w:p>
    <w:p>
      <w:pPr>
        <w:pStyle w:val="22"/>
        <w:rPr>
          <w:b w:val="0"/>
        </w:rPr>
      </w:pPr>
      <w:r>
        <w:fldChar w:fldCharType="begin"/>
      </w:r>
      <w:r>
        <w:instrText xml:space="preserve"> HYPERLINK \l "_Toc45197517" </w:instrText>
      </w:r>
      <w:r>
        <w:fldChar w:fldCharType="separate"/>
      </w:r>
      <w:r>
        <w:rPr>
          <w:rStyle w:val="34"/>
          <w:b w:val="0"/>
          <w:smallCaps w:val="0"/>
        </w:rPr>
        <w:t>4.7  Analysis and Evaluation of Foundation Pit Stability</w:t>
      </w:r>
      <w:r>
        <w:rPr>
          <w:b w:val="0"/>
        </w:rPr>
        <w:tab/>
      </w:r>
      <w:r>
        <w:rPr>
          <w:b w:val="0"/>
        </w:rPr>
        <w:fldChar w:fldCharType="begin"/>
      </w:r>
      <w:r>
        <w:rPr>
          <w:b w:val="0"/>
        </w:rPr>
        <w:instrText xml:space="preserve"> PAGEREF _Toc45197517 \h </w:instrText>
      </w:r>
      <w:r>
        <w:rPr>
          <w:b w:val="0"/>
        </w:rPr>
        <w:fldChar w:fldCharType="separate"/>
      </w:r>
      <w:r>
        <w:rPr>
          <w:b w:val="0"/>
        </w:rPr>
        <w:t>16</w:t>
      </w:r>
      <w:r>
        <w:rPr>
          <w:b w:val="0"/>
        </w:rPr>
        <w:fldChar w:fldCharType="end"/>
      </w:r>
      <w:r>
        <w:rPr>
          <w:b w:val="0"/>
        </w:rPr>
        <w:fldChar w:fldCharType="end"/>
      </w:r>
    </w:p>
    <w:p>
      <w:pPr>
        <w:pStyle w:val="22"/>
        <w:rPr>
          <w:b w:val="0"/>
        </w:rPr>
      </w:pPr>
      <w:r>
        <w:fldChar w:fldCharType="begin"/>
      </w:r>
      <w:r>
        <w:instrText xml:space="preserve"> HYPERLINK \l "_Toc45197518" </w:instrText>
      </w:r>
      <w:r>
        <w:fldChar w:fldCharType="separate"/>
      </w:r>
      <w:r>
        <w:rPr>
          <w:rStyle w:val="34"/>
          <w:b w:val="0"/>
          <w:smallCaps w:val="0"/>
        </w:rPr>
        <w:t>4.8  Survey Results</w:t>
      </w:r>
      <w:r>
        <w:rPr>
          <w:b w:val="0"/>
        </w:rPr>
        <w:tab/>
      </w:r>
      <w:r>
        <w:rPr>
          <w:b w:val="0"/>
        </w:rPr>
        <w:fldChar w:fldCharType="begin"/>
      </w:r>
      <w:r>
        <w:rPr>
          <w:b w:val="0"/>
        </w:rPr>
        <w:instrText xml:space="preserve"> PAGEREF _Toc45197518 \h </w:instrText>
      </w:r>
      <w:r>
        <w:rPr>
          <w:b w:val="0"/>
        </w:rPr>
        <w:fldChar w:fldCharType="separate"/>
      </w:r>
      <w:r>
        <w:rPr>
          <w:b w:val="0"/>
        </w:rPr>
        <w:t>16</w:t>
      </w:r>
      <w:r>
        <w:rPr>
          <w:b w:val="0"/>
        </w:rPr>
        <w:fldChar w:fldCharType="end"/>
      </w:r>
      <w:r>
        <w:rPr>
          <w:b w:val="0"/>
        </w:rPr>
        <w:fldChar w:fldCharType="end"/>
      </w:r>
    </w:p>
    <w:p>
      <w:pPr>
        <w:pStyle w:val="18"/>
        <w:ind w:left="1424" w:hanging="1424"/>
        <w:rPr>
          <w:rFonts w:ascii="Times New Roman" w:hAnsi="Times New Roman"/>
          <w:b w:val="0"/>
          <w:sz w:val="24"/>
          <w:szCs w:val="24"/>
        </w:rPr>
      </w:pPr>
      <w:r>
        <w:fldChar w:fldCharType="begin"/>
      </w:r>
      <w:r>
        <w:instrText xml:space="preserve"> HYPERLINK \l "_Toc45197519" </w:instrText>
      </w:r>
      <w:r>
        <w:fldChar w:fldCharType="separate"/>
      </w:r>
      <w:r>
        <w:rPr>
          <w:rStyle w:val="34"/>
          <w:rFonts w:ascii="Times New Roman" w:hAnsi="Times New Roman"/>
          <w:b w:val="0"/>
          <w:caps w:val="0"/>
          <w:sz w:val="24"/>
          <w:szCs w:val="24"/>
        </w:rPr>
        <w:t>5  Support Design</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_Toc45197519 \h </w:instrText>
      </w:r>
      <w:r>
        <w:rPr>
          <w:rFonts w:ascii="Times New Roman" w:hAnsi="Times New Roman"/>
          <w:b w:val="0"/>
          <w:sz w:val="24"/>
          <w:szCs w:val="24"/>
        </w:rPr>
        <w:fldChar w:fldCharType="separate"/>
      </w:r>
      <w:r>
        <w:rPr>
          <w:rFonts w:ascii="Times New Roman" w:hAnsi="Times New Roman"/>
          <w:b w:val="0"/>
          <w:sz w:val="24"/>
          <w:szCs w:val="24"/>
        </w:rPr>
        <w:t>18</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2"/>
        <w:rPr>
          <w:b w:val="0"/>
        </w:rPr>
      </w:pPr>
      <w:r>
        <w:fldChar w:fldCharType="begin"/>
      </w:r>
      <w:r>
        <w:instrText xml:space="preserve"> HYPERLINK \l "_Toc45197520" </w:instrText>
      </w:r>
      <w:r>
        <w:fldChar w:fldCharType="separate"/>
      </w:r>
      <w:r>
        <w:rPr>
          <w:rStyle w:val="34"/>
          <w:b w:val="0"/>
          <w:smallCaps w:val="0"/>
        </w:rPr>
        <w:t>5.1  General</w:t>
      </w:r>
      <w:r>
        <w:rPr>
          <w:b w:val="0"/>
        </w:rPr>
        <w:tab/>
      </w:r>
      <w:r>
        <w:rPr>
          <w:b w:val="0"/>
        </w:rPr>
        <w:fldChar w:fldCharType="begin"/>
      </w:r>
      <w:r>
        <w:rPr>
          <w:b w:val="0"/>
        </w:rPr>
        <w:instrText xml:space="preserve"> PAGEREF _Toc45197520 \h </w:instrText>
      </w:r>
      <w:r>
        <w:rPr>
          <w:b w:val="0"/>
        </w:rPr>
        <w:fldChar w:fldCharType="separate"/>
      </w:r>
      <w:r>
        <w:rPr>
          <w:b w:val="0"/>
        </w:rPr>
        <w:t>18</w:t>
      </w:r>
      <w:r>
        <w:rPr>
          <w:b w:val="0"/>
        </w:rPr>
        <w:fldChar w:fldCharType="end"/>
      </w:r>
      <w:r>
        <w:rPr>
          <w:b w:val="0"/>
        </w:rPr>
        <w:fldChar w:fldCharType="end"/>
      </w:r>
    </w:p>
    <w:p>
      <w:pPr>
        <w:pStyle w:val="22"/>
        <w:rPr>
          <w:b w:val="0"/>
        </w:rPr>
      </w:pPr>
      <w:r>
        <w:fldChar w:fldCharType="begin"/>
      </w:r>
      <w:r>
        <w:instrText xml:space="preserve"> HYPERLINK \l "_Toc45197521" </w:instrText>
      </w:r>
      <w:r>
        <w:fldChar w:fldCharType="separate"/>
      </w:r>
      <w:r>
        <w:rPr>
          <w:rStyle w:val="34"/>
          <w:b w:val="0"/>
          <w:smallCaps w:val="0"/>
        </w:rPr>
        <w:t>5.2  Choice of Structure Types</w:t>
      </w:r>
      <w:r>
        <w:rPr>
          <w:b w:val="0"/>
        </w:rPr>
        <w:tab/>
      </w:r>
      <w:r>
        <w:rPr>
          <w:b w:val="0"/>
        </w:rPr>
        <w:fldChar w:fldCharType="begin"/>
      </w:r>
      <w:r>
        <w:rPr>
          <w:b w:val="0"/>
        </w:rPr>
        <w:instrText xml:space="preserve"> PAGEREF _Toc45197521 \h </w:instrText>
      </w:r>
      <w:r>
        <w:rPr>
          <w:b w:val="0"/>
        </w:rPr>
        <w:fldChar w:fldCharType="separate"/>
      </w:r>
      <w:r>
        <w:rPr>
          <w:b w:val="0"/>
        </w:rPr>
        <w:t>18</w:t>
      </w:r>
      <w:r>
        <w:rPr>
          <w:b w:val="0"/>
        </w:rPr>
        <w:fldChar w:fldCharType="end"/>
      </w:r>
      <w:r>
        <w:rPr>
          <w:b w:val="0"/>
        </w:rPr>
        <w:fldChar w:fldCharType="end"/>
      </w:r>
    </w:p>
    <w:p>
      <w:pPr>
        <w:pStyle w:val="22"/>
        <w:rPr>
          <w:b w:val="0"/>
        </w:rPr>
      </w:pPr>
      <w:r>
        <w:fldChar w:fldCharType="begin"/>
      </w:r>
      <w:r>
        <w:instrText xml:space="preserve"> HYPERLINK \l "_Toc45197522" </w:instrText>
      </w:r>
      <w:r>
        <w:fldChar w:fldCharType="separate"/>
      </w:r>
      <w:r>
        <w:rPr>
          <w:rStyle w:val="34"/>
          <w:b w:val="0"/>
          <w:smallCaps w:val="0"/>
        </w:rPr>
        <w:t>5.3  Horizontal load calculation</w:t>
      </w:r>
      <w:r>
        <w:rPr>
          <w:b w:val="0"/>
        </w:rPr>
        <w:tab/>
      </w:r>
      <w:r>
        <w:rPr>
          <w:b w:val="0"/>
        </w:rPr>
        <w:fldChar w:fldCharType="begin"/>
      </w:r>
      <w:r>
        <w:rPr>
          <w:b w:val="0"/>
        </w:rPr>
        <w:instrText xml:space="preserve"> PAGEREF _Toc45197522 \h </w:instrText>
      </w:r>
      <w:r>
        <w:rPr>
          <w:b w:val="0"/>
        </w:rPr>
        <w:fldChar w:fldCharType="separate"/>
      </w:r>
      <w:r>
        <w:rPr>
          <w:b w:val="0"/>
        </w:rPr>
        <w:t>19</w:t>
      </w:r>
      <w:r>
        <w:rPr>
          <w:b w:val="0"/>
        </w:rPr>
        <w:fldChar w:fldCharType="end"/>
      </w:r>
      <w:r>
        <w:rPr>
          <w:b w:val="0"/>
        </w:rPr>
        <w:fldChar w:fldCharType="end"/>
      </w:r>
    </w:p>
    <w:p>
      <w:pPr>
        <w:pStyle w:val="22"/>
        <w:rPr>
          <w:b w:val="0"/>
        </w:rPr>
      </w:pPr>
      <w:r>
        <w:fldChar w:fldCharType="begin"/>
      </w:r>
      <w:r>
        <w:instrText xml:space="preserve"> HYPERLINK \l "_Toc45197523" </w:instrText>
      </w:r>
      <w:r>
        <w:fldChar w:fldCharType="separate"/>
      </w:r>
      <w:r>
        <w:rPr>
          <w:rStyle w:val="34"/>
          <w:b w:val="0"/>
          <w:smallCaps w:val="0"/>
        </w:rPr>
        <w:t>5.4  Stability Analysis</w:t>
      </w:r>
      <w:r>
        <w:rPr>
          <w:b w:val="0"/>
        </w:rPr>
        <w:tab/>
      </w:r>
      <w:r>
        <w:rPr>
          <w:b w:val="0"/>
        </w:rPr>
        <w:fldChar w:fldCharType="begin"/>
      </w:r>
      <w:r>
        <w:rPr>
          <w:b w:val="0"/>
        </w:rPr>
        <w:instrText xml:space="preserve"> PAGEREF _Toc45197523 \h </w:instrText>
      </w:r>
      <w:r>
        <w:rPr>
          <w:b w:val="0"/>
        </w:rPr>
        <w:fldChar w:fldCharType="separate"/>
      </w:r>
      <w:r>
        <w:rPr>
          <w:b w:val="0"/>
        </w:rPr>
        <w:t>25</w:t>
      </w:r>
      <w:r>
        <w:rPr>
          <w:b w:val="0"/>
        </w:rPr>
        <w:fldChar w:fldCharType="end"/>
      </w:r>
      <w:r>
        <w:rPr>
          <w:b w:val="0"/>
        </w:rPr>
        <w:fldChar w:fldCharType="end"/>
      </w:r>
    </w:p>
    <w:p>
      <w:pPr>
        <w:pStyle w:val="22"/>
        <w:rPr>
          <w:b w:val="0"/>
        </w:rPr>
      </w:pPr>
      <w:r>
        <w:fldChar w:fldCharType="begin"/>
      </w:r>
      <w:r>
        <w:instrText xml:space="preserve"> HYPERLINK \l "_Toc45197524" </w:instrText>
      </w:r>
      <w:r>
        <w:fldChar w:fldCharType="separate"/>
      </w:r>
      <w:r>
        <w:rPr>
          <w:rStyle w:val="34"/>
          <w:b w:val="0"/>
          <w:smallCaps w:val="0"/>
        </w:rPr>
        <w:t>5.5  Soldier Pile Wall</w:t>
      </w:r>
      <w:r>
        <w:rPr>
          <w:b w:val="0"/>
        </w:rPr>
        <w:tab/>
      </w:r>
      <w:r>
        <w:rPr>
          <w:b w:val="0"/>
        </w:rPr>
        <w:fldChar w:fldCharType="begin"/>
      </w:r>
      <w:r>
        <w:rPr>
          <w:b w:val="0"/>
        </w:rPr>
        <w:instrText xml:space="preserve"> PAGEREF _Toc45197524 \h </w:instrText>
      </w:r>
      <w:r>
        <w:rPr>
          <w:b w:val="0"/>
        </w:rPr>
        <w:fldChar w:fldCharType="separate"/>
      </w:r>
      <w:r>
        <w:rPr>
          <w:b w:val="0"/>
        </w:rPr>
        <w:t>34</w:t>
      </w:r>
      <w:r>
        <w:rPr>
          <w:b w:val="0"/>
        </w:rPr>
        <w:fldChar w:fldCharType="end"/>
      </w:r>
      <w:r>
        <w:rPr>
          <w:b w:val="0"/>
        </w:rPr>
        <w:fldChar w:fldCharType="end"/>
      </w:r>
    </w:p>
    <w:p>
      <w:pPr>
        <w:pStyle w:val="22"/>
        <w:rPr>
          <w:rStyle w:val="34"/>
          <w:b w:val="0"/>
        </w:rPr>
      </w:pPr>
      <w:r>
        <w:fldChar w:fldCharType="begin"/>
      </w:r>
      <w:r>
        <w:instrText xml:space="preserve"> HYPERLINK \l "_Toc45197525" </w:instrText>
      </w:r>
      <w:r>
        <w:fldChar w:fldCharType="separate"/>
      </w:r>
      <w:r>
        <w:rPr>
          <w:rStyle w:val="34"/>
          <w:b w:val="0"/>
          <w:smallCaps w:val="0"/>
        </w:rPr>
        <w:t>5.6  Pile anchor support</w:t>
      </w:r>
      <w:r>
        <w:rPr>
          <w:rStyle w:val="34"/>
          <w:b w:val="0"/>
        </w:rPr>
        <w:tab/>
      </w:r>
      <w:r>
        <w:rPr>
          <w:rStyle w:val="34"/>
          <w:b w:val="0"/>
        </w:rPr>
        <w:fldChar w:fldCharType="begin"/>
      </w:r>
      <w:r>
        <w:rPr>
          <w:rStyle w:val="34"/>
          <w:b w:val="0"/>
        </w:rPr>
        <w:instrText xml:space="preserve"> PAGEREF _Toc45197525 \h </w:instrText>
      </w:r>
      <w:r>
        <w:rPr>
          <w:rStyle w:val="34"/>
          <w:b w:val="0"/>
        </w:rPr>
        <w:fldChar w:fldCharType="separate"/>
      </w:r>
      <w:r>
        <w:rPr>
          <w:rStyle w:val="34"/>
          <w:b w:val="0"/>
        </w:rPr>
        <w:t>43</w:t>
      </w:r>
      <w:r>
        <w:rPr>
          <w:rStyle w:val="34"/>
          <w:b w:val="0"/>
        </w:rPr>
        <w:fldChar w:fldCharType="end"/>
      </w:r>
      <w:r>
        <w:rPr>
          <w:rStyle w:val="34"/>
          <w:b w:val="0"/>
        </w:rPr>
        <w:fldChar w:fldCharType="end"/>
      </w:r>
    </w:p>
    <w:p>
      <w:pPr>
        <w:pStyle w:val="22"/>
        <w:rPr>
          <w:b w:val="0"/>
        </w:rPr>
      </w:pPr>
      <w:r>
        <w:fldChar w:fldCharType="begin"/>
      </w:r>
      <w:r>
        <w:instrText xml:space="preserve"> HYPERLINK \l "_Toc45197526" </w:instrText>
      </w:r>
      <w:r>
        <w:fldChar w:fldCharType="separate"/>
      </w:r>
      <w:r>
        <w:rPr>
          <w:rStyle w:val="34"/>
          <w:b w:val="0"/>
          <w:smallCaps w:val="0"/>
        </w:rPr>
        <w:t xml:space="preserve">5.7  </w:t>
      </w:r>
      <w:r>
        <w:rPr>
          <w:b w:val="0"/>
          <w:smallCaps w:val="0"/>
        </w:rPr>
        <w:t>Strut</w:t>
      </w:r>
      <w:r>
        <w:rPr>
          <w:b w:val="0"/>
        </w:rPr>
        <w:tab/>
      </w:r>
      <w:r>
        <w:rPr>
          <w:b w:val="0"/>
        </w:rPr>
        <w:fldChar w:fldCharType="begin"/>
      </w:r>
      <w:r>
        <w:rPr>
          <w:b w:val="0"/>
        </w:rPr>
        <w:instrText xml:space="preserve"> PAGEREF _Toc45197526 \h </w:instrText>
      </w:r>
      <w:r>
        <w:rPr>
          <w:b w:val="0"/>
        </w:rPr>
        <w:fldChar w:fldCharType="separate"/>
      </w:r>
      <w:r>
        <w:rPr>
          <w:b w:val="0"/>
        </w:rPr>
        <w:t>48</w:t>
      </w:r>
      <w:r>
        <w:rPr>
          <w:b w:val="0"/>
        </w:rPr>
        <w:fldChar w:fldCharType="end"/>
      </w:r>
      <w:r>
        <w:rPr>
          <w:b w:val="0"/>
        </w:rPr>
        <w:fldChar w:fldCharType="end"/>
      </w:r>
    </w:p>
    <w:p>
      <w:pPr>
        <w:pStyle w:val="22"/>
        <w:rPr>
          <w:rStyle w:val="34"/>
          <w:b w:val="0"/>
        </w:rPr>
      </w:pPr>
      <w:r>
        <w:fldChar w:fldCharType="begin"/>
      </w:r>
      <w:r>
        <w:instrText xml:space="preserve"> HYPERLINK \l "_Toc45197527" </w:instrText>
      </w:r>
      <w:r>
        <w:fldChar w:fldCharType="separate"/>
      </w:r>
      <w:r>
        <w:rPr>
          <w:rStyle w:val="34"/>
          <w:b w:val="0"/>
          <w:smallCaps w:val="0"/>
        </w:rPr>
        <w:t>5.8  Soil nailing wall</w:t>
      </w:r>
      <w:r>
        <w:rPr>
          <w:rStyle w:val="34"/>
          <w:b w:val="0"/>
        </w:rPr>
        <w:tab/>
      </w:r>
      <w:r>
        <w:rPr>
          <w:rStyle w:val="34"/>
          <w:b w:val="0"/>
        </w:rPr>
        <w:fldChar w:fldCharType="begin"/>
      </w:r>
      <w:r>
        <w:rPr>
          <w:rStyle w:val="34"/>
          <w:b w:val="0"/>
        </w:rPr>
        <w:instrText xml:space="preserve"> PAGEREF _Toc45197527 \h </w:instrText>
      </w:r>
      <w:r>
        <w:rPr>
          <w:rStyle w:val="34"/>
          <w:b w:val="0"/>
        </w:rPr>
        <w:fldChar w:fldCharType="separate"/>
      </w:r>
      <w:r>
        <w:rPr>
          <w:rStyle w:val="34"/>
          <w:b w:val="0"/>
        </w:rPr>
        <w:t>55</w:t>
      </w:r>
      <w:r>
        <w:rPr>
          <w:rStyle w:val="34"/>
          <w:b w:val="0"/>
        </w:rPr>
        <w:fldChar w:fldCharType="end"/>
      </w:r>
      <w:r>
        <w:rPr>
          <w:rStyle w:val="34"/>
          <w:b w:val="0"/>
        </w:rPr>
        <w:fldChar w:fldCharType="end"/>
      </w:r>
    </w:p>
    <w:p>
      <w:pPr>
        <w:pStyle w:val="22"/>
        <w:rPr>
          <w:b w:val="0"/>
        </w:rPr>
      </w:pPr>
      <w:r>
        <w:fldChar w:fldCharType="begin"/>
      </w:r>
      <w:r>
        <w:instrText xml:space="preserve"> HYPERLINK \l "_Toc45197528" </w:instrText>
      </w:r>
      <w:r>
        <w:fldChar w:fldCharType="separate"/>
      </w:r>
      <w:r>
        <w:rPr>
          <w:rStyle w:val="34"/>
          <w:b w:val="0"/>
          <w:smallCaps w:val="0"/>
        </w:rPr>
        <w:t xml:space="preserve">5.9  </w:t>
      </w:r>
      <w:r>
        <w:rPr>
          <w:b w:val="0"/>
          <w:smallCaps w:val="0"/>
        </w:rPr>
        <w:t>Soil mixed wall</w:t>
      </w:r>
      <w:r>
        <w:rPr>
          <w:b w:val="0"/>
        </w:rPr>
        <w:tab/>
      </w:r>
      <w:r>
        <w:rPr>
          <w:b w:val="0"/>
        </w:rPr>
        <w:fldChar w:fldCharType="begin"/>
      </w:r>
      <w:r>
        <w:rPr>
          <w:b w:val="0"/>
        </w:rPr>
        <w:instrText xml:space="preserve"> PAGEREF _Toc45197528 \h </w:instrText>
      </w:r>
      <w:r>
        <w:rPr>
          <w:b w:val="0"/>
        </w:rPr>
        <w:fldChar w:fldCharType="separate"/>
      </w:r>
      <w:r>
        <w:rPr>
          <w:b w:val="0"/>
        </w:rPr>
        <w:t>62</w:t>
      </w:r>
      <w:r>
        <w:rPr>
          <w:b w:val="0"/>
        </w:rPr>
        <w:fldChar w:fldCharType="end"/>
      </w:r>
      <w:r>
        <w:rPr>
          <w:b w:val="0"/>
        </w:rPr>
        <w:fldChar w:fldCharType="end"/>
      </w:r>
    </w:p>
    <w:p>
      <w:pPr>
        <w:pStyle w:val="22"/>
        <w:rPr>
          <w:b w:val="0"/>
        </w:rPr>
      </w:pPr>
      <w:r>
        <w:fldChar w:fldCharType="begin"/>
      </w:r>
      <w:r>
        <w:instrText xml:space="preserve"> HYPERLINK \l "_Toc45197529" </w:instrText>
      </w:r>
      <w:r>
        <w:fldChar w:fldCharType="separate"/>
      </w:r>
      <w:r>
        <w:rPr>
          <w:rStyle w:val="34"/>
          <w:b w:val="0"/>
          <w:smallCaps w:val="0"/>
        </w:rPr>
        <w:t>5.10  Steel sheet pile support</w:t>
      </w:r>
      <w:r>
        <w:rPr>
          <w:b w:val="0"/>
        </w:rPr>
        <w:tab/>
      </w:r>
      <w:r>
        <w:rPr>
          <w:b w:val="0"/>
        </w:rPr>
        <w:fldChar w:fldCharType="begin"/>
      </w:r>
      <w:r>
        <w:rPr>
          <w:b w:val="0"/>
        </w:rPr>
        <w:instrText xml:space="preserve"> PAGEREF _Toc45197529 \h </w:instrText>
      </w:r>
      <w:r>
        <w:rPr>
          <w:b w:val="0"/>
        </w:rPr>
        <w:fldChar w:fldCharType="separate"/>
      </w:r>
      <w:r>
        <w:rPr>
          <w:b w:val="0"/>
        </w:rPr>
        <w:t>67</w:t>
      </w:r>
      <w:r>
        <w:rPr>
          <w:b w:val="0"/>
        </w:rPr>
        <w:fldChar w:fldCharType="end"/>
      </w:r>
      <w:r>
        <w:rPr>
          <w:b w:val="0"/>
        </w:rPr>
        <w:fldChar w:fldCharType="end"/>
      </w:r>
    </w:p>
    <w:p>
      <w:pPr>
        <w:pStyle w:val="22"/>
        <w:rPr>
          <w:b w:val="0"/>
        </w:rPr>
      </w:pPr>
      <w:r>
        <w:fldChar w:fldCharType="begin"/>
      </w:r>
      <w:r>
        <w:instrText xml:space="preserve"> HYPERLINK \l "_Toc45197530" </w:instrText>
      </w:r>
      <w:r>
        <w:fldChar w:fldCharType="separate"/>
      </w:r>
      <w:r>
        <w:rPr>
          <w:rStyle w:val="34"/>
          <w:b w:val="0"/>
          <w:smallCaps w:val="0"/>
        </w:rPr>
        <w:t xml:space="preserve">5.11  </w:t>
      </w:r>
      <w:r>
        <w:rPr>
          <w:b w:val="0"/>
          <w:smallCaps w:val="0"/>
        </w:rPr>
        <w:t>Diaphragm wall</w:t>
      </w:r>
      <w:r>
        <w:rPr>
          <w:b w:val="0"/>
        </w:rPr>
        <w:tab/>
      </w:r>
      <w:r>
        <w:rPr>
          <w:b w:val="0"/>
        </w:rPr>
        <w:fldChar w:fldCharType="begin"/>
      </w:r>
      <w:r>
        <w:rPr>
          <w:b w:val="0"/>
        </w:rPr>
        <w:instrText xml:space="preserve"> PAGEREF _Toc45197530 \h </w:instrText>
      </w:r>
      <w:r>
        <w:rPr>
          <w:b w:val="0"/>
        </w:rPr>
        <w:fldChar w:fldCharType="separate"/>
      </w:r>
      <w:r>
        <w:rPr>
          <w:b w:val="0"/>
        </w:rPr>
        <w:t>69</w:t>
      </w:r>
      <w:r>
        <w:rPr>
          <w:b w:val="0"/>
        </w:rPr>
        <w:fldChar w:fldCharType="end"/>
      </w:r>
      <w:r>
        <w:rPr>
          <w:b w:val="0"/>
        </w:rPr>
        <w:fldChar w:fldCharType="end"/>
      </w:r>
    </w:p>
    <w:p>
      <w:pPr>
        <w:pStyle w:val="22"/>
        <w:rPr>
          <w:b w:val="0"/>
        </w:rPr>
      </w:pPr>
      <w:r>
        <w:fldChar w:fldCharType="begin"/>
      </w:r>
      <w:r>
        <w:instrText xml:space="preserve"> HYPERLINK \l "_Toc45197531" </w:instrText>
      </w:r>
      <w:r>
        <w:fldChar w:fldCharType="separate"/>
      </w:r>
      <w:r>
        <w:rPr>
          <w:rStyle w:val="34"/>
          <w:b w:val="0"/>
          <w:smallCaps w:val="0"/>
        </w:rPr>
        <w:t xml:space="preserve">5.12  </w:t>
      </w:r>
      <w:r>
        <w:rPr>
          <w:b w:val="0"/>
          <w:smallCaps w:val="0"/>
        </w:rPr>
        <w:t>Slope Ratio Method</w:t>
      </w:r>
      <w:r>
        <w:rPr>
          <w:b w:val="0"/>
        </w:rPr>
        <w:tab/>
      </w:r>
      <w:r>
        <w:rPr>
          <w:b w:val="0"/>
        </w:rPr>
        <w:fldChar w:fldCharType="begin"/>
      </w:r>
      <w:r>
        <w:rPr>
          <w:b w:val="0"/>
        </w:rPr>
        <w:instrText xml:space="preserve"> PAGEREF _Toc45197531 \h </w:instrText>
      </w:r>
      <w:r>
        <w:rPr>
          <w:b w:val="0"/>
        </w:rPr>
        <w:fldChar w:fldCharType="separate"/>
      </w:r>
      <w:r>
        <w:rPr>
          <w:b w:val="0"/>
        </w:rPr>
        <w:t>72</w:t>
      </w:r>
      <w:r>
        <w:rPr>
          <w:b w:val="0"/>
        </w:rPr>
        <w:fldChar w:fldCharType="end"/>
      </w:r>
      <w:r>
        <w:rPr>
          <w:b w:val="0"/>
        </w:rPr>
        <w:fldChar w:fldCharType="end"/>
      </w:r>
    </w:p>
    <w:p>
      <w:pPr>
        <w:pStyle w:val="22"/>
        <w:rPr>
          <w:b w:val="0"/>
        </w:rPr>
      </w:pPr>
      <w:r>
        <w:fldChar w:fldCharType="begin"/>
      </w:r>
      <w:r>
        <w:instrText xml:space="preserve"> HYPERLINK \l "_Toc45197532" </w:instrText>
      </w:r>
      <w:r>
        <w:fldChar w:fldCharType="separate"/>
      </w:r>
      <w:r>
        <w:rPr>
          <w:rStyle w:val="34"/>
          <w:b w:val="0"/>
          <w:smallCaps w:val="0"/>
        </w:rPr>
        <w:t>5.13  Reverse Method</w:t>
      </w:r>
      <w:r>
        <w:rPr>
          <w:b w:val="0"/>
        </w:rPr>
        <w:tab/>
      </w:r>
      <w:r>
        <w:rPr>
          <w:b w:val="0"/>
        </w:rPr>
        <w:fldChar w:fldCharType="begin"/>
      </w:r>
      <w:r>
        <w:rPr>
          <w:b w:val="0"/>
        </w:rPr>
        <w:instrText xml:space="preserve"> PAGEREF _Toc45197532 \h </w:instrText>
      </w:r>
      <w:r>
        <w:rPr>
          <w:b w:val="0"/>
        </w:rPr>
        <w:fldChar w:fldCharType="separate"/>
      </w:r>
      <w:r>
        <w:rPr>
          <w:b w:val="0"/>
        </w:rPr>
        <w:t>73</w:t>
      </w:r>
      <w:r>
        <w:rPr>
          <w:b w:val="0"/>
        </w:rPr>
        <w:fldChar w:fldCharType="end"/>
      </w:r>
      <w:r>
        <w:rPr>
          <w:b w:val="0"/>
        </w:rPr>
        <w:fldChar w:fldCharType="end"/>
      </w:r>
    </w:p>
    <w:p>
      <w:pPr>
        <w:pStyle w:val="18"/>
        <w:ind w:left="1424" w:hanging="1424"/>
        <w:rPr>
          <w:rFonts w:ascii="Times New Roman" w:hAnsi="Times New Roman"/>
          <w:b w:val="0"/>
          <w:sz w:val="24"/>
          <w:szCs w:val="24"/>
        </w:rPr>
      </w:pPr>
      <w:r>
        <w:fldChar w:fldCharType="begin"/>
      </w:r>
      <w:r>
        <w:instrText xml:space="preserve"> HYPERLINK \l "_Toc45197533" </w:instrText>
      </w:r>
      <w:r>
        <w:fldChar w:fldCharType="separate"/>
      </w:r>
      <w:r>
        <w:rPr>
          <w:rStyle w:val="34"/>
          <w:rFonts w:ascii="Times New Roman" w:hAnsi="Times New Roman"/>
          <w:b w:val="0"/>
          <w:caps w:val="0"/>
          <w:sz w:val="24"/>
          <w:szCs w:val="24"/>
        </w:rPr>
        <w:t>6  Foundation Pit Under Special Conditions</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_Toc45197533 \h </w:instrText>
      </w:r>
      <w:r>
        <w:rPr>
          <w:rFonts w:ascii="Times New Roman" w:hAnsi="Times New Roman"/>
          <w:b w:val="0"/>
          <w:sz w:val="24"/>
          <w:szCs w:val="24"/>
        </w:rPr>
        <w:fldChar w:fldCharType="separate"/>
      </w:r>
      <w:r>
        <w:rPr>
          <w:rFonts w:ascii="Times New Roman" w:hAnsi="Times New Roman"/>
          <w:b w:val="0"/>
          <w:sz w:val="24"/>
          <w:szCs w:val="24"/>
        </w:rPr>
        <w:t>78</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2"/>
        <w:rPr>
          <w:b w:val="0"/>
        </w:rPr>
      </w:pPr>
      <w:r>
        <w:fldChar w:fldCharType="begin"/>
      </w:r>
      <w:r>
        <w:instrText xml:space="preserve"> HYPERLINK \l "_Toc45197534" </w:instrText>
      </w:r>
      <w:r>
        <w:fldChar w:fldCharType="separate"/>
      </w:r>
      <w:r>
        <w:rPr>
          <w:rStyle w:val="34"/>
          <w:b w:val="0"/>
          <w:smallCaps w:val="0"/>
        </w:rPr>
        <w:t>6.1  Soft Soil Foundation Pit</w:t>
      </w:r>
      <w:r>
        <w:rPr>
          <w:b w:val="0"/>
        </w:rPr>
        <w:tab/>
      </w:r>
      <w:r>
        <w:rPr>
          <w:b w:val="0"/>
        </w:rPr>
        <w:fldChar w:fldCharType="begin"/>
      </w:r>
      <w:r>
        <w:rPr>
          <w:b w:val="0"/>
        </w:rPr>
        <w:instrText xml:space="preserve"> PAGEREF _Toc45197534 \h </w:instrText>
      </w:r>
      <w:r>
        <w:rPr>
          <w:b w:val="0"/>
        </w:rPr>
        <w:fldChar w:fldCharType="separate"/>
      </w:r>
      <w:r>
        <w:rPr>
          <w:b w:val="0"/>
        </w:rPr>
        <w:t>78</w:t>
      </w:r>
      <w:r>
        <w:rPr>
          <w:b w:val="0"/>
        </w:rPr>
        <w:fldChar w:fldCharType="end"/>
      </w:r>
      <w:r>
        <w:rPr>
          <w:b w:val="0"/>
        </w:rPr>
        <w:fldChar w:fldCharType="end"/>
      </w:r>
    </w:p>
    <w:p>
      <w:pPr>
        <w:pStyle w:val="22"/>
        <w:rPr>
          <w:b w:val="0"/>
        </w:rPr>
      </w:pPr>
      <w:r>
        <w:fldChar w:fldCharType="begin"/>
      </w:r>
      <w:r>
        <w:instrText xml:space="preserve"> HYPERLINK \l "_Toc45197535" </w:instrText>
      </w:r>
      <w:r>
        <w:fldChar w:fldCharType="separate"/>
      </w:r>
      <w:r>
        <w:rPr>
          <w:rStyle w:val="34"/>
          <w:b w:val="0"/>
          <w:smallCaps w:val="0"/>
        </w:rPr>
        <w:t>6.2  Filling Foundation Pit</w:t>
      </w:r>
      <w:r>
        <w:rPr>
          <w:b w:val="0"/>
        </w:rPr>
        <w:tab/>
      </w:r>
      <w:r>
        <w:rPr>
          <w:b w:val="0"/>
        </w:rPr>
        <w:fldChar w:fldCharType="begin"/>
      </w:r>
      <w:r>
        <w:rPr>
          <w:b w:val="0"/>
        </w:rPr>
        <w:instrText xml:space="preserve"> PAGEREF _Toc45197535 \h </w:instrText>
      </w:r>
      <w:r>
        <w:rPr>
          <w:b w:val="0"/>
        </w:rPr>
        <w:fldChar w:fldCharType="separate"/>
      </w:r>
      <w:r>
        <w:rPr>
          <w:b w:val="0"/>
        </w:rPr>
        <w:t>78</w:t>
      </w:r>
      <w:r>
        <w:rPr>
          <w:b w:val="0"/>
        </w:rPr>
        <w:fldChar w:fldCharType="end"/>
      </w:r>
      <w:r>
        <w:rPr>
          <w:b w:val="0"/>
        </w:rPr>
        <w:fldChar w:fldCharType="end"/>
      </w:r>
    </w:p>
    <w:p>
      <w:pPr>
        <w:pStyle w:val="22"/>
        <w:rPr>
          <w:b w:val="0"/>
        </w:rPr>
      </w:pPr>
      <w:r>
        <w:fldChar w:fldCharType="begin"/>
      </w:r>
      <w:r>
        <w:instrText xml:space="preserve"> HYPERLINK \l "_Toc45197536" </w:instrText>
      </w:r>
      <w:r>
        <w:fldChar w:fldCharType="separate"/>
      </w:r>
      <w:r>
        <w:rPr>
          <w:rStyle w:val="34"/>
          <w:b w:val="0"/>
          <w:smallCaps w:val="0"/>
        </w:rPr>
        <w:t>6.3  Soil Rock Composite Foundation Pit</w:t>
      </w:r>
      <w:r>
        <w:rPr>
          <w:b w:val="0"/>
        </w:rPr>
        <w:tab/>
      </w:r>
      <w:r>
        <w:rPr>
          <w:b w:val="0"/>
        </w:rPr>
        <w:fldChar w:fldCharType="begin"/>
      </w:r>
      <w:r>
        <w:rPr>
          <w:b w:val="0"/>
        </w:rPr>
        <w:instrText xml:space="preserve"> PAGEREF _Toc45197536 \h </w:instrText>
      </w:r>
      <w:r>
        <w:rPr>
          <w:b w:val="0"/>
        </w:rPr>
        <w:fldChar w:fldCharType="separate"/>
      </w:r>
      <w:r>
        <w:rPr>
          <w:b w:val="0"/>
        </w:rPr>
        <w:t>78</w:t>
      </w:r>
      <w:r>
        <w:rPr>
          <w:b w:val="0"/>
        </w:rPr>
        <w:fldChar w:fldCharType="end"/>
      </w:r>
      <w:r>
        <w:rPr>
          <w:b w:val="0"/>
        </w:rPr>
        <w:fldChar w:fldCharType="end"/>
      </w:r>
    </w:p>
    <w:p>
      <w:pPr>
        <w:pStyle w:val="22"/>
        <w:rPr>
          <w:b w:val="0"/>
        </w:rPr>
      </w:pPr>
      <w:r>
        <w:fldChar w:fldCharType="begin"/>
      </w:r>
      <w:r>
        <w:instrText xml:space="preserve"> HYPERLINK \l "_Toc45197537" </w:instrText>
      </w:r>
      <w:r>
        <w:fldChar w:fldCharType="separate"/>
      </w:r>
      <w:r>
        <w:rPr>
          <w:rStyle w:val="34"/>
          <w:b w:val="0"/>
          <w:smallCaps w:val="0"/>
        </w:rPr>
        <w:t>6.4  Combination of Foundation Pit and Slope</w:t>
      </w:r>
      <w:r>
        <w:rPr>
          <w:b w:val="0"/>
        </w:rPr>
        <w:tab/>
      </w:r>
      <w:r>
        <w:rPr>
          <w:b w:val="0"/>
        </w:rPr>
        <w:fldChar w:fldCharType="begin"/>
      </w:r>
      <w:r>
        <w:rPr>
          <w:b w:val="0"/>
        </w:rPr>
        <w:instrText xml:space="preserve"> PAGEREF _Toc45197537 \h </w:instrText>
      </w:r>
      <w:r>
        <w:rPr>
          <w:b w:val="0"/>
        </w:rPr>
        <w:fldChar w:fldCharType="separate"/>
      </w:r>
      <w:r>
        <w:rPr>
          <w:b w:val="0"/>
        </w:rPr>
        <w:t>78</w:t>
      </w:r>
      <w:r>
        <w:rPr>
          <w:b w:val="0"/>
        </w:rPr>
        <w:fldChar w:fldCharType="end"/>
      </w:r>
      <w:r>
        <w:rPr>
          <w:b w:val="0"/>
        </w:rPr>
        <w:fldChar w:fldCharType="end"/>
      </w:r>
    </w:p>
    <w:p>
      <w:pPr>
        <w:pStyle w:val="18"/>
        <w:ind w:left="1424" w:hanging="1424"/>
        <w:rPr>
          <w:rFonts w:ascii="Times New Roman" w:hAnsi="Times New Roman"/>
          <w:b w:val="0"/>
          <w:sz w:val="24"/>
          <w:szCs w:val="24"/>
        </w:rPr>
      </w:pPr>
      <w:r>
        <w:fldChar w:fldCharType="begin"/>
      </w:r>
      <w:r>
        <w:instrText xml:space="preserve"> HYPERLINK \l "_Toc45197538" </w:instrText>
      </w:r>
      <w:r>
        <w:fldChar w:fldCharType="separate"/>
      </w:r>
      <w:r>
        <w:rPr>
          <w:rStyle w:val="34"/>
          <w:rFonts w:ascii="Times New Roman" w:hAnsi="Times New Roman"/>
          <w:b w:val="0"/>
          <w:caps w:val="0"/>
          <w:sz w:val="24"/>
          <w:szCs w:val="24"/>
        </w:rPr>
        <w:t>7  Groundwater Control</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_Toc45197538 \h </w:instrText>
      </w:r>
      <w:r>
        <w:rPr>
          <w:rFonts w:ascii="Times New Roman" w:hAnsi="Times New Roman"/>
          <w:b w:val="0"/>
          <w:sz w:val="24"/>
          <w:szCs w:val="24"/>
        </w:rPr>
        <w:fldChar w:fldCharType="separate"/>
      </w:r>
      <w:r>
        <w:rPr>
          <w:rFonts w:ascii="Times New Roman" w:hAnsi="Times New Roman"/>
          <w:b w:val="0"/>
          <w:sz w:val="24"/>
          <w:szCs w:val="24"/>
        </w:rPr>
        <w:t>80</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2"/>
        <w:rPr>
          <w:b w:val="0"/>
        </w:rPr>
      </w:pPr>
      <w:r>
        <w:fldChar w:fldCharType="begin"/>
      </w:r>
      <w:r>
        <w:instrText xml:space="preserve"> HYPERLINK \l "_Toc45197539" </w:instrText>
      </w:r>
      <w:r>
        <w:fldChar w:fldCharType="separate"/>
      </w:r>
      <w:r>
        <w:rPr>
          <w:rStyle w:val="34"/>
          <w:b w:val="0"/>
          <w:smallCaps w:val="0"/>
        </w:rPr>
        <w:t>7.1  General</w:t>
      </w:r>
      <w:r>
        <w:rPr>
          <w:b w:val="0"/>
        </w:rPr>
        <w:tab/>
      </w:r>
      <w:r>
        <w:rPr>
          <w:b w:val="0"/>
        </w:rPr>
        <w:fldChar w:fldCharType="begin"/>
      </w:r>
      <w:r>
        <w:rPr>
          <w:b w:val="0"/>
        </w:rPr>
        <w:instrText xml:space="preserve"> PAGEREF _Toc45197539 \h </w:instrText>
      </w:r>
      <w:r>
        <w:rPr>
          <w:b w:val="0"/>
        </w:rPr>
        <w:fldChar w:fldCharType="separate"/>
      </w:r>
      <w:r>
        <w:rPr>
          <w:b w:val="0"/>
        </w:rPr>
        <w:t>80</w:t>
      </w:r>
      <w:r>
        <w:rPr>
          <w:b w:val="0"/>
        </w:rPr>
        <w:fldChar w:fldCharType="end"/>
      </w:r>
      <w:r>
        <w:rPr>
          <w:b w:val="0"/>
        </w:rPr>
        <w:fldChar w:fldCharType="end"/>
      </w:r>
    </w:p>
    <w:p>
      <w:pPr>
        <w:pStyle w:val="22"/>
        <w:rPr>
          <w:b w:val="0"/>
        </w:rPr>
      </w:pPr>
      <w:r>
        <w:fldChar w:fldCharType="begin"/>
      </w:r>
      <w:r>
        <w:instrText xml:space="preserve"> HYPERLINK \l "_Toc45197540" </w:instrText>
      </w:r>
      <w:r>
        <w:fldChar w:fldCharType="separate"/>
      </w:r>
      <w:r>
        <w:rPr>
          <w:rStyle w:val="34"/>
          <w:b w:val="0"/>
          <w:smallCaps w:val="0"/>
        </w:rPr>
        <w:t>7.2  Design Calculation and Checking Calculation</w:t>
      </w:r>
      <w:r>
        <w:rPr>
          <w:b w:val="0"/>
        </w:rPr>
        <w:tab/>
      </w:r>
      <w:r>
        <w:rPr>
          <w:b w:val="0"/>
        </w:rPr>
        <w:fldChar w:fldCharType="begin"/>
      </w:r>
      <w:r>
        <w:rPr>
          <w:b w:val="0"/>
        </w:rPr>
        <w:instrText xml:space="preserve"> PAGEREF _Toc45197540 \h </w:instrText>
      </w:r>
      <w:r>
        <w:rPr>
          <w:b w:val="0"/>
        </w:rPr>
        <w:fldChar w:fldCharType="separate"/>
      </w:r>
      <w:r>
        <w:rPr>
          <w:b w:val="0"/>
        </w:rPr>
        <w:t>80</w:t>
      </w:r>
      <w:r>
        <w:rPr>
          <w:b w:val="0"/>
        </w:rPr>
        <w:fldChar w:fldCharType="end"/>
      </w:r>
      <w:r>
        <w:rPr>
          <w:b w:val="0"/>
        </w:rPr>
        <w:fldChar w:fldCharType="end"/>
      </w:r>
    </w:p>
    <w:p>
      <w:pPr>
        <w:pStyle w:val="22"/>
        <w:rPr>
          <w:b w:val="0"/>
        </w:rPr>
      </w:pPr>
      <w:r>
        <w:fldChar w:fldCharType="begin"/>
      </w:r>
      <w:r>
        <w:instrText xml:space="preserve"> HYPERLINK \l "_Toc45197541" </w:instrText>
      </w:r>
      <w:r>
        <w:fldChar w:fldCharType="separate"/>
      </w:r>
      <w:r>
        <w:rPr>
          <w:rStyle w:val="34"/>
          <w:b w:val="0"/>
          <w:smallCaps w:val="0"/>
        </w:rPr>
        <w:t>7.3  Curtain for Cutting off Drains</w:t>
      </w:r>
      <w:r>
        <w:rPr>
          <w:b w:val="0"/>
        </w:rPr>
        <w:tab/>
      </w:r>
      <w:r>
        <w:rPr>
          <w:b w:val="0"/>
        </w:rPr>
        <w:fldChar w:fldCharType="begin"/>
      </w:r>
      <w:r>
        <w:rPr>
          <w:b w:val="0"/>
        </w:rPr>
        <w:instrText xml:space="preserve"> PAGEREF _Toc45197541 \h </w:instrText>
      </w:r>
      <w:r>
        <w:rPr>
          <w:b w:val="0"/>
        </w:rPr>
        <w:fldChar w:fldCharType="separate"/>
      </w:r>
      <w:r>
        <w:rPr>
          <w:b w:val="0"/>
        </w:rPr>
        <w:t>80</w:t>
      </w:r>
      <w:r>
        <w:rPr>
          <w:b w:val="0"/>
        </w:rPr>
        <w:fldChar w:fldCharType="end"/>
      </w:r>
      <w:r>
        <w:rPr>
          <w:b w:val="0"/>
        </w:rPr>
        <w:fldChar w:fldCharType="end"/>
      </w:r>
    </w:p>
    <w:p>
      <w:pPr>
        <w:pStyle w:val="22"/>
        <w:rPr>
          <w:b w:val="0"/>
        </w:rPr>
      </w:pPr>
      <w:r>
        <w:fldChar w:fldCharType="begin"/>
      </w:r>
      <w:r>
        <w:instrText xml:space="preserve"> HYPERLINK \l "_Toc45197542" </w:instrText>
      </w:r>
      <w:r>
        <w:fldChar w:fldCharType="separate"/>
      </w:r>
      <w:r>
        <w:rPr>
          <w:rStyle w:val="34"/>
          <w:b w:val="0"/>
          <w:smallCaps w:val="0"/>
        </w:rPr>
        <w:t>7.4  Water Collection and Drainage</w:t>
      </w:r>
      <w:r>
        <w:rPr>
          <w:b w:val="0"/>
        </w:rPr>
        <w:tab/>
      </w:r>
      <w:r>
        <w:rPr>
          <w:b w:val="0"/>
        </w:rPr>
        <w:fldChar w:fldCharType="begin"/>
      </w:r>
      <w:r>
        <w:rPr>
          <w:b w:val="0"/>
        </w:rPr>
        <w:instrText xml:space="preserve"> PAGEREF _Toc45197542 \h </w:instrText>
      </w:r>
      <w:r>
        <w:rPr>
          <w:b w:val="0"/>
        </w:rPr>
        <w:fldChar w:fldCharType="separate"/>
      </w:r>
      <w:r>
        <w:rPr>
          <w:b w:val="0"/>
        </w:rPr>
        <w:t>81</w:t>
      </w:r>
      <w:r>
        <w:rPr>
          <w:b w:val="0"/>
        </w:rPr>
        <w:fldChar w:fldCharType="end"/>
      </w:r>
      <w:r>
        <w:rPr>
          <w:b w:val="0"/>
        </w:rPr>
        <w:fldChar w:fldCharType="end"/>
      </w:r>
    </w:p>
    <w:p>
      <w:pPr>
        <w:pStyle w:val="22"/>
        <w:rPr>
          <w:b w:val="0"/>
        </w:rPr>
      </w:pPr>
      <w:r>
        <w:fldChar w:fldCharType="begin"/>
      </w:r>
      <w:r>
        <w:instrText xml:space="preserve"> HYPERLINK \l "_Toc45197543" </w:instrText>
      </w:r>
      <w:r>
        <w:fldChar w:fldCharType="separate"/>
      </w:r>
      <w:r>
        <w:rPr>
          <w:rStyle w:val="34"/>
          <w:b w:val="0"/>
          <w:smallCaps w:val="0"/>
        </w:rPr>
        <w:t>7.5  Dewatering</w:t>
      </w:r>
      <w:r>
        <w:rPr>
          <w:b w:val="0"/>
        </w:rPr>
        <w:tab/>
      </w:r>
      <w:r>
        <w:rPr>
          <w:b w:val="0"/>
        </w:rPr>
        <w:fldChar w:fldCharType="begin"/>
      </w:r>
      <w:r>
        <w:rPr>
          <w:b w:val="0"/>
        </w:rPr>
        <w:instrText xml:space="preserve"> PAGEREF _Toc45197543 \h </w:instrText>
      </w:r>
      <w:r>
        <w:rPr>
          <w:b w:val="0"/>
        </w:rPr>
        <w:fldChar w:fldCharType="separate"/>
      </w:r>
      <w:r>
        <w:rPr>
          <w:b w:val="0"/>
        </w:rPr>
        <w:t>82</w:t>
      </w:r>
      <w:r>
        <w:rPr>
          <w:b w:val="0"/>
        </w:rPr>
        <w:fldChar w:fldCharType="end"/>
      </w:r>
      <w:r>
        <w:rPr>
          <w:b w:val="0"/>
        </w:rPr>
        <w:fldChar w:fldCharType="end"/>
      </w:r>
    </w:p>
    <w:p>
      <w:pPr>
        <w:pStyle w:val="22"/>
        <w:rPr>
          <w:b w:val="0"/>
        </w:rPr>
      </w:pPr>
      <w:r>
        <w:fldChar w:fldCharType="begin"/>
      </w:r>
      <w:r>
        <w:instrText xml:space="preserve"> HYPERLINK \l "_Toc45197544" </w:instrText>
      </w:r>
      <w:r>
        <w:fldChar w:fldCharType="separate"/>
      </w:r>
      <w:r>
        <w:rPr>
          <w:rStyle w:val="34"/>
          <w:b w:val="0"/>
          <w:smallCaps w:val="0"/>
        </w:rPr>
        <w:t>7.6  Water Level Monitoring and Groundwater Recharge</w:t>
      </w:r>
      <w:r>
        <w:rPr>
          <w:b w:val="0"/>
        </w:rPr>
        <w:tab/>
      </w:r>
      <w:r>
        <w:rPr>
          <w:b w:val="0"/>
        </w:rPr>
        <w:fldChar w:fldCharType="begin"/>
      </w:r>
      <w:r>
        <w:rPr>
          <w:b w:val="0"/>
        </w:rPr>
        <w:instrText xml:space="preserve"> PAGEREF _Toc45197544 \h </w:instrText>
      </w:r>
      <w:r>
        <w:rPr>
          <w:b w:val="0"/>
        </w:rPr>
        <w:fldChar w:fldCharType="separate"/>
      </w:r>
      <w:r>
        <w:rPr>
          <w:b w:val="0"/>
        </w:rPr>
        <w:t>84</w:t>
      </w:r>
      <w:r>
        <w:rPr>
          <w:b w:val="0"/>
        </w:rPr>
        <w:fldChar w:fldCharType="end"/>
      </w:r>
      <w:r>
        <w:rPr>
          <w:b w:val="0"/>
        </w:rPr>
        <w:fldChar w:fldCharType="end"/>
      </w:r>
    </w:p>
    <w:p>
      <w:pPr>
        <w:pStyle w:val="18"/>
        <w:ind w:left="1424" w:hanging="1424"/>
        <w:rPr>
          <w:rFonts w:ascii="Times New Roman" w:hAnsi="Times New Roman"/>
          <w:b w:val="0"/>
          <w:sz w:val="24"/>
          <w:szCs w:val="24"/>
        </w:rPr>
      </w:pPr>
      <w:r>
        <w:fldChar w:fldCharType="begin"/>
      </w:r>
      <w:r>
        <w:instrText xml:space="preserve"> HYPERLINK \l "_Toc45197545" </w:instrText>
      </w:r>
      <w:r>
        <w:fldChar w:fldCharType="separate"/>
      </w:r>
      <w:r>
        <w:rPr>
          <w:rStyle w:val="34"/>
          <w:rFonts w:ascii="Times New Roman" w:hAnsi="Times New Roman"/>
          <w:b w:val="0"/>
          <w:caps w:val="0"/>
          <w:sz w:val="24"/>
          <w:szCs w:val="24"/>
        </w:rPr>
        <w:t>8　</w:t>
      </w:r>
      <w:r>
        <w:rPr>
          <w:rFonts w:ascii="Times New Roman" w:hAnsi="Times New Roman"/>
          <w:b w:val="0"/>
          <w:sz w:val="24"/>
          <w:szCs w:val="24"/>
        </w:rPr>
        <w:t xml:space="preserve"> </w:t>
      </w:r>
      <w:r>
        <w:rPr>
          <w:rStyle w:val="34"/>
          <w:rFonts w:ascii="Times New Roman" w:hAnsi="Times New Roman"/>
          <w:b w:val="0"/>
          <w:caps w:val="0"/>
          <w:sz w:val="24"/>
          <w:szCs w:val="24"/>
        </w:rPr>
        <w:t>Foundation Pit and Surrounding Environment Monitoring</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_Toc45197545 \h </w:instrText>
      </w:r>
      <w:r>
        <w:rPr>
          <w:rFonts w:ascii="Times New Roman" w:hAnsi="Times New Roman"/>
          <w:b w:val="0"/>
          <w:sz w:val="24"/>
          <w:szCs w:val="24"/>
        </w:rPr>
        <w:fldChar w:fldCharType="separate"/>
      </w:r>
      <w:r>
        <w:rPr>
          <w:rFonts w:ascii="Times New Roman" w:hAnsi="Times New Roman"/>
          <w:b w:val="0"/>
          <w:sz w:val="24"/>
          <w:szCs w:val="24"/>
        </w:rPr>
        <w:t>85</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22"/>
        <w:rPr>
          <w:b w:val="0"/>
        </w:rPr>
      </w:pPr>
      <w:r>
        <w:fldChar w:fldCharType="begin"/>
      </w:r>
      <w:r>
        <w:instrText xml:space="preserve"> HYPERLINK \l "_Toc45197546" </w:instrText>
      </w:r>
      <w:r>
        <w:fldChar w:fldCharType="separate"/>
      </w:r>
      <w:r>
        <w:rPr>
          <w:rStyle w:val="34"/>
          <w:b w:val="0"/>
          <w:smallCaps w:val="0"/>
        </w:rPr>
        <w:t>8.1　General</w:t>
      </w:r>
      <w:r>
        <w:rPr>
          <w:b w:val="0"/>
        </w:rPr>
        <w:tab/>
      </w:r>
      <w:r>
        <w:rPr>
          <w:b w:val="0"/>
        </w:rPr>
        <w:fldChar w:fldCharType="begin"/>
      </w:r>
      <w:r>
        <w:rPr>
          <w:b w:val="0"/>
        </w:rPr>
        <w:instrText xml:space="preserve"> PAGEREF _Toc45197546 \h </w:instrText>
      </w:r>
      <w:r>
        <w:rPr>
          <w:b w:val="0"/>
        </w:rPr>
        <w:fldChar w:fldCharType="separate"/>
      </w:r>
      <w:r>
        <w:rPr>
          <w:b w:val="0"/>
        </w:rPr>
        <w:t>85</w:t>
      </w:r>
      <w:r>
        <w:rPr>
          <w:b w:val="0"/>
        </w:rPr>
        <w:fldChar w:fldCharType="end"/>
      </w:r>
      <w:r>
        <w:rPr>
          <w:b w:val="0"/>
        </w:rPr>
        <w:fldChar w:fldCharType="end"/>
      </w:r>
    </w:p>
    <w:p>
      <w:pPr>
        <w:pStyle w:val="22"/>
        <w:rPr>
          <w:b w:val="0"/>
        </w:rPr>
      </w:pPr>
      <w:r>
        <w:fldChar w:fldCharType="begin"/>
      </w:r>
      <w:r>
        <w:instrText xml:space="preserve"> HYPERLINK \l "_Toc45197547" </w:instrText>
      </w:r>
      <w:r>
        <w:fldChar w:fldCharType="separate"/>
      </w:r>
      <w:r>
        <w:rPr>
          <w:rStyle w:val="34"/>
          <w:b w:val="0"/>
          <w:smallCaps w:val="0"/>
        </w:rPr>
        <w:t>8.2　Layout of Foundation Pit Monitoring Points</w:t>
      </w:r>
      <w:r>
        <w:rPr>
          <w:b w:val="0"/>
        </w:rPr>
        <w:tab/>
      </w:r>
      <w:r>
        <w:rPr>
          <w:b w:val="0"/>
        </w:rPr>
        <w:fldChar w:fldCharType="begin"/>
      </w:r>
      <w:r>
        <w:rPr>
          <w:b w:val="0"/>
        </w:rPr>
        <w:instrText xml:space="preserve"> PAGEREF _Toc45197547 \h </w:instrText>
      </w:r>
      <w:r>
        <w:rPr>
          <w:b w:val="0"/>
        </w:rPr>
        <w:fldChar w:fldCharType="separate"/>
      </w:r>
      <w:r>
        <w:rPr>
          <w:b w:val="0"/>
        </w:rPr>
        <w:t>86</w:t>
      </w:r>
      <w:r>
        <w:rPr>
          <w:b w:val="0"/>
        </w:rPr>
        <w:fldChar w:fldCharType="end"/>
      </w:r>
      <w:r>
        <w:rPr>
          <w:b w:val="0"/>
        </w:rPr>
        <w:fldChar w:fldCharType="end"/>
      </w:r>
    </w:p>
    <w:p>
      <w:pPr>
        <w:pStyle w:val="22"/>
        <w:rPr>
          <w:b w:val="0"/>
        </w:rPr>
      </w:pPr>
      <w:r>
        <w:fldChar w:fldCharType="begin"/>
      </w:r>
      <w:r>
        <w:instrText xml:space="preserve"> HYPERLINK \l "_Toc45197548" </w:instrText>
      </w:r>
      <w:r>
        <w:fldChar w:fldCharType="separate"/>
      </w:r>
      <w:r>
        <w:rPr>
          <w:rStyle w:val="34"/>
          <w:b w:val="0"/>
          <w:smallCaps w:val="0"/>
        </w:rPr>
        <w:t>8.3　Layout of Surrounding Environmental Monitoring Points</w:t>
      </w:r>
      <w:r>
        <w:rPr>
          <w:b w:val="0"/>
        </w:rPr>
        <w:tab/>
      </w:r>
      <w:r>
        <w:rPr>
          <w:b w:val="0"/>
        </w:rPr>
        <w:fldChar w:fldCharType="begin"/>
      </w:r>
      <w:r>
        <w:rPr>
          <w:b w:val="0"/>
        </w:rPr>
        <w:instrText xml:space="preserve"> PAGEREF _Toc45197548 \h </w:instrText>
      </w:r>
      <w:r>
        <w:rPr>
          <w:b w:val="0"/>
        </w:rPr>
        <w:fldChar w:fldCharType="separate"/>
      </w:r>
      <w:r>
        <w:rPr>
          <w:b w:val="0"/>
        </w:rPr>
        <w:t>87</w:t>
      </w:r>
      <w:r>
        <w:rPr>
          <w:b w:val="0"/>
        </w:rPr>
        <w:fldChar w:fldCharType="end"/>
      </w:r>
      <w:r>
        <w:rPr>
          <w:b w:val="0"/>
        </w:rPr>
        <w:fldChar w:fldCharType="end"/>
      </w:r>
    </w:p>
    <w:p>
      <w:pPr>
        <w:pStyle w:val="22"/>
        <w:rPr>
          <w:b w:val="0"/>
        </w:rPr>
      </w:pPr>
      <w:r>
        <w:fldChar w:fldCharType="begin"/>
      </w:r>
      <w:r>
        <w:instrText xml:space="preserve"> HYPERLINK \l "_Toc45197549" </w:instrText>
      </w:r>
      <w:r>
        <w:fldChar w:fldCharType="separate"/>
      </w:r>
      <w:r>
        <w:rPr>
          <w:rStyle w:val="34"/>
          <w:b w:val="0"/>
          <w:smallCaps w:val="0"/>
        </w:rPr>
        <w:t>8.4　</w:t>
      </w:r>
      <w:r>
        <w:rPr>
          <w:b w:val="0"/>
        </w:rPr>
        <w:t xml:space="preserve"> </w:t>
      </w:r>
      <w:r>
        <w:rPr>
          <w:rStyle w:val="34"/>
          <w:b w:val="0"/>
          <w:smallCaps w:val="0"/>
        </w:rPr>
        <w:t>Monitoring Frequency and Alarm</w:t>
      </w:r>
      <w:r>
        <w:rPr>
          <w:b w:val="0"/>
        </w:rPr>
        <w:tab/>
      </w:r>
      <w:r>
        <w:rPr>
          <w:b w:val="0"/>
        </w:rPr>
        <w:fldChar w:fldCharType="begin"/>
      </w:r>
      <w:r>
        <w:rPr>
          <w:b w:val="0"/>
        </w:rPr>
        <w:instrText xml:space="preserve"> PAGEREF _Toc45197549 \h </w:instrText>
      </w:r>
      <w:r>
        <w:rPr>
          <w:b w:val="0"/>
        </w:rPr>
        <w:fldChar w:fldCharType="separate"/>
      </w:r>
      <w:r>
        <w:rPr>
          <w:b w:val="0"/>
        </w:rPr>
        <w:t>88</w:t>
      </w:r>
      <w:r>
        <w:rPr>
          <w:b w:val="0"/>
        </w:rPr>
        <w:fldChar w:fldCharType="end"/>
      </w:r>
      <w:r>
        <w:rPr>
          <w:b w:val="0"/>
        </w:rPr>
        <w:fldChar w:fldCharType="end"/>
      </w:r>
    </w:p>
    <w:p>
      <w:pPr>
        <w:pStyle w:val="18"/>
        <w:ind w:left="1424" w:hanging="1424"/>
        <w:rPr>
          <w:rFonts w:ascii="Times New Roman" w:hAnsi="Times New Roman"/>
          <w:b w:val="0"/>
          <w:sz w:val="24"/>
          <w:szCs w:val="24"/>
        </w:rPr>
      </w:pPr>
      <w:r>
        <w:fldChar w:fldCharType="begin"/>
      </w:r>
      <w:r>
        <w:instrText xml:space="preserve"> HYPERLINK \l "_Toc45197550" </w:instrText>
      </w:r>
      <w:r>
        <w:fldChar w:fldCharType="separate"/>
      </w:r>
      <w:r>
        <w:rPr>
          <w:rStyle w:val="34"/>
          <w:rFonts w:ascii="Times New Roman" w:hAnsi="Times New Roman"/>
          <w:b w:val="0"/>
          <w:caps w:val="0"/>
          <w:sz w:val="24"/>
          <w:szCs w:val="24"/>
        </w:rPr>
        <w:t>9  Environmental Protection of Foundation Pit Engineering</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_Toc45197550 \h </w:instrText>
      </w:r>
      <w:r>
        <w:rPr>
          <w:rFonts w:ascii="Times New Roman" w:hAnsi="Times New Roman"/>
          <w:b w:val="0"/>
          <w:sz w:val="24"/>
          <w:szCs w:val="24"/>
        </w:rPr>
        <w:fldChar w:fldCharType="separate"/>
      </w:r>
      <w:r>
        <w:rPr>
          <w:rFonts w:ascii="Times New Roman" w:hAnsi="Times New Roman"/>
          <w:b w:val="0"/>
          <w:sz w:val="24"/>
          <w:szCs w:val="24"/>
        </w:rPr>
        <w:t>93</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8"/>
        <w:ind w:left="1424" w:hanging="1424"/>
        <w:rPr>
          <w:rFonts w:ascii="Times New Roman" w:hAnsi="Times New Roman"/>
          <w:b w:val="0"/>
          <w:sz w:val="24"/>
          <w:szCs w:val="24"/>
        </w:rPr>
      </w:pPr>
      <w:r>
        <w:fldChar w:fldCharType="begin"/>
      </w:r>
      <w:r>
        <w:instrText xml:space="preserve"> HYPERLINK \l "_Toc45197551" </w:instrText>
      </w:r>
      <w:r>
        <w:fldChar w:fldCharType="separate"/>
      </w:r>
      <w:r>
        <w:rPr>
          <w:rStyle w:val="34"/>
          <w:rFonts w:ascii="Times New Roman" w:hAnsi="Times New Roman"/>
          <w:b w:val="0"/>
          <w:caps w:val="0"/>
          <w:sz w:val="24"/>
          <w:szCs w:val="24"/>
        </w:rPr>
        <w:t>Appendix A  Earth Pressure Under Special Conditions</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_Toc45197551 \h </w:instrText>
      </w:r>
      <w:r>
        <w:rPr>
          <w:rFonts w:ascii="Times New Roman" w:hAnsi="Times New Roman"/>
          <w:b w:val="0"/>
          <w:sz w:val="24"/>
          <w:szCs w:val="24"/>
        </w:rPr>
        <w:fldChar w:fldCharType="separate"/>
      </w:r>
      <w:r>
        <w:rPr>
          <w:rFonts w:ascii="Times New Roman" w:hAnsi="Times New Roman"/>
          <w:b w:val="0"/>
          <w:sz w:val="24"/>
          <w:szCs w:val="24"/>
        </w:rPr>
        <w:t>94</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8"/>
        <w:ind w:left="1424" w:hanging="1424"/>
        <w:rPr>
          <w:rFonts w:ascii="Times New Roman" w:hAnsi="Times New Roman"/>
          <w:b w:val="0"/>
          <w:sz w:val="24"/>
          <w:szCs w:val="24"/>
        </w:rPr>
      </w:pPr>
      <w:r>
        <w:fldChar w:fldCharType="begin"/>
      </w:r>
      <w:r>
        <w:instrText xml:space="preserve"> HYPERLINK \l "_Toc45197552" </w:instrText>
      </w:r>
      <w:r>
        <w:fldChar w:fldCharType="separate"/>
      </w:r>
      <w:r>
        <w:rPr>
          <w:rStyle w:val="34"/>
          <w:rFonts w:ascii="Times New Roman" w:hAnsi="Times New Roman"/>
          <w:b w:val="0"/>
          <w:caps w:val="0"/>
          <w:sz w:val="24"/>
          <w:szCs w:val="24"/>
        </w:rPr>
        <w:t>Appendix B  Reference Index for Standard Value of Bond Strength of</w:t>
      </w:r>
      <w:r>
        <w:rPr>
          <w:rStyle w:val="34"/>
          <w:rFonts w:ascii="Times New Roman" w:hAnsi="Times New Roman"/>
          <w:b w:val="0"/>
          <w:caps w:val="0"/>
          <w:sz w:val="24"/>
          <w:szCs w:val="24"/>
        </w:rPr>
        <w:br w:type="textWrapping"/>
      </w:r>
      <w:r>
        <w:rPr>
          <w:rStyle w:val="34"/>
          <w:rFonts w:ascii="Times New Roman" w:hAnsi="Times New Roman"/>
          <w:b w:val="0"/>
          <w:caps w:val="0"/>
          <w:sz w:val="24"/>
          <w:szCs w:val="24"/>
        </w:rPr>
        <w:t>Anchor Rod and Soil Nail</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_Toc45197552 \h </w:instrText>
      </w:r>
      <w:r>
        <w:rPr>
          <w:rFonts w:ascii="Times New Roman" w:hAnsi="Times New Roman"/>
          <w:b w:val="0"/>
          <w:sz w:val="24"/>
          <w:szCs w:val="24"/>
        </w:rPr>
        <w:fldChar w:fldCharType="separate"/>
      </w:r>
      <w:r>
        <w:rPr>
          <w:rFonts w:ascii="Times New Roman" w:hAnsi="Times New Roman"/>
          <w:b w:val="0"/>
          <w:sz w:val="24"/>
          <w:szCs w:val="24"/>
        </w:rPr>
        <w:t>96</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8"/>
        <w:ind w:left="1424" w:hanging="1424"/>
        <w:rPr>
          <w:rFonts w:ascii="Times New Roman" w:hAnsi="Times New Roman"/>
          <w:b w:val="0"/>
          <w:sz w:val="24"/>
          <w:szCs w:val="24"/>
        </w:rPr>
      </w:pPr>
      <w:r>
        <w:fldChar w:fldCharType="begin"/>
      </w:r>
      <w:r>
        <w:instrText xml:space="preserve"> HYPERLINK \l "_Toc45197553" </w:instrText>
      </w:r>
      <w:r>
        <w:fldChar w:fldCharType="separate"/>
      </w:r>
      <w:r>
        <w:rPr>
          <w:rStyle w:val="34"/>
          <w:rFonts w:ascii="Times New Roman" w:hAnsi="Times New Roman"/>
          <w:b w:val="0"/>
          <w:caps w:val="0"/>
          <w:sz w:val="24"/>
          <w:szCs w:val="24"/>
        </w:rPr>
        <w:t>Appendix C  Reference Value of Permeability Coefficient</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_Toc45197553 \h </w:instrText>
      </w:r>
      <w:r>
        <w:rPr>
          <w:rFonts w:ascii="Times New Roman" w:hAnsi="Times New Roman"/>
          <w:b w:val="0"/>
          <w:sz w:val="24"/>
          <w:szCs w:val="24"/>
        </w:rPr>
        <w:fldChar w:fldCharType="separate"/>
      </w:r>
      <w:r>
        <w:rPr>
          <w:rFonts w:ascii="Times New Roman" w:hAnsi="Times New Roman"/>
          <w:b w:val="0"/>
          <w:sz w:val="24"/>
          <w:szCs w:val="24"/>
        </w:rPr>
        <w:t>98</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8"/>
        <w:ind w:left="1424" w:hanging="1424"/>
        <w:rPr>
          <w:rFonts w:ascii="Times New Roman" w:hAnsi="Times New Roman"/>
          <w:b w:val="0"/>
          <w:sz w:val="24"/>
          <w:szCs w:val="24"/>
        </w:rPr>
      </w:pPr>
      <w:r>
        <w:fldChar w:fldCharType="begin"/>
      </w:r>
      <w:r>
        <w:instrText xml:space="preserve"> HYPERLINK \l "_Toc45197554" </w:instrText>
      </w:r>
      <w:r>
        <w:fldChar w:fldCharType="separate"/>
      </w:r>
      <w:r>
        <w:rPr>
          <w:rStyle w:val="34"/>
          <w:rFonts w:ascii="Times New Roman" w:hAnsi="Times New Roman"/>
          <w:b w:val="0"/>
          <w:caps w:val="0"/>
          <w:sz w:val="24"/>
          <w:szCs w:val="24"/>
        </w:rPr>
        <w:t>Appendix D  Basic Test of Anchor Rod</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_Toc45197554 \h </w:instrText>
      </w:r>
      <w:r>
        <w:rPr>
          <w:rFonts w:ascii="Times New Roman" w:hAnsi="Times New Roman"/>
          <w:b w:val="0"/>
          <w:sz w:val="24"/>
          <w:szCs w:val="24"/>
        </w:rPr>
        <w:fldChar w:fldCharType="separate"/>
      </w:r>
      <w:r>
        <w:rPr>
          <w:rFonts w:ascii="Times New Roman" w:hAnsi="Times New Roman"/>
          <w:b w:val="0"/>
          <w:sz w:val="24"/>
          <w:szCs w:val="24"/>
        </w:rPr>
        <w:t>99</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8"/>
        <w:ind w:left="1424" w:hanging="1424"/>
        <w:rPr>
          <w:rFonts w:ascii="Times New Roman" w:hAnsi="Times New Roman"/>
          <w:b w:val="0"/>
          <w:sz w:val="24"/>
          <w:szCs w:val="24"/>
        </w:rPr>
      </w:pPr>
      <w:r>
        <w:fldChar w:fldCharType="begin"/>
      </w:r>
      <w:r>
        <w:instrText xml:space="preserve"> HYPERLINK \l "_Toc45197555" </w:instrText>
      </w:r>
      <w:r>
        <w:fldChar w:fldCharType="separate"/>
      </w:r>
      <w:r>
        <w:rPr>
          <w:rStyle w:val="34"/>
          <w:rFonts w:ascii="Times New Roman" w:hAnsi="Times New Roman"/>
          <w:b w:val="0"/>
          <w:caps w:val="0"/>
          <w:sz w:val="24"/>
          <w:szCs w:val="24"/>
        </w:rPr>
        <w:t>Appendix E  Pull Out Test of Soil Nailing</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_Toc45197555 \h </w:instrText>
      </w:r>
      <w:r>
        <w:rPr>
          <w:rFonts w:ascii="Times New Roman" w:hAnsi="Times New Roman"/>
          <w:b w:val="0"/>
          <w:sz w:val="24"/>
          <w:szCs w:val="24"/>
        </w:rPr>
        <w:fldChar w:fldCharType="separate"/>
      </w:r>
      <w:r>
        <w:rPr>
          <w:rFonts w:ascii="Times New Roman" w:hAnsi="Times New Roman"/>
          <w:b w:val="0"/>
          <w:sz w:val="24"/>
          <w:szCs w:val="24"/>
        </w:rPr>
        <w:t>103</w:t>
      </w:r>
      <w:r>
        <w:rPr>
          <w:rFonts w:ascii="Times New Roman" w:hAnsi="Times New Roman"/>
          <w:b w:val="0"/>
          <w:sz w:val="24"/>
          <w:szCs w:val="24"/>
        </w:rPr>
        <w:fldChar w:fldCharType="end"/>
      </w:r>
      <w:r>
        <w:rPr>
          <w:rFonts w:ascii="Times New Roman" w:hAnsi="Times New Roman"/>
          <w:b w:val="0"/>
          <w:sz w:val="24"/>
          <w:szCs w:val="24"/>
        </w:rPr>
        <w:fldChar w:fldCharType="end"/>
      </w:r>
    </w:p>
    <w:p>
      <w:pPr>
        <w:pStyle w:val="18"/>
        <w:ind w:left="1424" w:hanging="1424"/>
        <w:rPr>
          <w:rStyle w:val="34"/>
          <w:rFonts w:ascii="Times New Roman" w:hAnsi="Times New Roman"/>
          <w:b w:val="0"/>
          <w:caps w:val="0"/>
          <w:sz w:val="24"/>
          <w:szCs w:val="24"/>
        </w:rPr>
      </w:pPr>
      <w:r>
        <w:fldChar w:fldCharType="begin"/>
      </w:r>
      <w:r>
        <w:instrText xml:space="preserve"> HYPERLINK \l "_Toc87018368" </w:instrText>
      </w:r>
      <w:r>
        <w:fldChar w:fldCharType="separate"/>
      </w:r>
      <w:r>
        <w:rPr>
          <w:rStyle w:val="34"/>
          <w:rFonts w:hint="eastAsia" w:ascii="Times New Roman" w:hAnsi="Times New Roman"/>
          <w:b w:val="0"/>
          <w:caps w:val="0"/>
          <w:sz w:val="24"/>
          <w:szCs w:val="24"/>
        </w:rPr>
        <w:t>Explanation of Wording in This Specification</w:t>
      </w:r>
      <w:r>
        <w:rPr>
          <w:rStyle w:val="34"/>
          <w:rFonts w:ascii="Times New Roman" w:hAnsi="Times New Roman"/>
          <w:b w:val="0"/>
          <w:caps w:val="0"/>
          <w:sz w:val="24"/>
          <w:szCs w:val="24"/>
        </w:rPr>
        <w:tab/>
      </w:r>
      <w:r>
        <w:rPr>
          <w:rStyle w:val="34"/>
          <w:rFonts w:ascii="Times New Roman" w:hAnsi="Times New Roman"/>
          <w:b w:val="0"/>
          <w:caps w:val="0"/>
          <w:sz w:val="24"/>
          <w:szCs w:val="24"/>
        </w:rPr>
        <w:fldChar w:fldCharType="begin"/>
      </w:r>
      <w:r>
        <w:rPr>
          <w:rStyle w:val="34"/>
          <w:rFonts w:ascii="Times New Roman" w:hAnsi="Times New Roman"/>
          <w:b w:val="0"/>
          <w:caps w:val="0"/>
          <w:sz w:val="24"/>
          <w:szCs w:val="24"/>
        </w:rPr>
        <w:instrText xml:space="preserve"> PAGEREF _Toc87018368 \h </w:instrText>
      </w:r>
      <w:r>
        <w:rPr>
          <w:rStyle w:val="34"/>
          <w:rFonts w:ascii="Times New Roman" w:hAnsi="Times New Roman"/>
          <w:b w:val="0"/>
          <w:caps w:val="0"/>
          <w:sz w:val="24"/>
          <w:szCs w:val="24"/>
        </w:rPr>
        <w:fldChar w:fldCharType="separate"/>
      </w:r>
      <w:r>
        <w:rPr>
          <w:rStyle w:val="34"/>
          <w:rFonts w:ascii="Times New Roman" w:hAnsi="Times New Roman"/>
          <w:b w:val="0"/>
          <w:caps w:val="0"/>
          <w:sz w:val="24"/>
          <w:szCs w:val="24"/>
        </w:rPr>
        <w:t>105</w:t>
      </w:r>
      <w:r>
        <w:rPr>
          <w:rStyle w:val="34"/>
          <w:rFonts w:ascii="Times New Roman" w:hAnsi="Times New Roman"/>
          <w:b w:val="0"/>
          <w:caps w:val="0"/>
          <w:sz w:val="24"/>
          <w:szCs w:val="24"/>
        </w:rPr>
        <w:fldChar w:fldCharType="end"/>
      </w:r>
      <w:r>
        <w:rPr>
          <w:rStyle w:val="34"/>
          <w:rFonts w:ascii="Times New Roman" w:hAnsi="Times New Roman"/>
          <w:b w:val="0"/>
          <w:caps w:val="0"/>
          <w:sz w:val="24"/>
          <w:szCs w:val="24"/>
        </w:rPr>
        <w:fldChar w:fldCharType="end"/>
      </w:r>
    </w:p>
    <w:p>
      <w:pPr>
        <w:pStyle w:val="18"/>
        <w:ind w:left="1424" w:hanging="1424"/>
        <w:rPr>
          <w:rStyle w:val="34"/>
          <w:rFonts w:ascii="Times New Roman" w:hAnsi="Times New Roman"/>
          <w:b w:val="0"/>
          <w:caps w:val="0"/>
          <w:sz w:val="24"/>
          <w:szCs w:val="24"/>
        </w:rPr>
      </w:pPr>
      <w:r>
        <w:fldChar w:fldCharType="begin"/>
      </w:r>
      <w:r>
        <w:instrText xml:space="preserve"> HYPERLINK \l "_Toc87018369" </w:instrText>
      </w:r>
      <w:r>
        <w:fldChar w:fldCharType="separate"/>
      </w:r>
      <w:r>
        <w:rPr>
          <w:rStyle w:val="34"/>
          <w:rFonts w:hint="eastAsia" w:ascii="Times New Roman" w:hAnsi="Times New Roman"/>
          <w:b w:val="0"/>
          <w:caps w:val="0"/>
          <w:sz w:val="24"/>
          <w:szCs w:val="24"/>
        </w:rPr>
        <w:t>List of Quoted Standards</w:t>
      </w:r>
      <w:r>
        <w:rPr>
          <w:rStyle w:val="34"/>
          <w:rFonts w:ascii="Times New Roman" w:hAnsi="Times New Roman"/>
          <w:b w:val="0"/>
          <w:caps w:val="0"/>
          <w:sz w:val="24"/>
          <w:szCs w:val="24"/>
        </w:rPr>
        <w:tab/>
      </w:r>
      <w:r>
        <w:rPr>
          <w:rStyle w:val="34"/>
          <w:rFonts w:ascii="Times New Roman" w:hAnsi="Times New Roman"/>
          <w:b w:val="0"/>
          <w:caps w:val="0"/>
          <w:sz w:val="24"/>
          <w:szCs w:val="24"/>
        </w:rPr>
        <w:fldChar w:fldCharType="begin"/>
      </w:r>
      <w:r>
        <w:rPr>
          <w:rStyle w:val="34"/>
          <w:rFonts w:ascii="Times New Roman" w:hAnsi="Times New Roman"/>
          <w:b w:val="0"/>
          <w:caps w:val="0"/>
          <w:sz w:val="24"/>
          <w:szCs w:val="24"/>
        </w:rPr>
        <w:instrText xml:space="preserve"> PAGEREF _Toc87018369 \h </w:instrText>
      </w:r>
      <w:r>
        <w:rPr>
          <w:rStyle w:val="34"/>
          <w:rFonts w:ascii="Times New Roman" w:hAnsi="Times New Roman"/>
          <w:b w:val="0"/>
          <w:caps w:val="0"/>
          <w:sz w:val="24"/>
          <w:szCs w:val="24"/>
        </w:rPr>
        <w:fldChar w:fldCharType="separate"/>
      </w:r>
      <w:r>
        <w:rPr>
          <w:rStyle w:val="34"/>
          <w:rFonts w:ascii="Times New Roman" w:hAnsi="Times New Roman"/>
          <w:b w:val="0"/>
          <w:caps w:val="0"/>
          <w:sz w:val="24"/>
          <w:szCs w:val="24"/>
        </w:rPr>
        <w:t>106</w:t>
      </w:r>
      <w:r>
        <w:rPr>
          <w:rStyle w:val="34"/>
          <w:rFonts w:ascii="Times New Roman" w:hAnsi="Times New Roman"/>
          <w:b w:val="0"/>
          <w:caps w:val="0"/>
          <w:sz w:val="24"/>
          <w:szCs w:val="24"/>
        </w:rPr>
        <w:fldChar w:fldCharType="end"/>
      </w:r>
      <w:r>
        <w:rPr>
          <w:rStyle w:val="34"/>
          <w:rFonts w:ascii="Times New Roman" w:hAnsi="Times New Roman"/>
          <w:b w:val="0"/>
          <w:caps w:val="0"/>
          <w:sz w:val="24"/>
          <w:szCs w:val="24"/>
        </w:rPr>
        <w:fldChar w:fldCharType="end"/>
      </w:r>
    </w:p>
    <w:p>
      <w:pPr>
        <w:pStyle w:val="18"/>
        <w:ind w:left="1424" w:hanging="1424"/>
        <w:rPr>
          <w:rFonts w:ascii="Times New Roman" w:hAnsi="Times New Roman"/>
          <w:b w:val="0"/>
          <w:sz w:val="24"/>
          <w:szCs w:val="24"/>
        </w:rPr>
      </w:pPr>
      <w:r>
        <w:fldChar w:fldCharType="begin"/>
      </w:r>
      <w:r>
        <w:instrText xml:space="preserve"> HYPERLINK \l "_Toc45197556" </w:instrText>
      </w:r>
      <w:r>
        <w:fldChar w:fldCharType="separate"/>
      </w:r>
      <w:r>
        <w:rPr>
          <w:rStyle w:val="34"/>
          <w:rFonts w:ascii="Times New Roman" w:hAnsi="Times New Roman"/>
          <w:b w:val="0"/>
          <w:caps w:val="0"/>
          <w:sz w:val="24"/>
          <w:szCs w:val="24"/>
        </w:rPr>
        <w:t>Explanation of Provisions</w:t>
      </w:r>
      <w:r>
        <w:rPr>
          <w:rFonts w:ascii="Times New Roman" w:hAnsi="Times New Roman"/>
          <w:b w:val="0"/>
          <w:sz w:val="24"/>
          <w:szCs w:val="24"/>
        </w:rPr>
        <w:tab/>
      </w:r>
      <w:r>
        <w:rPr>
          <w:rFonts w:ascii="Times New Roman" w:hAnsi="Times New Roman"/>
          <w:b w:val="0"/>
          <w:sz w:val="24"/>
          <w:szCs w:val="24"/>
        </w:rPr>
        <w:fldChar w:fldCharType="begin"/>
      </w:r>
      <w:r>
        <w:rPr>
          <w:rFonts w:ascii="Times New Roman" w:hAnsi="Times New Roman"/>
          <w:b w:val="0"/>
          <w:sz w:val="24"/>
          <w:szCs w:val="24"/>
        </w:rPr>
        <w:instrText xml:space="preserve"> PAGEREF _Toc45197556 \h </w:instrText>
      </w:r>
      <w:r>
        <w:rPr>
          <w:rFonts w:ascii="Times New Roman" w:hAnsi="Times New Roman"/>
          <w:b w:val="0"/>
          <w:sz w:val="24"/>
          <w:szCs w:val="24"/>
        </w:rPr>
        <w:fldChar w:fldCharType="separate"/>
      </w:r>
      <w:r>
        <w:rPr>
          <w:rFonts w:ascii="Times New Roman" w:hAnsi="Times New Roman"/>
          <w:b w:val="0"/>
          <w:sz w:val="24"/>
          <w:szCs w:val="24"/>
        </w:rPr>
        <w:t>105</w:t>
      </w:r>
      <w:r>
        <w:rPr>
          <w:rFonts w:ascii="Times New Roman" w:hAnsi="Times New Roman"/>
          <w:b w:val="0"/>
          <w:sz w:val="24"/>
          <w:szCs w:val="24"/>
        </w:rPr>
        <w:fldChar w:fldCharType="end"/>
      </w:r>
      <w:r>
        <w:rPr>
          <w:rFonts w:ascii="Times New Roman" w:hAnsi="Times New Roman"/>
          <w:b w:val="0"/>
          <w:sz w:val="24"/>
          <w:szCs w:val="24"/>
        </w:rPr>
        <w:fldChar w:fldCharType="end"/>
      </w:r>
    </w:p>
    <w:p>
      <w:pPr>
        <w:spacing w:line="360" w:lineRule="auto"/>
        <w:rPr>
          <w:b/>
          <w:sz w:val="24"/>
        </w:rPr>
      </w:pPr>
      <w:r>
        <w:rPr>
          <w:sz w:val="24"/>
        </w:rPr>
        <w:fldChar w:fldCharType="end"/>
      </w:r>
    </w:p>
    <w:p>
      <w:pPr>
        <w:spacing w:line="360" w:lineRule="auto"/>
        <w:rPr>
          <w:b/>
          <w:sz w:val="24"/>
        </w:rPr>
      </w:pPr>
    </w:p>
    <w:p>
      <w:pPr>
        <w:spacing w:line="360" w:lineRule="auto"/>
        <w:rPr>
          <w:b/>
          <w:sz w:val="24"/>
        </w:rPr>
        <w:sectPr>
          <w:pgSz w:w="11907" w:h="16840"/>
          <w:pgMar w:top="1418" w:right="1134" w:bottom="1134" w:left="1701" w:header="851" w:footer="567" w:gutter="0"/>
          <w:pgNumType w:fmt="upperRoman"/>
          <w:cols w:space="720" w:num="1"/>
          <w:titlePg/>
          <w:docGrid w:linePitch="312" w:charSpace="0"/>
        </w:sectPr>
      </w:pPr>
    </w:p>
    <w:p>
      <w:pPr>
        <w:tabs>
          <w:tab w:val="center" w:pos="4536"/>
          <w:tab w:val="left" w:pos="6436"/>
        </w:tabs>
        <w:spacing w:line="360" w:lineRule="auto"/>
        <w:jc w:val="left"/>
        <w:outlineLvl w:val="0"/>
        <w:rPr>
          <w:b/>
          <w:sz w:val="28"/>
          <w:szCs w:val="28"/>
        </w:rPr>
      </w:pPr>
      <w:r>
        <w:rPr>
          <w:b/>
          <w:sz w:val="28"/>
          <w:szCs w:val="28"/>
        </w:rPr>
        <w:tab/>
      </w:r>
      <w:bookmarkStart w:id="1" w:name="_Toc87018246"/>
      <w:bookmarkStart w:id="2" w:name="_Toc87018315"/>
      <w:r>
        <w:rPr>
          <w:b/>
          <w:sz w:val="28"/>
          <w:szCs w:val="28"/>
        </w:rPr>
        <w:t>1  总则</w:t>
      </w:r>
      <w:bookmarkEnd w:id="0"/>
      <w:bookmarkEnd w:id="1"/>
      <w:bookmarkEnd w:id="2"/>
    </w:p>
    <w:p>
      <w:pPr>
        <w:spacing w:line="360" w:lineRule="auto"/>
        <w:rPr>
          <w:sz w:val="24"/>
        </w:rPr>
      </w:pPr>
      <w:r>
        <w:rPr>
          <w:b/>
          <w:sz w:val="24"/>
        </w:rPr>
        <w:t>1.0.1</w:t>
      </w:r>
      <w:r>
        <w:rPr>
          <w:sz w:val="24"/>
        </w:rPr>
        <w:t xml:space="preserve">  为了规范昆明地区建筑基坑支护工程的勘察、设计、施工、监测工作，做到安全适用、技术先进、经济合理、节能环保，确保基坑</w:t>
      </w:r>
      <w:r>
        <w:rPr>
          <w:rFonts w:hint="eastAsia"/>
          <w:sz w:val="24"/>
        </w:rPr>
        <w:t>及其</w:t>
      </w:r>
      <w:r>
        <w:rPr>
          <w:sz w:val="24"/>
        </w:rPr>
        <w:t>周边安全，结合昆明地区特点，制定本规程。</w:t>
      </w:r>
    </w:p>
    <w:p>
      <w:pPr>
        <w:spacing w:line="360" w:lineRule="auto"/>
        <w:rPr>
          <w:sz w:val="24"/>
        </w:rPr>
      </w:pPr>
      <w:r>
        <w:rPr>
          <w:b/>
          <w:sz w:val="24"/>
        </w:rPr>
        <w:t xml:space="preserve">1.0.2  </w:t>
      </w:r>
      <w:r>
        <w:rPr>
          <w:sz w:val="24"/>
        </w:rPr>
        <w:t>本规程适用于昆明地区建</w:t>
      </w:r>
      <w:r>
        <w:rPr>
          <w:rFonts w:hint="eastAsia"/>
          <w:sz w:val="24"/>
        </w:rPr>
        <w:t>筑</w:t>
      </w:r>
      <w:r>
        <w:rPr>
          <w:sz w:val="24"/>
        </w:rPr>
        <w:t>基坑工程，其他行业可参照使用。</w:t>
      </w:r>
    </w:p>
    <w:p>
      <w:pPr>
        <w:spacing w:line="360" w:lineRule="auto"/>
        <w:rPr>
          <w:sz w:val="24"/>
        </w:rPr>
      </w:pPr>
      <w:r>
        <w:rPr>
          <w:b/>
          <w:bCs/>
          <w:sz w:val="24"/>
        </w:rPr>
        <w:t xml:space="preserve">1.0.3  </w:t>
      </w:r>
      <w:r>
        <w:rPr>
          <w:sz w:val="24"/>
        </w:rPr>
        <w:t>基坑工程应综合</w:t>
      </w:r>
      <w:r>
        <w:rPr>
          <w:rFonts w:hint="eastAsia"/>
          <w:sz w:val="24"/>
        </w:rPr>
        <w:t>考虑</w:t>
      </w:r>
      <w:r>
        <w:rPr>
          <w:sz w:val="24"/>
        </w:rPr>
        <w:t>地质条件、</w:t>
      </w:r>
      <w:r>
        <w:rPr>
          <w:rFonts w:hint="eastAsia"/>
          <w:sz w:val="24"/>
        </w:rPr>
        <w:t>基坑特征、</w:t>
      </w:r>
      <w:r>
        <w:rPr>
          <w:sz w:val="24"/>
        </w:rPr>
        <w:t>基坑周边环境</w:t>
      </w:r>
      <w:r>
        <w:rPr>
          <w:rFonts w:hint="eastAsia"/>
          <w:sz w:val="24"/>
        </w:rPr>
        <w:t>条件</w:t>
      </w:r>
      <w:r>
        <w:rPr>
          <w:sz w:val="24"/>
        </w:rPr>
        <w:t>、主体结构要求、施工季节及支护结构使用</w:t>
      </w:r>
      <w:r>
        <w:rPr>
          <w:rFonts w:hint="eastAsia"/>
          <w:sz w:val="24"/>
        </w:rPr>
        <w:t>年限</w:t>
      </w:r>
      <w:r>
        <w:rPr>
          <w:sz w:val="24"/>
        </w:rPr>
        <w:t>等因素，因地制宜、合理选型、优化设计、精心施工、严格监控。</w:t>
      </w:r>
    </w:p>
    <w:p>
      <w:pPr>
        <w:spacing w:line="360" w:lineRule="auto"/>
        <w:rPr>
          <w:bCs/>
          <w:color w:val="FF0000"/>
          <w:sz w:val="24"/>
        </w:rPr>
      </w:pPr>
      <w:r>
        <w:rPr>
          <w:b/>
          <w:sz w:val="24"/>
        </w:rPr>
        <w:t xml:space="preserve">1.0.4  </w:t>
      </w:r>
      <w:r>
        <w:rPr>
          <w:sz w:val="24"/>
        </w:rPr>
        <w:t>基坑工程的勘察、设计、施工、</w:t>
      </w:r>
      <w:r>
        <w:rPr>
          <w:rFonts w:hint="eastAsia"/>
          <w:sz w:val="24"/>
        </w:rPr>
        <w:t>检测</w:t>
      </w:r>
      <w:r>
        <w:rPr>
          <w:sz w:val="24"/>
        </w:rPr>
        <w:t>、监测，除应符合本规程的规定外，尚应符合国家、行业有关标准的规定。</w:t>
      </w:r>
    </w:p>
    <w:p>
      <w:pPr>
        <w:spacing w:line="360" w:lineRule="auto"/>
        <w:rPr>
          <w:color w:val="0070C0"/>
          <w:sz w:val="24"/>
        </w:rPr>
      </w:pPr>
    </w:p>
    <w:p>
      <w:pPr>
        <w:spacing w:line="360" w:lineRule="auto"/>
        <w:rPr>
          <w:color w:val="0000CC"/>
        </w:rPr>
      </w:pPr>
    </w:p>
    <w:p>
      <w:pPr>
        <w:spacing w:line="360" w:lineRule="auto"/>
        <w:jc w:val="center"/>
        <w:outlineLvl w:val="0"/>
        <w:rPr>
          <w:b/>
          <w:sz w:val="28"/>
          <w:szCs w:val="28"/>
        </w:rPr>
      </w:pPr>
      <w:r>
        <w:rPr>
          <w:color w:val="0070C0"/>
          <w:sz w:val="24"/>
        </w:rPr>
        <w:br w:type="page"/>
      </w:r>
      <w:bookmarkStart w:id="3" w:name="_Toc87018247"/>
      <w:bookmarkStart w:id="4" w:name="_Toc87018316"/>
      <w:r>
        <w:rPr>
          <w:b/>
          <w:sz w:val="28"/>
          <w:szCs w:val="28"/>
        </w:rPr>
        <w:t>2  术语和符号</w:t>
      </w:r>
      <w:bookmarkEnd w:id="3"/>
      <w:bookmarkEnd w:id="4"/>
    </w:p>
    <w:p>
      <w:pPr>
        <w:spacing w:line="360" w:lineRule="auto"/>
        <w:jc w:val="center"/>
        <w:outlineLvl w:val="1"/>
        <w:rPr>
          <w:b/>
          <w:sz w:val="24"/>
        </w:rPr>
      </w:pPr>
      <w:bookmarkStart w:id="5" w:name="_Toc87018317"/>
      <w:bookmarkStart w:id="6" w:name="_Toc87018248"/>
      <w:bookmarkStart w:id="7" w:name="_Toc405366240"/>
      <w:r>
        <w:rPr>
          <w:b/>
          <w:sz w:val="24"/>
        </w:rPr>
        <w:t>2.1  术语</w:t>
      </w:r>
      <w:bookmarkEnd w:id="5"/>
      <w:bookmarkEnd w:id="6"/>
      <w:bookmarkEnd w:id="7"/>
    </w:p>
    <w:p>
      <w:pPr>
        <w:spacing w:line="360" w:lineRule="auto"/>
        <w:rPr>
          <w:sz w:val="24"/>
        </w:rPr>
      </w:pPr>
      <w:r>
        <w:rPr>
          <w:b/>
          <w:sz w:val="24"/>
        </w:rPr>
        <w:t xml:space="preserve">2.1.1  </w:t>
      </w:r>
      <w:r>
        <w:rPr>
          <w:sz w:val="24"/>
        </w:rPr>
        <w:t>基坑  excavation</w:t>
      </w:r>
      <w:r>
        <w:rPr>
          <w:rFonts w:hint="eastAsia"/>
          <w:sz w:val="24"/>
        </w:rPr>
        <w:t>s</w:t>
      </w:r>
    </w:p>
    <w:p>
      <w:pPr>
        <w:spacing w:line="360" w:lineRule="auto"/>
        <w:ind w:firstLine="480" w:firstLineChars="200"/>
        <w:jc w:val="left"/>
        <w:rPr>
          <w:bCs/>
          <w:sz w:val="24"/>
        </w:rPr>
      </w:pPr>
      <w:r>
        <w:rPr>
          <w:sz w:val="24"/>
        </w:rPr>
        <w:t>为进行建筑物地下部分的施工由地面向下开挖出的空间。</w:t>
      </w:r>
    </w:p>
    <w:p>
      <w:pPr>
        <w:spacing w:line="360" w:lineRule="auto"/>
        <w:rPr>
          <w:sz w:val="24"/>
        </w:rPr>
      </w:pPr>
      <w:r>
        <w:rPr>
          <w:b/>
          <w:sz w:val="24"/>
        </w:rPr>
        <w:t xml:space="preserve">2.1.2  </w:t>
      </w:r>
      <w:r>
        <w:rPr>
          <w:sz w:val="24"/>
        </w:rPr>
        <w:t>基坑周边环境  surroundings around excavations</w:t>
      </w:r>
    </w:p>
    <w:p>
      <w:pPr>
        <w:spacing w:line="360" w:lineRule="auto"/>
        <w:ind w:firstLine="480" w:firstLineChars="200"/>
        <w:jc w:val="left"/>
        <w:rPr>
          <w:sz w:val="24"/>
        </w:rPr>
      </w:pPr>
      <w:r>
        <w:rPr>
          <w:sz w:val="24"/>
        </w:rPr>
        <w:t>与基坑开挖相互影响的周边建筑物、地下管线、道路、岩土体与地下水体等的统称。</w:t>
      </w:r>
    </w:p>
    <w:p>
      <w:pPr>
        <w:spacing w:line="360" w:lineRule="auto"/>
        <w:rPr>
          <w:color w:val="FF0000"/>
          <w:sz w:val="24"/>
        </w:rPr>
      </w:pPr>
      <w:r>
        <w:rPr>
          <w:b/>
          <w:sz w:val="24"/>
        </w:rPr>
        <w:t xml:space="preserve">2.1.3  </w:t>
      </w:r>
      <w:r>
        <w:rPr>
          <w:sz w:val="24"/>
        </w:rPr>
        <w:t>基坑支护  retaining and protection for excavations</w:t>
      </w:r>
    </w:p>
    <w:p>
      <w:pPr>
        <w:spacing w:line="360" w:lineRule="auto"/>
        <w:ind w:firstLine="480" w:firstLineChars="200"/>
        <w:jc w:val="left"/>
        <w:rPr>
          <w:kern w:val="0"/>
          <w:sz w:val="24"/>
        </w:rPr>
      </w:pPr>
      <w:r>
        <w:rPr>
          <w:kern w:val="0"/>
          <w:sz w:val="24"/>
        </w:rPr>
        <w:t>为保护地下主体结构施工和基坑周边环境的安全，对基坑采用的临时性支挡、加固、保护与地下水控制的措施。</w:t>
      </w:r>
    </w:p>
    <w:p>
      <w:pPr>
        <w:spacing w:line="360" w:lineRule="auto"/>
        <w:rPr>
          <w:sz w:val="24"/>
        </w:rPr>
      </w:pPr>
      <w:r>
        <w:rPr>
          <w:b/>
          <w:sz w:val="24"/>
        </w:rPr>
        <w:t>2.1.</w:t>
      </w:r>
      <w:r>
        <w:rPr>
          <w:rFonts w:hint="eastAsia"/>
          <w:b/>
          <w:sz w:val="24"/>
        </w:rPr>
        <w:t>4</w:t>
      </w:r>
      <w:r>
        <w:rPr>
          <w:b/>
          <w:sz w:val="24"/>
        </w:rPr>
        <w:t xml:space="preserve">  </w:t>
      </w:r>
      <w:r>
        <w:rPr>
          <w:sz w:val="24"/>
        </w:rPr>
        <w:t>设计使用</w:t>
      </w:r>
      <w:r>
        <w:rPr>
          <w:rFonts w:hint="eastAsia"/>
          <w:sz w:val="24"/>
        </w:rPr>
        <w:t>年</w:t>
      </w:r>
      <w:r>
        <w:rPr>
          <w:sz w:val="24"/>
        </w:rPr>
        <w:t>限  design workable life</w:t>
      </w:r>
    </w:p>
    <w:p>
      <w:pPr>
        <w:spacing w:line="360" w:lineRule="auto"/>
        <w:ind w:firstLine="480" w:firstLineChars="200"/>
        <w:jc w:val="left"/>
        <w:rPr>
          <w:sz w:val="24"/>
        </w:rPr>
      </w:pPr>
      <w:r>
        <w:rPr>
          <w:sz w:val="24"/>
        </w:rPr>
        <w:t>设计规定的从基坑开挖到预定深度至完成基坑支护使用功能的时段。</w:t>
      </w:r>
    </w:p>
    <w:p>
      <w:pPr>
        <w:spacing w:line="360" w:lineRule="auto"/>
        <w:rPr>
          <w:sz w:val="24"/>
        </w:rPr>
      </w:pPr>
      <w:r>
        <w:rPr>
          <w:b/>
          <w:sz w:val="24"/>
        </w:rPr>
        <w:t>2.1.</w:t>
      </w:r>
      <w:r>
        <w:rPr>
          <w:rFonts w:hint="eastAsia"/>
          <w:b/>
          <w:sz w:val="24"/>
        </w:rPr>
        <w:t>5</w:t>
      </w:r>
      <w:r>
        <w:rPr>
          <w:b/>
          <w:sz w:val="24"/>
        </w:rPr>
        <w:t xml:space="preserve">  </w:t>
      </w:r>
      <w:r>
        <w:rPr>
          <w:sz w:val="24"/>
        </w:rPr>
        <w:t>支护结构  retaining and protection structure</w:t>
      </w:r>
    </w:p>
    <w:p>
      <w:pPr>
        <w:spacing w:line="360" w:lineRule="auto"/>
        <w:ind w:firstLine="480" w:firstLineChars="200"/>
        <w:jc w:val="left"/>
        <w:rPr>
          <w:sz w:val="24"/>
        </w:rPr>
      </w:pPr>
      <w:r>
        <w:rPr>
          <w:sz w:val="24"/>
        </w:rPr>
        <w:t>支挡或加固基坑侧壁的结构。</w:t>
      </w:r>
    </w:p>
    <w:p>
      <w:pPr>
        <w:spacing w:line="360" w:lineRule="auto"/>
        <w:rPr>
          <w:sz w:val="24"/>
        </w:rPr>
      </w:pPr>
      <w:r>
        <w:rPr>
          <w:b/>
          <w:sz w:val="24"/>
        </w:rPr>
        <w:t xml:space="preserve">2.1.6  </w:t>
      </w:r>
      <w:r>
        <w:rPr>
          <w:sz w:val="24"/>
        </w:rPr>
        <w:t>支挡式结构  retaining structure</w:t>
      </w:r>
    </w:p>
    <w:p>
      <w:pPr>
        <w:spacing w:line="360" w:lineRule="auto"/>
        <w:ind w:firstLine="480" w:firstLineChars="200"/>
        <w:jc w:val="left"/>
        <w:rPr>
          <w:sz w:val="24"/>
        </w:rPr>
      </w:pPr>
      <w:r>
        <w:rPr>
          <w:sz w:val="24"/>
        </w:rPr>
        <w:t>以挡土构件和锚杆或支撑为主的，或仅以挡土构件为主的结构</w:t>
      </w:r>
      <w:r>
        <w:rPr>
          <w:rFonts w:hint="eastAsia"/>
          <w:sz w:val="24"/>
        </w:rPr>
        <w:t>物。</w:t>
      </w:r>
    </w:p>
    <w:p>
      <w:pPr>
        <w:spacing w:line="360" w:lineRule="auto"/>
        <w:rPr>
          <w:sz w:val="24"/>
        </w:rPr>
      </w:pPr>
      <w:r>
        <w:rPr>
          <w:b/>
          <w:sz w:val="24"/>
        </w:rPr>
        <w:t xml:space="preserve">2.1.7  </w:t>
      </w:r>
      <w:r>
        <w:rPr>
          <w:sz w:val="24"/>
        </w:rPr>
        <w:t>锚拉式支挡结构  anchored retaining structure</w:t>
      </w:r>
    </w:p>
    <w:p>
      <w:pPr>
        <w:spacing w:line="360" w:lineRule="auto"/>
        <w:ind w:firstLine="480" w:firstLineChars="200"/>
        <w:jc w:val="left"/>
        <w:rPr>
          <w:sz w:val="24"/>
        </w:rPr>
      </w:pPr>
      <w:r>
        <w:rPr>
          <w:sz w:val="24"/>
        </w:rPr>
        <w:t>以挡土构件和锚杆为主的支挡式结构。</w:t>
      </w:r>
    </w:p>
    <w:p>
      <w:pPr>
        <w:spacing w:line="360" w:lineRule="auto"/>
        <w:rPr>
          <w:sz w:val="24"/>
        </w:rPr>
      </w:pPr>
      <w:r>
        <w:rPr>
          <w:b/>
          <w:sz w:val="24"/>
        </w:rPr>
        <w:t xml:space="preserve">2.1.8  </w:t>
      </w:r>
      <w:r>
        <w:rPr>
          <w:sz w:val="24"/>
        </w:rPr>
        <w:t>支撑式支挡结构  strutted retaining structure</w:t>
      </w:r>
    </w:p>
    <w:p>
      <w:pPr>
        <w:spacing w:line="360" w:lineRule="auto"/>
        <w:ind w:firstLine="480" w:firstLineChars="200"/>
        <w:jc w:val="left"/>
        <w:rPr>
          <w:sz w:val="24"/>
        </w:rPr>
      </w:pPr>
      <w:r>
        <w:rPr>
          <w:sz w:val="24"/>
        </w:rPr>
        <w:t>以挡土构件和支撑为主的支挡式结构。</w:t>
      </w:r>
    </w:p>
    <w:p>
      <w:pPr>
        <w:spacing w:line="360" w:lineRule="auto"/>
        <w:rPr>
          <w:sz w:val="24"/>
        </w:rPr>
      </w:pPr>
      <w:r>
        <w:rPr>
          <w:b/>
          <w:sz w:val="24"/>
        </w:rPr>
        <w:t xml:space="preserve">2.1.9  </w:t>
      </w:r>
      <w:r>
        <w:rPr>
          <w:sz w:val="24"/>
        </w:rPr>
        <w:t>悬臂式支挡结构  cantilever retaining structure</w:t>
      </w:r>
    </w:p>
    <w:p>
      <w:pPr>
        <w:spacing w:line="360" w:lineRule="auto"/>
        <w:ind w:firstLine="480" w:firstLineChars="200"/>
        <w:jc w:val="left"/>
        <w:rPr>
          <w:sz w:val="24"/>
        </w:rPr>
      </w:pPr>
      <w:r>
        <w:rPr>
          <w:sz w:val="24"/>
        </w:rPr>
        <w:t>仅以挡土构件为主的支挡式结构。</w:t>
      </w:r>
    </w:p>
    <w:p>
      <w:pPr>
        <w:spacing w:line="360" w:lineRule="auto"/>
        <w:rPr>
          <w:sz w:val="24"/>
        </w:rPr>
      </w:pPr>
      <w:r>
        <w:rPr>
          <w:b/>
          <w:sz w:val="24"/>
        </w:rPr>
        <w:t xml:space="preserve">2.1.10  </w:t>
      </w:r>
      <w:r>
        <w:rPr>
          <w:sz w:val="24"/>
        </w:rPr>
        <w:t>挡土构件  structural member for earth retaining</w:t>
      </w:r>
    </w:p>
    <w:p>
      <w:pPr>
        <w:tabs>
          <w:tab w:val="left" w:pos="5220"/>
        </w:tabs>
        <w:spacing w:line="360" w:lineRule="auto"/>
        <w:ind w:firstLine="480" w:firstLineChars="200"/>
        <w:jc w:val="left"/>
        <w:rPr>
          <w:sz w:val="24"/>
        </w:rPr>
      </w:pPr>
      <w:r>
        <w:rPr>
          <w:sz w:val="24"/>
        </w:rPr>
        <w:t>设置在基坑侧壁并嵌入基坑底面的支护结构竖向构件。</w:t>
      </w:r>
    </w:p>
    <w:p>
      <w:pPr>
        <w:tabs>
          <w:tab w:val="left" w:pos="5220"/>
        </w:tabs>
        <w:spacing w:line="360" w:lineRule="auto"/>
        <w:rPr>
          <w:sz w:val="24"/>
        </w:rPr>
      </w:pPr>
      <w:r>
        <w:rPr>
          <w:b/>
          <w:sz w:val="24"/>
        </w:rPr>
        <w:t xml:space="preserve">2.1.11  </w:t>
      </w:r>
      <w:r>
        <w:rPr>
          <w:sz w:val="24"/>
        </w:rPr>
        <w:t>排桩  soldier pile wall</w:t>
      </w:r>
    </w:p>
    <w:p>
      <w:pPr>
        <w:tabs>
          <w:tab w:val="left" w:pos="5220"/>
        </w:tabs>
        <w:spacing w:line="360" w:lineRule="auto"/>
        <w:ind w:firstLine="480" w:firstLineChars="200"/>
        <w:jc w:val="left"/>
        <w:rPr>
          <w:sz w:val="24"/>
        </w:rPr>
      </w:pPr>
      <w:r>
        <w:rPr>
          <w:sz w:val="24"/>
        </w:rPr>
        <w:t>沿基坑侧壁排列设置的支护桩及冠梁所组成的</w:t>
      </w:r>
      <w:r>
        <w:rPr>
          <w:rFonts w:hint="eastAsia"/>
          <w:sz w:val="24"/>
        </w:rPr>
        <w:t>支护结构</w:t>
      </w:r>
      <w:r>
        <w:rPr>
          <w:sz w:val="24"/>
        </w:rPr>
        <w:t>。</w:t>
      </w:r>
    </w:p>
    <w:p>
      <w:pPr>
        <w:tabs>
          <w:tab w:val="left" w:pos="672"/>
          <w:tab w:val="left" w:pos="1036"/>
          <w:tab w:val="left" w:pos="1620"/>
          <w:tab w:val="left" w:pos="2160"/>
          <w:tab w:val="left" w:pos="7020"/>
        </w:tabs>
        <w:spacing w:line="360" w:lineRule="auto"/>
        <w:rPr>
          <w:sz w:val="24"/>
        </w:rPr>
      </w:pPr>
      <w:r>
        <w:rPr>
          <w:b/>
          <w:sz w:val="24"/>
        </w:rPr>
        <w:t xml:space="preserve">2.1.12  </w:t>
      </w:r>
      <w:r>
        <w:rPr>
          <w:sz w:val="24"/>
        </w:rPr>
        <w:t>双排桩  double-row-piles wall</w:t>
      </w:r>
    </w:p>
    <w:p>
      <w:pPr>
        <w:tabs>
          <w:tab w:val="left" w:pos="672"/>
          <w:tab w:val="left" w:pos="1036"/>
          <w:tab w:val="left" w:pos="1620"/>
          <w:tab w:val="left" w:pos="2160"/>
          <w:tab w:val="left" w:pos="7020"/>
        </w:tabs>
        <w:spacing w:line="360" w:lineRule="auto"/>
        <w:ind w:firstLine="480" w:firstLineChars="200"/>
        <w:jc w:val="left"/>
        <w:rPr>
          <w:sz w:val="24"/>
        </w:rPr>
      </w:pPr>
      <w:r>
        <w:rPr>
          <w:sz w:val="24"/>
        </w:rPr>
        <w:t>沿基坑侧壁排列设置的由前、后两排支护桩和</w:t>
      </w:r>
      <w:r>
        <w:rPr>
          <w:rFonts w:hint="eastAsia"/>
          <w:sz w:val="24"/>
        </w:rPr>
        <w:t>连</w:t>
      </w:r>
      <w:r>
        <w:rPr>
          <w:sz w:val="24"/>
        </w:rPr>
        <w:t>梁连接成的刚架及冠梁所组成的</w:t>
      </w:r>
      <w:r>
        <w:rPr>
          <w:rFonts w:hint="eastAsia"/>
          <w:sz w:val="24"/>
        </w:rPr>
        <w:t>支护结构</w:t>
      </w:r>
      <w:r>
        <w:rPr>
          <w:sz w:val="24"/>
        </w:rPr>
        <w:t>。</w:t>
      </w:r>
    </w:p>
    <w:p>
      <w:pPr>
        <w:tabs>
          <w:tab w:val="left" w:pos="5220"/>
        </w:tabs>
        <w:spacing w:line="360" w:lineRule="auto"/>
        <w:rPr>
          <w:sz w:val="24"/>
        </w:rPr>
      </w:pPr>
      <w:r>
        <w:rPr>
          <w:b/>
          <w:sz w:val="24"/>
        </w:rPr>
        <w:t xml:space="preserve">2.1.13  </w:t>
      </w:r>
      <w:r>
        <w:rPr>
          <w:sz w:val="24"/>
        </w:rPr>
        <w:t>地下连续墙  diaphragm wall</w:t>
      </w:r>
    </w:p>
    <w:p>
      <w:pPr>
        <w:tabs>
          <w:tab w:val="left" w:pos="5220"/>
        </w:tabs>
        <w:spacing w:line="360" w:lineRule="auto"/>
        <w:ind w:firstLine="480" w:firstLineChars="200"/>
        <w:jc w:val="left"/>
        <w:rPr>
          <w:sz w:val="24"/>
        </w:rPr>
      </w:pPr>
      <w:r>
        <w:rPr>
          <w:sz w:val="24"/>
        </w:rPr>
        <w:t>分槽段用专用机械成槽、浇筑钢筋混凝土所形成的连续地下墙体。</w:t>
      </w:r>
    </w:p>
    <w:p>
      <w:pPr>
        <w:tabs>
          <w:tab w:val="left" w:pos="5220"/>
        </w:tabs>
        <w:spacing w:line="360" w:lineRule="auto"/>
        <w:rPr>
          <w:sz w:val="24"/>
        </w:rPr>
      </w:pPr>
      <w:r>
        <w:rPr>
          <w:b/>
          <w:sz w:val="24"/>
        </w:rPr>
        <w:t xml:space="preserve">2.1.14  </w:t>
      </w:r>
      <w:r>
        <w:rPr>
          <w:sz w:val="24"/>
        </w:rPr>
        <w:t>锚杆  anchor</w:t>
      </w:r>
    </w:p>
    <w:p>
      <w:pPr>
        <w:tabs>
          <w:tab w:val="left" w:pos="5220"/>
        </w:tabs>
        <w:spacing w:line="360" w:lineRule="auto"/>
        <w:ind w:firstLine="480" w:firstLineChars="200"/>
        <w:jc w:val="left"/>
        <w:rPr>
          <w:sz w:val="24"/>
        </w:rPr>
      </w:pPr>
      <w:r>
        <w:rPr>
          <w:sz w:val="24"/>
        </w:rPr>
        <w:t>由杆体（钢绞线、钢筋或钢管</w:t>
      </w:r>
      <w:r>
        <w:rPr>
          <w:rFonts w:hint="eastAsia"/>
          <w:sz w:val="24"/>
        </w:rPr>
        <w:t>等</w:t>
      </w:r>
      <w:r>
        <w:rPr>
          <w:sz w:val="24"/>
        </w:rPr>
        <w:t>）、</w:t>
      </w:r>
      <w:r>
        <w:rPr>
          <w:rFonts w:hint="eastAsia"/>
          <w:sz w:val="24"/>
        </w:rPr>
        <w:t>以</w:t>
      </w:r>
      <w:r>
        <w:rPr>
          <w:sz w:val="24"/>
        </w:rPr>
        <w:t>注浆</w:t>
      </w:r>
      <w:r>
        <w:rPr>
          <w:rFonts w:hint="eastAsia"/>
          <w:sz w:val="24"/>
        </w:rPr>
        <w:t>等形式</w:t>
      </w:r>
      <w:r>
        <w:rPr>
          <w:sz w:val="24"/>
        </w:rPr>
        <w:t>形成的固结体、锚具、套管、连接器所组成的一端与支护结构构件连接，另一端锚固在稳定岩土体内的受拉杆件。杆体采用钢绞线时，亦可称为锚索。</w:t>
      </w:r>
    </w:p>
    <w:p>
      <w:pPr>
        <w:tabs>
          <w:tab w:val="left" w:pos="5220"/>
        </w:tabs>
        <w:spacing w:line="360" w:lineRule="auto"/>
        <w:rPr>
          <w:sz w:val="24"/>
        </w:rPr>
      </w:pPr>
      <w:r>
        <w:rPr>
          <w:b/>
          <w:sz w:val="24"/>
        </w:rPr>
        <w:t xml:space="preserve">2.1.15  </w:t>
      </w:r>
      <w:r>
        <w:rPr>
          <w:sz w:val="24"/>
        </w:rPr>
        <w:t>内支撑  strut</w:t>
      </w:r>
    </w:p>
    <w:p>
      <w:pPr>
        <w:tabs>
          <w:tab w:val="left" w:pos="5220"/>
        </w:tabs>
        <w:spacing w:line="360" w:lineRule="auto"/>
        <w:ind w:firstLine="480"/>
        <w:rPr>
          <w:sz w:val="24"/>
        </w:rPr>
      </w:pPr>
      <w:r>
        <w:rPr>
          <w:sz w:val="24"/>
        </w:rPr>
        <w:t>设置在基坑内的由钢筋混凝土</w:t>
      </w:r>
      <w:r>
        <w:rPr>
          <w:rFonts w:hint="eastAsia"/>
          <w:sz w:val="24"/>
        </w:rPr>
        <w:t>构件</w:t>
      </w:r>
      <w:r>
        <w:rPr>
          <w:sz w:val="24"/>
        </w:rPr>
        <w:t>或钢构件组成的用以支撑挡土构件的结构部件。</w:t>
      </w:r>
    </w:p>
    <w:p>
      <w:pPr>
        <w:tabs>
          <w:tab w:val="left" w:pos="5220"/>
        </w:tabs>
        <w:spacing w:line="360" w:lineRule="auto"/>
        <w:rPr>
          <w:sz w:val="24"/>
        </w:rPr>
      </w:pPr>
      <w:r>
        <w:rPr>
          <w:b/>
          <w:sz w:val="24"/>
        </w:rPr>
        <w:t xml:space="preserve">2.1.16  </w:t>
      </w:r>
      <w:r>
        <w:rPr>
          <w:sz w:val="24"/>
        </w:rPr>
        <w:t>冠梁  capping beam</w:t>
      </w:r>
    </w:p>
    <w:p>
      <w:pPr>
        <w:tabs>
          <w:tab w:val="left" w:pos="5220"/>
        </w:tabs>
        <w:spacing w:line="360" w:lineRule="auto"/>
        <w:ind w:firstLine="480" w:firstLineChars="200"/>
        <w:jc w:val="left"/>
        <w:rPr>
          <w:sz w:val="24"/>
        </w:rPr>
      </w:pPr>
      <w:r>
        <w:rPr>
          <w:sz w:val="24"/>
        </w:rPr>
        <w:t>设置在挡土构件顶部的钢筋混凝土连</w:t>
      </w:r>
      <w:r>
        <w:rPr>
          <w:rFonts w:hint="eastAsia"/>
          <w:sz w:val="24"/>
        </w:rPr>
        <w:t>续</w:t>
      </w:r>
      <w:r>
        <w:rPr>
          <w:sz w:val="24"/>
        </w:rPr>
        <w:t>梁。</w:t>
      </w:r>
    </w:p>
    <w:p>
      <w:pPr>
        <w:tabs>
          <w:tab w:val="left" w:pos="5220"/>
        </w:tabs>
        <w:spacing w:line="360" w:lineRule="auto"/>
        <w:rPr>
          <w:sz w:val="24"/>
        </w:rPr>
      </w:pPr>
      <w:r>
        <w:rPr>
          <w:b/>
          <w:sz w:val="24"/>
        </w:rPr>
        <w:t xml:space="preserve">2.1.17  </w:t>
      </w:r>
      <w:r>
        <w:rPr>
          <w:sz w:val="24"/>
        </w:rPr>
        <w:t>围檩  waling</w:t>
      </w:r>
    </w:p>
    <w:p>
      <w:pPr>
        <w:tabs>
          <w:tab w:val="left" w:pos="5220"/>
        </w:tabs>
        <w:spacing w:line="360" w:lineRule="auto"/>
        <w:ind w:firstLine="480" w:firstLineChars="200"/>
        <w:jc w:val="left"/>
        <w:rPr>
          <w:sz w:val="24"/>
        </w:rPr>
      </w:pPr>
      <w:r>
        <w:rPr>
          <w:rFonts w:hint="eastAsia"/>
          <w:sz w:val="24"/>
        </w:rPr>
        <w:t>传递挡土构件与锚杆或内支撑力的横向钢筋</w:t>
      </w:r>
      <w:r>
        <w:rPr>
          <w:sz w:val="24"/>
        </w:rPr>
        <w:t>混凝土</w:t>
      </w:r>
      <w:r>
        <w:rPr>
          <w:rFonts w:hint="eastAsia"/>
          <w:sz w:val="24"/>
        </w:rPr>
        <w:t>连续梁</w:t>
      </w:r>
      <w:r>
        <w:rPr>
          <w:sz w:val="24"/>
        </w:rPr>
        <w:t>或型钢</w:t>
      </w:r>
      <w:r>
        <w:rPr>
          <w:rFonts w:hint="eastAsia"/>
          <w:sz w:val="24"/>
        </w:rPr>
        <w:t>连续梁。</w:t>
      </w:r>
    </w:p>
    <w:p>
      <w:pPr>
        <w:spacing w:line="360" w:lineRule="auto"/>
        <w:rPr>
          <w:sz w:val="24"/>
        </w:rPr>
      </w:pPr>
      <w:r>
        <w:rPr>
          <w:b/>
          <w:sz w:val="24"/>
        </w:rPr>
        <w:t xml:space="preserve">2.1.18  </w:t>
      </w:r>
      <w:r>
        <w:rPr>
          <w:sz w:val="24"/>
        </w:rPr>
        <w:t>土钉  soil nail</w:t>
      </w:r>
    </w:p>
    <w:p>
      <w:pPr>
        <w:tabs>
          <w:tab w:val="left" w:pos="5220"/>
        </w:tabs>
        <w:spacing w:line="360" w:lineRule="auto"/>
        <w:ind w:firstLine="480" w:firstLineChars="200"/>
        <w:jc w:val="left"/>
        <w:rPr>
          <w:sz w:val="24"/>
        </w:rPr>
      </w:pPr>
      <w:r>
        <w:rPr>
          <w:sz w:val="24"/>
        </w:rPr>
        <w:t>设置在基坑侧壁土体内的承受拉力与剪力的杆件。</w:t>
      </w:r>
      <w:r>
        <w:rPr>
          <w:rFonts w:hint="eastAsia"/>
          <w:sz w:val="24"/>
        </w:rPr>
        <w:t>钢筋杆体与注浆固结体组成的称为钢筋土钉，</w:t>
      </w:r>
      <w:r>
        <w:rPr>
          <w:sz w:val="24"/>
        </w:rPr>
        <w:t>将设有出浆孔的钢管直接击入基坑侧壁土中并在钢管内注浆的</w:t>
      </w:r>
      <w:r>
        <w:rPr>
          <w:rFonts w:hint="eastAsia"/>
          <w:sz w:val="24"/>
        </w:rPr>
        <w:t>称为</w:t>
      </w:r>
      <w:r>
        <w:rPr>
          <w:sz w:val="24"/>
        </w:rPr>
        <w:t>钢管土钉。</w:t>
      </w:r>
    </w:p>
    <w:p>
      <w:pPr>
        <w:tabs>
          <w:tab w:val="left" w:pos="5220"/>
        </w:tabs>
        <w:spacing w:line="360" w:lineRule="auto"/>
        <w:rPr>
          <w:sz w:val="24"/>
        </w:rPr>
      </w:pPr>
      <w:r>
        <w:rPr>
          <w:b/>
          <w:sz w:val="24"/>
        </w:rPr>
        <w:t xml:space="preserve">2.1.19  </w:t>
      </w:r>
      <w:r>
        <w:rPr>
          <w:sz w:val="24"/>
        </w:rPr>
        <w:t>土钉墙  soil nailing wall</w:t>
      </w:r>
    </w:p>
    <w:p>
      <w:pPr>
        <w:tabs>
          <w:tab w:val="left" w:pos="5220"/>
        </w:tabs>
        <w:spacing w:line="360" w:lineRule="auto"/>
        <w:ind w:firstLine="480" w:firstLineChars="200"/>
        <w:jc w:val="left"/>
        <w:rPr>
          <w:sz w:val="24"/>
        </w:rPr>
      </w:pPr>
      <w:r>
        <w:rPr>
          <w:sz w:val="24"/>
        </w:rPr>
        <w:t>由随基坑开挖分层设置的、纵横向密布的土钉群、喷射混凝土面层及原位土体所组成的支护结构。</w:t>
      </w:r>
    </w:p>
    <w:p>
      <w:pPr>
        <w:tabs>
          <w:tab w:val="left" w:pos="5220"/>
        </w:tabs>
        <w:spacing w:line="360" w:lineRule="auto"/>
        <w:rPr>
          <w:sz w:val="24"/>
        </w:rPr>
      </w:pPr>
      <w:r>
        <w:rPr>
          <w:b/>
          <w:sz w:val="24"/>
        </w:rPr>
        <w:t xml:space="preserve">2.1.20  </w:t>
      </w:r>
      <w:r>
        <w:rPr>
          <w:sz w:val="24"/>
        </w:rPr>
        <w:t>复合土钉墙  composite soil nailing wall</w:t>
      </w:r>
    </w:p>
    <w:p>
      <w:pPr>
        <w:tabs>
          <w:tab w:val="left" w:pos="5220"/>
        </w:tabs>
        <w:spacing w:line="360" w:lineRule="auto"/>
        <w:ind w:firstLine="480" w:firstLineChars="200"/>
        <w:jc w:val="left"/>
        <w:rPr>
          <w:sz w:val="24"/>
        </w:rPr>
      </w:pPr>
      <w:r>
        <w:rPr>
          <w:sz w:val="24"/>
        </w:rPr>
        <w:t>土钉墙与预应力锚杆、</w:t>
      </w:r>
      <w:r>
        <w:rPr>
          <w:rFonts w:hint="eastAsia"/>
          <w:sz w:val="24"/>
        </w:rPr>
        <w:t>截水帷幕、</w:t>
      </w:r>
      <w:r>
        <w:rPr>
          <w:sz w:val="24"/>
        </w:rPr>
        <w:t>微型桩中的一种或多种组成的复合型支护结构。</w:t>
      </w:r>
    </w:p>
    <w:p>
      <w:pPr>
        <w:tabs>
          <w:tab w:val="left" w:pos="5220"/>
        </w:tabs>
        <w:spacing w:line="360" w:lineRule="auto"/>
        <w:rPr>
          <w:color w:val="FF0000"/>
          <w:sz w:val="24"/>
        </w:rPr>
      </w:pPr>
      <w:r>
        <w:rPr>
          <w:b/>
          <w:sz w:val="24"/>
        </w:rPr>
        <w:t xml:space="preserve">2.1.21  </w:t>
      </w:r>
      <w:r>
        <w:rPr>
          <w:rFonts w:hint="eastAsia"/>
          <w:sz w:val="24"/>
        </w:rPr>
        <w:t>型钢</w:t>
      </w:r>
      <w:r>
        <w:rPr>
          <w:sz w:val="24"/>
        </w:rPr>
        <w:t>水泥土</w:t>
      </w:r>
      <w:r>
        <w:rPr>
          <w:rFonts w:hint="eastAsia"/>
          <w:sz w:val="24"/>
        </w:rPr>
        <w:t>搅拌</w:t>
      </w:r>
      <w:r>
        <w:rPr>
          <w:sz w:val="24"/>
        </w:rPr>
        <w:t xml:space="preserve">墙  </w:t>
      </w:r>
      <w:r>
        <w:rPr>
          <w:rFonts w:hint="eastAsia"/>
          <w:sz w:val="24"/>
        </w:rPr>
        <w:t>soil mixed wall</w:t>
      </w:r>
    </w:p>
    <w:p>
      <w:pPr>
        <w:tabs>
          <w:tab w:val="left" w:pos="5220"/>
        </w:tabs>
        <w:spacing w:line="360" w:lineRule="auto"/>
        <w:ind w:firstLine="480" w:firstLineChars="200"/>
        <w:jc w:val="left"/>
        <w:rPr>
          <w:sz w:val="24"/>
        </w:rPr>
      </w:pPr>
      <w:r>
        <w:rPr>
          <w:rFonts w:hint="eastAsia"/>
          <w:sz w:val="24"/>
        </w:rPr>
        <w:t>在连续套接的水泥土搅拌桩或等厚度水泥土搅拌墙内插入型钢形成的复合挡土截水结构。</w:t>
      </w:r>
    </w:p>
    <w:p>
      <w:pPr>
        <w:tabs>
          <w:tab w:val="left" w:pos="5220"/>
        </w:tabs>
        <w:spacing w:line="360" w:lineRule="auto"/>
        <w:jc w:val="left"/>
        <w:rPr>
          <w:sz w:val="24"/>
        </w:rPr>
      </w:pPr>
      <w:r>
        <w:rPr>
          <w:rFonts w:hint="eastAsia"/>
          <w:b/>
          <w:sz w:val="24"/>
        </w:rPr>
        <w:t>2.1.22</w:t>
      </w:r>
      <w:r>
        <w:rPr>
          <w:rFonts w:hint="eastAsia"/>
          <w:sz w:val="24"/>
        </w:rPr>
        <w:t xml:space="preserve">  坡率法  slope ratio method</w:t>
      </w:r>
    </w:p>
    <w:p>
      <w:pPr>
        <w:tabs>
          <w:tab w:val="left" w:pos="5220"/>
        </w:tabs>
        <w:spacing w:line="360" w:lineRule="auto"/>
        <w:ind w:firstLine="480" w:firstLineChars="200"/>
        <w:jc w:val="left"/>
        <w:rPr>
          <w:sz w:val="24"/>
        </w:rPr>
      </w:pPr>
      <w:r>
        <w:rPr>
          <w:rFonts w:hint="eastAsia"/>
          <w:sz w:val="24"/>
        </w:rPr>
        <w:t>通过控制边坡坡率，保证基坑边坡稳定的方法。</w:t>
      </w:r>
    </w:p>
    <w:p>
      <w:pPr>
        <w:tabs>
          <w:tab w:val="left" w:pos="5220"/>
        </w:tabs>
        <w:spacing w:line="360" w:lineRule="auto"/>
        <w:rPr>
          <w:sz w:val="24"/>
        </w:rPr>
      </w:pPr>
      <w:r>
        <w:rPr>
          <w:b/>
          <w:sz w:val="24"/>
        </w:rPr>
        <w:t>2.1.2</w:t>
      </w:r>
      <w:r>
        <w:rPr>
          <w:rFonts w:hint="eastAsia"/>
          <w:b/>
          <w:sz w:val="24"/>
        </w:rPr>
        <w:t>3</w:t>
      </w:r>
      <w:r>
        <w:rPr>
          <w:b/>
          <w:sz w:val="24"/>
        </w:rPr>
        <w:t xml:space="preserve">  </w:t>
      </w:r>
      <w:r>
        <w:rPr>
          <w:sz w:val="24"/>
        </w:rPr>
        <w:t>地下水控制  groundwater control</w:t>
      </w:r>
    </w:p>
    <w:p>
      <w:pPr>
        <w:tabs>
          <w:tab w:val="left" w:pos="5220"/>
        </w:tabs>
        <w:spacing w:line="360" w:lineRule="auto"/>
        <w:ind w:firstLine="480" w:firstLineChars="200"/>
        <w:jc w:val="left"/>
        <w:rPr>
          <w:sz w:val="24"/>
        </w:rPr>
      </w:pPr>
      <w:r>
        <w:rPr>
          <w:sz w:val="24"/>
        </w:rPr>
        <w:t>为保证支护结构、基坑开挖、地下结构的正常施工，防止地下水变化对基坑周边环境产生影响所采用的截水、降水、排水、回灌等措施。</w:t>
      </w:r>
    </w:p>
    <w:p>
      <w:pPr>
        <w:tabs>
          <w:tab w:val="left" w:pos="5220"/>
        </w:tabs>
        <w:spacing w:line="360" w:lineRule="auto"/>
        <w:rPr>
          <w:sz w:val="24"/>
        </w:rPr>
      </w:pPr>
      <w:r>
        <w:rPr>
          <w:b/>
          <w:sz w:val="24"/>
        </w:rPr>
        <w:t>2.1.2</w:t>
      </w:r>
      <w:r>
        <w:rPr>
          <w:rFonts w:hint="eastAsia"/>
          <w:b/>
          <w:sz w:val="24"/>
        </w:rPr>
        <w:t>4</w:t>
      </w:r>
      <w:r>
        <w:rPr>
          <w:b/>
          <w:sz w:val="24"/>
        </w:rPr>
        <w:t xml:space="preserve">  </w:t>
      </w:r>
      <w:r>
        <w:rPr>
          <w:sz w:val="24"/>
        </w:rPr>
        <w:t xml:space="preserve">截水帷幕  curtain for cutting off drains </w:t>
      </w:r>
    </w:p>
    <w:p>
      <w:pPr>
        <w:tabs>
          <w:tab w:val="left" w:pos="5220"/>
        </w:tabs>
        <w:spacing w:line="360" w:lineRule="auto"/>
        <w:ind w:firstLine="480" w:firstLineChars="200"/>
        <w:jc w:val="left"/>
        <w:rPr>
          <w:sz w:val="24"/>
        </w:rPr>
      </w:pPr>
      <w:r>
        <w:rPr>
          <w:sz w:val="24"/>
        </w:rPr>
        <w:t>用</w:t>
      </w:r>
      <w:r>
        <w:rPr>
          <w:rFonts w:hint="eastAsia"/>
          <w:sz w:val="24"/>
        </w:rPr>
        <w:t>于</w:t>
      </w:r>
      <w:r>
        <w:rPr>
          <w:sz w:val="24"/>
        </w:rPr>
        <w:t>阻隔或减少地下水通过基坑侧壁与坑底流入基坑和</w:t>
      </w:r>
      <w:r>
        <w:rPr>
          <w:rFonts w:hint="eastAsia"/>
          <w:sz w:val="24"/>
        </w:rPr>
        <w:t>控制</w:t>
      </w:r>
      <w:r>
        <w:rPr>
          <w:sz w:val="24"/>
        </w:rPr>
        <w:t>基坑外地下水位下降的幕墙状竖向截水体。</w:t>
      </w:r>
    </w:p>
    <w:p>
      <w:pPr>
        <w:tabs>
          <w:tab w:val="left" w:pos="5220"/>
        </w:tabs>
        <w:spacing w:line="360" w:lineRule="auto"/>
        <w:rPr>
          <w:sz w:val="24"/>
        </w:rPr>
      </w:pPr>
      <w:r>
        <w:rPr>
          <w:b/>
          <w:sz w:val="24"/>
        </w:rPr>
        <w:t>2.1.2</w:t>
      </w:r>
      <w:r>
        <w:rPr>
          <w:rFonts w:hint="eastAsia"/>
          <w:b/>
          <w:sz w:val="24"/>
        </w:rPr>
        <w:t>5</w:t>
      </w:r>
      <w:r>
        <w:rPr>
          <w:b/>
          <w:sz w:val="24"/>
        </w:rPr>
        <w:t xml:space="preserve">  </w:t>
      </w:r>
      <w:r>
        <w:rPr>
          <w:sz w:val="24"/>
        </w:rPr>
        <w:t>落底式</w:t>
      </w:r>
      <w:r>
        <w:rPr>
          <w:rFonts w:hint="eastAsia"/>
          <w:sz w:val="24"/>
        </w:rPr>
        <w:t>截水</w:t>
      </w:r>
      <w:r>
        <w:rPr>
          <w:sz w:val="24"/>
        </w:rPr>
        <w:t>帷幕  closed curtain for cutting off drains</w:t>
      </w:r>
    </w:p>
    <w:p>
      <w:pPr>
        <w:tabs>
          <w:tab w:val="left" w:pos="5220"/>
        </w:tabs>
        <w:spacing w:line="360" w:lineRule="auto"/>
        <w:ind w:firstLine="480" w:firstLineChars="200"/>
        <w:jc w:val="left"/>
        <w:rPr>
          <w:sz w:val="24"/>
        </w:rPr>
      </w:pPr>
      <w:r>
        <w:rPr>
          <w:sz w:val="24"/>
        </w:rPr>
        <w:t>底端穿透含水层并进入下部隔水层一定深度的截水帷幕。</w:t>
      </w:r>
    </w:p>
    <w:p>
      <w:pPr>
        <w:tabs>
          <w:tab w:val="left" w:pos="5220"/>
        </w:tabs>
        <w:spacing w:line="360" w:lineRule="auto"/>
        <w:rPr>
          <w:sz w:val="24"/>
        </w:rPr>
      </w:pPr>
      <w:r>
        <w:rPr>
          <w:b/>
          <w:sz w:val="24"/>
        </w:rPr>
        <w:t>2.1.2</w:t>
      </w:r>
      <w:r>
        <w:rPr>
          <w:rFonts w:hint="eastAsia"/>
          <w:b/>
          <w:sz w:val="24"/>
        </w:rPr>
        <w:t>6</w:t>
      </w:r>
      <w:r>
        <w:rPr>
          <w:b/>
          <w:sz w:val="24"/>
        </w:rPr>
        <w:t xml:space="preserve">  </w:t>
      </w:r>
      <w:r>
        <w:rPr>
          <w:sz w:val="24"/>
        </w:rPr>
        <w:t>悬挂式</w:t>
      </w:r>
      <w:r>
        <w:rPr>
          <w:rFonts w:hint="eastAsia"/>
          <w:sz w:val="24"/>
        </w:rPr>
        <w:t>截水</w:t>
      </w:r>
      <w:r>
        <w:rPr>
          <w:sz w:val="24"/>
        </w:rPr>
        <w:t>帷幕  unclosed curtain for cutting off drains</w:t>
      </w:r>
    </w:p>
    <w:p>
      <w:pPr>
        <w:tabs>
          <w:tab w:val="left" w:pos="5220"/>
        </w:tabs>
        <w:spacing w:line="360" w:lineRule="auto"/>
        <w:ind w:firstLine="480" w:firstLineChars="200"/>
        <w:jc w:val="left"/>
        <w:rPr>
          <w:sz w:val="24"/>
        </w:rPr>
      </w:pPr>
      <w:r>
        <w:rPr>
          <w:sz w:val="24"/>
        </w:rPr>
        <w:t>底端未穿透含水层的截水帷幕。</w:t>
      </w:r>
    </w:p>
    <w:p>
      <w:pPr>
        <w:tabs>
          <w:tab w:val="left" w:pos="672"/>
          <w:tab w:val="left" w:pos="1036"/>
          <w:tab w:val="left" w:pos="1620"/>
          <w:tab w:val="left" w:pos="2160"/>
          <w:tab w:val="left" w:pos="7020"/>
        </w:tabs>
        <w:spacing w:line="360" w:lineRule="auto"/>
        <w:rPr>
          <w:sz w:val="24"/>
        </w:rPr>
      </w:pPr>
      <w:r>
        <w:rPr>
          <w:b/>
          <w:sz w:val="24"/>
        </w:rPr>
        <w:t>2.1.2</w:t>
      </w:r>
      <w:r>
        <w:rPr>
          <w:rFonts w:hint="eastAsia"/>
          <w:b/>
          <w:sz w:val="24"/>
        </w:rPr>
        <w:t>7</w:t>
      </w:r>
      <w:r>
        <w:rPr>
          <w:b/>
          <w:sz w:val="24"/>
        </w:rPr>
        <w:t xml:space="preserve">  </w:t>
      </w:r>
      <w:r>
        <w:rPr>
          <w:sz w:val="24"/>
        </w:rPr>
        <w:t>降水  dewatering</w:t>
      </w:r>
    </w:p>
    <w:p>
      <w:pPr>
        <w:tabs>
          <w:tab w:val="left" w:pos="672"/>
          <w:tab w:val="left" w:pos="1036"/>
          <w:tab w:val="left" w:pos="1620"/>
          <w:tab w:val="left" w:pos="2160"/>
          <w:tab w:val="left" w:pos="7020"/>
        </w:tabs>
        <w:spacing w:line="360" w:lineRule="auto"/>
        <w:ind w:firstLine="480" w:firstLineChars="200"/>
        <w:jc w:val="left"/>
        <w:rPr>
          <w:sz w:val="24"/>
        </w:rPr>
      </w:pPr>
      <w:r>
        <w:rPr>
          <w:sz w:val="24"/>
        </w:rPr>
        <w:t>为防止地下水通过基坑侧壁与基底流入基坑，用抽水井或渗水井降低地下水位的方法。</w:t>
      </w:r>
    </w:p>
    <w:p>
      <w:pPr>
        <w:tabs>
          <w:tab w:val="left" w:pos="672"/>
          <w:tab w:val="left" w:pos="1036"/>
          <w:tab w:val="left" w:pos="1620"/>
          <w:tab w:val="left" w:pos="2160"/>
          <w:tab w:val="left" w:pos="7020"/>
        </w:tabs>
        <w:spacing w:line="360" w:lineRule="auto"/>
        <w:rPr>
          <w:sz w:val="24"/>
        </w:rPr>
      </w:pPr>
      <w:r>
        <w:rPr>
          <w:b/>
          <w:sz w:val="24"/>
        </w:rPr>
        <w:t>2.1.2</w:t>
      </w:r>
      <w:r>
        <w:rPr>
          <w:rFonts w:hint="eastAsia"/>
          <w:b/>
          <w:sz w:val="24"/>
        </w:rPr>
        <w:t>8</w:t>
      </w:r>
      <w:r>
        <w:rPr>
          <w:b/>
          <w:sz w:val="24"/>
        </w:rPr>
        <w:t xml:space="preserve">  </w:t>
      </w:r>
      <w:r>
        <w:rPr>
          <w:sz w:val="24"/>
        </w:rPr>
        <w:t>集水明排  open pumping</w:t>
      </w:r>
    </w:p>
    <w:p>
      <w:pPr>
        <w:tabs>
          <w:tab w:val="left" w:pos="5220"/>
        </w:tabs>
        <w:spacing w:line="360" w:lineRule="auto"/>
        <w:ind w:firstLine="480" w:firstLineChars="200"/>
        <w:jc w:val="left"/>
        <w:rPr>
          <w:sz w:val="24"/>
        </w:rPr>
      </w:pPr>
      <w:r>
        <w:rPr>
          <w:sz w:val="24"/>
        </w:rPr>
        <w:t>用排水沟、集水井、泄水管、输水管等组成的排水系统将地表水、渗漏水排泄至基坑外的方法。</w:t>
      </w:r>
    </w:p>
    <w:p>
      <w:pPr>
        <w:tabs>
          <w:tab w:val="left" w:pos="5220"/>
        </w:tabs>
        <w:spacing w:line="360" w:lineRule="auto"/>
        <w:jc w:val="left"/>
        <w:rPr>
          <w:sz w:val="24"/>
        </w:rPr>
      </w:pPr>
      <w:r>
        <w:rPr>
          <w:rFonts w:hint="eastAsia"/>
          <w:b/>
          <w:sz w:val="24"/>
        </w:rPr>
        <w:t xml:space="preserve">2.1.29 </w:t>
      </w:r>
      <w:r>
        <w:rPr>
          <w:rFonts w:hint="eastAsia"/>
          <w:sz w:val="24"/>
        </w:rPr>
        <w:t xml:space="preserve"> 变形控制值  </w:t>
      </w:r>
      <w:r>
        <w:rPr>
          <w:sz w:val="24"/>
        </w:rPr>
        <w:t>prediction control value</w:t>
      </w:r>
    </w:p>
    <w:p>
      <w:pPr>
        <w:tabs>
          <w:tab w:val="left" w:pos="5220"/>
        </w:tabs>
        <w:spacing w:line="360" w:lineRule="auto"/>
        <w:ind w:firstLine="480" w:firstLineChars="200"/>
        <w:jc w:val="left"/>
        <w:rPr>
          <w:sz w:val="24"/>
        </w:rPr>
      </w:pPr>
      <w:r>
        <w:rPr>
          <w:rFonts w:hint="eastAsia"/>
          <w:sz w:val="24"/>
        </w:rPr>
        <w:t>保证支护结构和基坑周边被保护对象正常使用所要求的变形限值。</w:t>
      </w:r>
    </w:p>
    <w:p>
      <w:pPr>
        <w:tabs>
          <w:tab w:val="left" w:pos="5220"/>
        </w:tabs>
        <w:spacing w:line="360" w:lineRule="auto"/>
        <w:jc w:val="left"/>
        <w:rPr>
          <w:sz w:val="24"/>
        </w:rPr>
      </w:pPr>
      <w:r>
        <w:rPr>
          <w:rFonts w:hint="eastAsia"/>
          <w:b/>
          <w:sz w:val="24"/>
        </w:rPr>
        <w:t xml:space="preserve">2.1.30 </w:t>
      </w:r>
      <w:r>
        <w:rPr>
          <w:rFonts w:hint="eastAsia"/>
          <w:sz w:val="24"/>
        </w:rPr>
        <w:t xml:space="preserve"> 内力控制值  i</w:t>
      </w:r>
      <w:r>
        <w:rPr>
          <w:sz w:val="24"/>
        </w:rPr>
        <w:t>nternal force control value</w:t>
      </w:r>
    </w:p>
    <w:p>
      <w:pPr>
        <w:tabs>
          <w:tab w:val="left" w:pos="5220"/>
        </w:tabs>
        <w:spacing w:line="360" w:lineRule="auto"/>
        <w:ind w:firstLine="480" w:firstLineChars="200"/>
        <w:jc w:val="left"/>
        <w:rPr>
          <w:sz w:val="24"/>
        </w:rPr>
      </w:pPr>
      <w:r>
        <w:rPr>
          <w:rFonts w:hint="eastAsia"/>
          <w:sz w:val="24"/>
        </w:rPr>
        <w:t>支护结构构件承载能力设计值。</w:t>
      </w:r>
    </w:p>
    <w:p>
      <w:pPr>
        <w:spacing w:line="360" w:lineRule="auto"/>
        <w:rPr>
          <w:sz w:val="24"/>
        </w:rPr>
      </w:pPr>
      <w:r>
        <w:rPr>
          <w:b/>
          <w:sz w:val="24"/>
        </w:rPr>
        <w:t>2.1.</w:t>
      </w:r>
      <w:r>
        <w:rPr>
          <w:rFonts w:hint="eastAsia"/>
          <w:b/>
          <w:sz w:val="24"/>
        </w:rPr>
        <w:t>31</w:t>
      </w:r>
      <w:r>
        <w:rPr>
          <w:b/>
          <w:sz w:val="24"/>
        </w:rPr>
        <w:t xml:space="preserve">  </w:t>
      </w:r>
      <w:r>
        <w:rPr>
          <w:sz w:val="24"/>
        </w:rPr>
        <w:t>监测报警值  alarming value on monitoring</w:t>
      </w:r>
    </w:p>
    <w:p>
      <w:pPr>
        <w:spacing w:line="360" w:lineRule="auto"/>
        <w:ind w:firstLine="480" w:firstLineChars="200"/>
        <w:jc w:val="left"/>
        <w:rPr>
          <w:sz w:val="24"/>
        </w:rPr>
      </w:pPr>
      <w:r>
        <w:rPr>
          <w:sz w:val="24"/>
        </w:rPr>
        <w:t>在基坑工程施工过程中，为确保基坑工程及其周边环境的安全，对监测对象的</w:t>
      </w:r>
      <w:r>
        <w:rPr>
          <w:rFonts w:hint="eastAsia"/>
          <w:sz w:val="24"/>
        </w:rPr>
        <w:t>变形</w:t>
      </w:r>
      <w:r>
        <w:rPr>
          <w:sz w:val="24"/>
        </w:rPr>
        <w:t>和内力所设定的警戒水平。</w:t>
      </w:r>
    </w:p>
    <w:p>
      <w:pPr>
        <w:spacing w:line="360" w:lineRule="auto"/>
        <w:jc w:val="center"/>
        <w:outlineLvl w:val="1"/>
        <w:rPr>
          <w:b/>
          <w:sz w:val="24"/>
        </w:rPr>
      </w:pPr>
      <w:bookmarkStart w:id="8" w:name="_Toc87018249"/>
      <w:bookmarkStart w:id="9" w:name="_Toc87018318"/>
      <w:bookmarkStart w:id="10" w:name="_Toc405366241"/>
      <w:r>
        <w:rPr>
          <w:b/>
          <w:sz w:val="24"/>
        </w:rPr>
        <w:t>2.2  符号</w:t>
      </w:r>
      <w:bookmarkEnd w:id="8"/>
      <w:bookmarkEnd w:id="9"/>
      <w:bookmarkEnd w:id="10"/>
    </w:p>
    <w:p>
      <w:pPr>
        <w:spacing w:line="360" w:lineRule="auto"/>
        <w:rPr>
          <w:sz w:val="24"/>
        </w:rPr>
      </w:pPr>
      <w:r>
        <w:rPr>
          <w:b/>
          <w:sz w:val="24"/>
        </w:rPr>
        <w:t xml:space="preserve">2.2.1  </w:t>
      </w:r>
      <w:r>
        <w:rPr>
          <w:sz w:val="24"/>
        </w:rPr>
        <w:t>作用和作用效应</w:t>
      </w:r>
    </w:p>
    <w:p>
      <w:pPr>
        <w:tabs>
          <w:tab w:val="left" w:pos="7020"/>
          <w:tab w:val="right" w:pos="8460"/>
        </w:tabs>
        <w:spacing w:line="360" w:lineRule="auto"/>
        <w:rPr>
          <w:sz w:val="24"/>
        </w:rPr>
      </w:pPr>
      <w:r>
        <w:rPr>
          <w:i/>
          <w:sz w:val="24"/>
        </w:rPr>
        <w:t>E</w:t>
      </w:r>
      <w:r>
        <w:rPr>
          <w:sz w:val="24"/>
          <w:vertAlign w:val="subscript"/>
        </w:rPr>
        <w:t>ak</w:t>
      </w:r>
      <w:r>
        <w:rPr>
          <w:sz w:val="24"/>
        </w:rPr>
        <w:t>、</w:t>
      </w:r>
      <w:r>
        <w:rPr>
          <w:i/>
          <w:sz w:val="24"/>
        </w:rPr>
        <w:t>E</w:t>
      </w:r>
      <w:r>
        <w:rPr>
          <w:sz w:val="24"/>
          <w:vertAlign w:val="subscript"/>
        </w:rPr>
        <w:t>pk</w:t>
      </w:r>
      <w:r>
        <w:rPr>
          <w:sz w:val="24"/>
        </w:rPr>
        <w:t>—主动土压力、被动土压力标准值；</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G</w:t>
      </w:r>
      <w:r>
        <w:rPr>
          <w:sz w:val="24"/>
        </w:rPr>
        <w:t>—支护结构和土的自重；</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J</w:t>
      </w:r>
      <w:r>
        <w:rPr>
          <w:sz w:val="24"/>
        </w:rPr>
        <w:t>—渗透力；</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M</w:t>
      </w:r>
      <w:r>
        <w:rPr>
          <w:sz w:val="24"/>
        </w:rPr>
        <w:t>—弯矩设计值；</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M</w:t>
      </w:r>
      <w:r>
        <w:rPr>
          <w:sz w:val="24"/>
          <w:vertAlign w:val="subscript"/>
        </w:rPr>
        <w:t>k</w:t>
      </w:r>
      <w:r>
        <w:rPr>
          <w:sz w:val="24"/>
        </w:rPr>
        <w:t>—荷载标准组合的弯矩值；</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N</w:t>
      </w:r>
      <w:r>
        <w:rPr>
          <w:sz w:val="24"/>
        </w:rPr>
        <w:t>—轴向拉力或轴向压力设计值；</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N</w:t>
      </w:r>
      <w:r>
        <w:rPr>
          <w:sz w:val="24"/>
          <w:vertAlign w:val="subscript"/>
        </w:rPr>
        <w:t>k</w:t>
      </w:r>
      <w:r>
        <w:rPr>
          <w:sz w:val="24"/>
        </w:rPr>
        <w:t>—荷载标准组合的轴向拉力值或轴向压力值；</w:t>
      </w:r>
    </w:p>
    <w:p>
      <w:pPr>
        <w:tabs>
          <w:tab w:val="left" w:pos="1620"/>
          <w:tab w:val="left" w:pos="7020"/>
        </w:tabs>
        <w:spacing w:line="360" w:lineRule="auto"/>
        <w:ind w:firstLine="120" w:firstLineChars="50"/>
        <w:jc w:val="left"/>
        <w:rPr>
          <w:sz w:val="24"/>
        </w:rPr>
      </w:pPr>
      <w:r>
        <w:rPr>
          <w:i/>
          <w:sz w:val="24"/>
        </w:rPr>
        <w:t>p</w:t>
      </w:r>
      <w:r>
        <w:rPr>
          <w:sz w:val="24"/>
          <w:vertAlign w:val="subscript"/>
        </w:rPr>
        <w:t>ak</w:t>
      </w:r>
      <w:r>
        <w:rPr>
          <w:sz w:val="24"/>
        </w:rPr>
        <w:t>、</w:t>
      </w:r>
      <w:r>
        <w:rPr>
          <w:i/>
          <w:sz w:val="24"/>
        </w:rPr>
        <w:t>p</w:t>
      </w:r>
      <w:r>
        <w:rPr>
          <w:sz w:val="24"/>
          <w:vertAlign w:val="subscript"/>
        </w:rPr>
        <w:t xml:space="preserve">pk </w:t>
      </w:r>
      <w:r>
        <w:rPr>
          <w:sz w:val="24"/>
        </w:rPr>
        <w:t>—主动土压力强度和被动土压力强度标准值；</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iCs/>
          <w:sz w:val="24"/>
        </w:rPr>
        <w:t>p</w:t>
      </w:r>
      <w:r>
        <w:rPr>
          <w:iCs/>
          <w:sz w:val="24"/>
          <w:vertAlign w:val="subscript"/>
        </w:rPr>
        <w:t>0</w:t>
      </w:r>
      <w:r>
        <w:rPr>
          <w:sz w:val="24"/>
        </w:rPr>
        <w:t>—</w:t>
      </w:r>
      <w:r>
        <w:rPr>
          <w:bCs/>
          <w:sz w:val="24"/>
        </w:rPr>
        <w:t>基础底面附加压力的</w:t>
      </w:r>
      <w:r>
        <w:rPr>
          <w:sz w:val="24"/>
        </w:rPr>
        <w:t>标准值；</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p</w:t>
      </w:r>
      <w:r>
        <w:rPr>
          <w:sz w:val="24"/>
          <w:vertAlign w:val="subscript"/>
        </w:rPr>
        <w:t xml:space="preserve">s </w:t>
      </w:r>
      <w:r>
        <w:rPr>
          <w:sz w:val="24"/>
        </w:rPr>
        <w:t>—土对</w:t>
      </w:r>
      <w:r>
        <w:rPr>
          <w:sz w:val="24"/>
          <w:lang w:val="pl-PL"/>
        </w:rPr>
        <w:t>挡土构件</w:t>
      </w:r>
      <w:r>
        <w:rPr>
          <w:sz w:val="24"/>
        </w:rPr>
        <w:t>的分布反力；</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p</w:t>
      </w:r>
      <w:r>
        <w:rPr>
          <w:sz w:val="24"/>
          <w:vertAlign w:val="subscript"/>
        </w:rPr>
        <w:t>s0</w:t>
      </w:r>
      <w:r>
        <w:rPr>
          <w:sz w:val="24"/>
        </w:rPr>
        <w:t>—</w:t>
      </w:r>
      <w:r>
        <w:rPr>
          <w:sz w:val="24"/>
          <w:lang w:val="pl-PL"/>
        </w:rPr>
        <w:t>土对挡土构件嵌固段的分布土反力初始值</w:t>
      </w:r>
      <w:r>
        <w:rPr>
          <w:sz w:val="24"/>
        </w:rPr>
        <w:t>；</w:t>
      </w:r>
    </w:p>
    <w:p>
      <w:pPr>
        <w:tabs>
          <w:tab w:val="left" w:pos="885"/>
          <w:tab w:val="left" w:pos="1008"/>
          <w:tab w:val="left" w:pos="1620"/>
          <w:tab w:val="left" w:pos="2160"/>
          <w:tab w:val="left" w:pos="7020"/>
          <w:tab w:val="right" w:pos="8460"/>
        </w:tabs>
        <w:spacing w:line="360" w:lineRule="auto"/>
        <w:ind w:firstLine="960" w:firstLineChars="400"/>
        <w:jc w:val="left"/>
        <w:rPr>
          <w:sz w:val="24"/>
        </w:rPr>
      </w:pPr>
      <w:r>
        <w:rPr>
          <w:i/>
          <w:sz w:val="24"/>
        </w:rPr>
        <w:t>P</w:t>
      </w:r>
      <w:r>
        <w:rPr>
          <w:sz w:val="24"/>
        </w:rPr>
        <w:t>—预加轴向力值；</w:t>
      </w:r>
    </w:p>
    <w:p>
      <w:pPr>
        <w:tabs>
          <w:tab w:val="left" w:pos="885"/>
          <w:tab w:val="left" w:pos="1008"/>
          <w:tab w:val="left" w:pos="1620"/>
          <w:tab w:val="left" w:pos="2160"/>
          <w:tab w:val="left" w:pos="7020"/>
          <w:tab w:val="right" w:pos="8460"/>
        </w:tabs>
        <w:spacing w:line="360" w:lineRule="auto"/>
        <w:ind w:firstLine="960" w:firstLineChars="400"/>
        <w:jc w:val="left"/>
        <w:rPr>
          <w:sz w:val="24"/>
        </w:rPr>
      </w:pPr>
      <w:r>
        <w:rPr>
          <w:i/>
          <w:sz w:val="24"/>
        </w:rPr>
        <w:t>q</w:t>
      </w:r>
      <w:r>
        <w:rPr>
          <w:sz w:val="24"/>
        </w:rPr>
        <w:t>—降水井的单井流量；</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q</w:t>
      </w:r>
      <w:r>
        <w:rPr>
          <w:sz w:val="24"/>
          <w:vertAlign w:val="subscript"/>
        </w:rPr>
        <w:t>0</w:t>
      </w:r>
      <w:r>
        <w:rPr>
          <w:sz w:val="24"/>
        </w:rPr>
        <w:t>—地面均布荷载；</w:t>
      </w:r>
    </w:p>
    <w:p>
      <w:pPr>
        <w:tabs>
          <w:tab w:val="left" w:pos="885"/>
          <w:tab w:val="left" w:pos="1008"/>
          <w:tab w:val="left" w:pos="1620"/>
          <w:tab w:val="left" w:pos="2160"/>
          <w:tab w:val="left" w:pos="7020"/>
          <w:tab w:val="right" w:pos="8460"/>
        </w:tabs>
        <w:spacing w:line="360" w:lineRule="auto"/>
        <w:ind w:firstLine="960" w:firstLineChars="400"/>
        <w:jc w:val="left"/>
        <w:rPr>
          <w:sz w:val="24"/>
        </w:rPr>
      </w:pPr>
      <w:r>
        <w:rPr>
          <w:i/>
          <w:sz w:val="24"/>
        </w:rPr>
        <w:t>s</w:t>
      </w:r>
      <w:r>
        <w:rPr>
          <w:sz w:val="24"/>
        </w:rPr>
        <w:t>—降水引起的建筑物基础或地面的固结沉降量；</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s</w:t>
      </w:r>
      <w:r>
        <w:rPr>
          <w:sz w:val="24"/>
          <w:vertAlign w:val="subscript"/>
        </w:rPr>
        <w:t>d</w:t>
      </w:r>
      <w:r>
        <w:rPr>
          <w:sz w:val="24"/>
        </w:rPr>
        <w:t>—基坑地下水位的设计降深；</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S</w:t>
      </w:r>
      <w:r>
        <w:rPr>
          <w:sz w:val="24"/>
          <w:vertAlign w:val="subscript"/>
        </w:rPr>
        <w:t>d</w:t>
      </w:r>
      <w:r>
        <w:rPr>
          <w:sz w:val="24"/>
        </w:rPr>
        <w:t>—荷载基本组合的效应设计值；</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S</w:t>
      </w:r>
      <w:r>
        <w:rPr>
          <w:sz w:val="24"/>
          <w:vertAlign w:val="subscript"/>
        </w:rPr>
        <w:t>k</w:t>
      </w:r>
      <w:r>
        <w:rPr>
          <w:sz w:val="24"/>
        </w:rPr>
        <w:t>—荷载标准组合的效应设计值；</w:t>
      </w:r>
    </w:p>
    <w:p>
      <w:pPr>
        <w:tabs>
          <w:tab w:val="left" w:pos="885"/>
          <w:tab w:val="left" w:pos="1008"/>
          <w:tab w:val="left" w:pos="1620"/>
          <w:tab w:val="left" w:pos="2160"/>
          <w:tab w:val="left" w:pos="7020"/>
          <w:tab w:val="right" w:pos="8460"/>
        </w:tabs>
        <w:spacing w:line="360" w:lineRule="auto"/>
        <w:ind w:firstLine="840" w:firstLineChars="350"/>
        <w:jc w:val="left"/>
        <w:rPr>
          <w:i/>
          <w:sz w:val="24"/>
        </w:rPr>
      </w:pPr>
      <w:r>
        <w:rPr>
          <w:i/>
          <w:sz w:val="24"/>
        </w:rPr>
        <w:t>u</w:t>
      </w:r>
      <w:r>
        <w:rPr>
          <w:sz w:val="24"/>
        </w:rPr>
        <w:t>—孔隙水压力；</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V</w:t>
      </w:r>
      <w:r>
        <w:rPr>
          <w:sz w:val="24"/>
        </w:rPr>
        <w:t>—剪力设计值；</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V</w:t>
      </w:r>
      <w:r>
        <w:rPr>
          <w:sz w:val="24"/>
          <w:vertAlign w:val="subscript"/>
        </w:rPr>
        <w:t>k</w:t>
      </w:r>
      <w:r>
        <w:rPr>
          <w:sz w:val="24"/>
        </w:rPr>
        <w:t>—荷载标准组合的剪力值；</w:t>
      </w:r>
    </w:p>
    <w:p>
      <w:pPr>
        <w:tabs>
          <w:tab w:val="left" w:pos="885"/>
          <w:tab w:val="left" w:pos="1008"/>
          <w:tab w:val="left" w:pos="1620"/>
          <w:tab w:val="left" w:pos="2160"/>
          <w:tab w:val="left" w:pos="7020"/>
          <w:tab w:val="right" w:pos="8460"/>
        </w:tabs>
        <w:spacing w:line="360" w:lineRule="auto"/>
        <w:ind w:firstLine="840" w:firstLineChars="350"/>
        <w:jc w:val="left"/>
        <w:rPr>
          <w:sz w:val="24"/>
          <w:lang w:val="pl-PL"/>
        </w:rPr>
      </w:pPr>
      <w:r>
        <w:rPr>
          <w:i/>
          <w:sz w:val="24"/>
          <w:lang w:val="pl-PL"/>
        </w:rPr>
        <w:t>υ</w:t>
      </w:r>
      <w:r>
        <w:rPr>
          <w:sz w:val="24"/>
        </w:rPr>
        <w:t>—</w:t>
      </w:r>
      <w:r>
        <w:rPr>
          <w:sz w:val="24"/>
          <w:lang w:val="pl-PL"/>
        </w:rPr>
        <w:t>挡土构件的水平位移。</w:t>
      </w:r>
    </w:p>
    <w:p>
      <w:pPr>
        <w:spacing w:line="360" w:lineRule="auto"/>
        <w:rPr>
          <w:sz w:val="24"/>
        </w:rPr>
      </w:pPr>
      <w:r>
        <w:rPr>
          <w:b/>
          <w:sz w:val="24"/>
        </w:rPr>
        <w:t xml:space="preserve">2.2.2  </w:t>
      </w:r>
      <w:r>
        <w:rPr>
          <w:sz w:val="24"/>
        </w:rPr>
        <w:t>材料性能和抗力</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C</w:t>
      </w:r>
      <w:r>
        <w:rPr>
          <w:sz w:val="24"/>
        </w:rPr>
        <w:t>—正常使用极限状态下支护结构位移或建筑物基础、地面沉降的限值；</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iCs/>
          <w:sz w:val="24"/>
        </w:rPr>
        <w:t>c</w:t>
      </w:r>
      <w:r>
        <w:rPr>
          <w:sz w:val="24"/>
        </w:rPr>
        <w:t>—土的黏聚力；</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E</w:t>
      </w:r>
      <w:r>
        <w:rPr>
          <w:sz w:val="24"/>
          <w:vertAlign w:val="subscript"/>
        </w:rPr>
        <w:t>c</w:t>
      </w:r>
      <w:r>
        <w:rPr>
          <w:sz w:val="24"/>
        </w:rPr>
        <w:t>—锚杆的复合弹性模量；</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E</w:t>
      </w:r>
      <w:r>
        <w:rPr>
          <w:sz w:val="24"/>
          <w:vertAlign w:val="subscript"/>
        </w:rPr>
        <w:t>m</w:t>
      </w:r>
      <w:r>
        <w:rPr>
          <w:sz w:val="24"/>
        </w:rPr>
        <w:t>—锚杆固结体的弹性模量；</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E</w:t>
      </w:r>
      <w:r>
        <w:rPr>
          <w:sz w:val="24"/>
          <w:vertAlign w:val="subscript"/>
        </w:rPr>
        <w:t>s</w:t>
      </w:r>
      <w:r>
        <w:rPr>
          <w:sz w:val="24"/>
        </w:rPr>
        <w:t>—锚杆杆体或支撑的弹性模量或土的压缩模量；</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f</w:t>
      </w:r>
      <w:r>
        <w:rPr>
          <w:sz w:val="24"/>
          <w:vertAlign w:val="subscript"/>
        </w:rPr>
        <w:t>cs</w:t>
      </w:r>
      <w:r>
        <w:rPr>
          <w:sz w:val="24"/>
        </w:rPr>
        <w:t>—水泥土开挖龄期时的轴心抗压强度设计值；</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f</w:t>
      </w:r>
      <w:r>
        <w:rPr>
          <w:sz w:val="24"/>
          <w:vertAlign w:val="subscript"/>
        </w:rPr>
        <w:t>py</w:t>
      </w:r>
      <w:r>
        <w:rPr>
          <w:sz w:val="24"/>
        </w:rPr>
        <w:t>—预应力钢筋的抗拉强度设计值；</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f</w:t>
      </w:r>
      <w:r>
        <w:rPr>
          <w:sz w:val="24"/>
          <w:vertAlign w:val="subscript"/>
        </w:rPr>
        <w:t>y</w:t>
      </w:r>
      <w:r>
        <w:rPr>
          <w:sz w:val="24"/>
        </w:rPr>
        <w:t>—普通钢筋的抗拉强度设计值；</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k</w:t>
      </w:r>
      <w:r>
        <w:rPr>
          <w:sz w:val="24"/>
        </w:rPr>
        <w:t>—土的渗透系数；</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R</w:t>
      </w:r>
      <w:r>
        <w:rPr>
          <w:sz w:val="24"/>
          <w:vertAlign w:val="subscript"/>
        </w:rPr>
        <w:t>k</w:t>
      </w:r>
      <w:r>
        <w:rPr>
          <w:sz w:val="24"/>
        </w:rPr>
        <w:t>—锚杆或土钉的极限抗拔承载力标准值；</w:t>
      </w:r>
    </w:p>
    <w:p>
      <w:pPr>
        <w:tabs>
          <w:tab w:val="left" w:pos="885"/>
          <w:tab w:val="left" w:pos="1008"/>
          <w:tab w:val="left" w:pos="1620"/>
          <w:tab w:val="left" w:pos="2160"/>
          <w:tab w:val="left" w:pos="7020"/>
          <w:tab w:val="right" w:pos="8460"/>
        </w:tabs>
        <w:spacing w:line="360" w:lineRule="auto"/>
        <w:ind w:firstLine="600" w:firstLineChars="250"/>
        <w:jc w:val="left"/>
        <w:rPr>
          <w:sz w:val="24"/>
        </w:rPr>
      </w:pPr>
      <w:r>
        <w:rPr>
          <w:i/>
          <w:sz w:val="24"/>
        </w:rPr>
        <w:t>q</w:t>
      </w:r>
      <w:r>
        <w:rPr>
          <w:sz w:val="24"/>
          <w:vertAlign w:val="subscript"/>
        </w:rPr>
        <w:t>sk</w:t>
      </w:r>
      <w:r>
        <w:rPr>
          <w:sz w:val="24"/>
        </w:rPr>
        <w:t>—土与锚杆或土钉的极限黏结强度标准值；</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iCs/>
          <w:sz w:val="24"/>
        </w:rPr>
        <w:t>q</w:t>
      </w:r>
      <w:r>
        <w:rPr>
          <w:i/>
          <w:iCs/>
          <w:sz w:val="24"/>
          <w:vertAlign w:val="subscript"/>
        </w:rPr>
        <w:t>0</w:t>
      </w:r>
      <w:r>
        <w:rPr>
          <w:sz w:val="24"/>
        </w:rPr>
        <w:t>—单井出水能力；</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R</w:t>
      </w:r>
      <w:r>
        <w:rPr>
          <w:sz w:val="24"/>
          <w:vertAlign w:val="subscript"/>
        </w:rPr>
        <w:t>d</w:t>
      </w:r>
      <w:r>
        <w:rPr>
          <w:sz w:val="24"/>
        </w:rPr>
        <w:t>—结构构件的抗力设计值；</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R</w:t>
      </w:r>
      <w:r>
        <w:rPr>
          <w:sz w:val="24"/>
        </w:rPr>
        <w:t>—影响半径；</w:t>
      </w:r>
    </w:p>
    <w:p>
      <w:pPr>
        <w:tabs>
          <w:tab w:val="left" w:pos="885"/>
          <w:tab w:val="left" w:pos="1008"/>
          <w:tab w:val="left" w:pos="1620"/>
          <w:tab w:val="left" w:pos="2160"/>
          <w:tab w:val="left" w:pos="7020"/>
          <w:tab w:val="right" w:pos="8460"/>
        </w:tabs>
        <w:spacing w:line="360" w:lineRule="auto"/>
        <w:ind w:firstLine="840" w:firstLineChars="350"/>
        <w:jc w:val="left"/>
        <w:rPr>
          <w:sz w:val="24"/>
        </w:rPr>
      </w:pPr>
      <w:r>
        <w:rPr>
          <w:i/>
          <w:sz w:val="24"/>
        </w:rPr>
        <w:t>γ</w:t>
      </w:r>
      <w:r>
        <w:rPr>
          <w:sz w:val="24"/>
        </w:rPr>
        <w:t>—土的天然重度；</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γ</w:t>
      </w:r>
      <w:r>
        <w:rPr>
          <w:sz w:val="24"/>
          <w:vertAlign w:val="subscript"/>
        </w:rPr>
        <w:t>cs</w:t>
      </w:r>
      <w:r>
        <w:rPr>
          <w:sz w:val="24"/>
        </w:rPr>
        <w:t>—水泥土墙的重度；</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γ</w:t>
      </w:r>
      <w:r>
        <w:rPr>
          <w:sz w:val="24"/>
          <w:vertAlign w:val="subscript"/>
        </w:rPr>
        <w:t>w</w:t>
      </w:r>
      <w:r>
        <w:rPr>
          <w:sz w:val="24"/>
        </w:rPr>
        <w:t>—地下水的重度；</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sym w:font="Symbol" w:char="F06A"/>
      </w:r>
      <w:r>
        <w:rPr>
          <w:i/>
          <w:sz w:val="24"/>
        </w:rPr>
        <w:t xml:space="preserve"> </w:t>
      </w:r>
      <w:r>
        <w:rPr>
          <w:sz w:val="24"/>
        </w:rPr>
        <w:t>—土的内摩擦角。</w:t>
      </w:r>
    </w:p>
    <w:p>
      <w:pPr>
        <w:spacing w:line="360" w:lineRule="auto"/>
        <w:rPr>
          <w:sz w:val="24"/>
        </w:rPr>
      </w:pPr>
      <w:r>
        <w:rPr>
          <w:b/>
          <w:sz w:val="24"/>
        </w:rPr>
        <w:t xml:space="preserve">2.2.3  </w:t>
      </w:r>
      <w:r>
        <w:rPr>
          <w:sz w:val="24"/>
        </w:rPr>
        <w:t>几何参数</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A</w:t>
      </w:r>
      <w:r>
        <w:rPr>
          <w:sz w:val="24"/>
        </w:rPr>
        <w:t>—构件的截面面积；</w:t>
      </w:r>
    </w:p>
    <w:p>
      <w:pPr>
        <w:tabs>
          <w:tab w:val="left" w:pos="885"/>
          <w:tab w:val="left" w:pos="1008"/>
          <w:tab w:val="left" w:pos="1620"/>
          <w:tab w:val="left" w:pos="2160"/>
          <w:tab w:val="left" w:pos="7020"/>
          <w:tab w:val="right" w:pos="8460"/>
        </w:tabs>
        <w:spacing w:line="360" w:lineRule="auto"/>
        <w:ind w:firstLine="600" w:firstLineChars="250"/>
        <w:jc w:val="left"/>
        <w:rPr>
          <w:sz w:val="24"/>
        </w:rPr>
      </w:pPr>
      <w:r>
        <w:rPr>
          <w:i/>
          <w:sz w:val="24"/>
        </w:rPr>
        <w:t>A</w:t>
      </w:r>
      <w:r>
        <w:rPr>
          <w:sz w:val="24"/>
          <w:vertAlign w:val="subscript"/>
        </w:rPr>
        <w:t>p</w:t>
      </w:r>
      <w:r>
        <w:rPr>
          <w:sz w:val="24"/>
        </w:rPr>
        <w:t>—预应力钢筋的截面面积；</w:t>
      </w:r>
    </w:p>
    <w:p>
      <w:pPr>
        <w:tabs>
          <w:tab w:val="left" w:pos="885"/>
          <w:tab w:val="left" w:pos="1008"/>
          <w:tab w:val="left" w:pos="1620"/>
          <w:tab w:val="left" w:pos="2160"/>
          <w:tab w:val="left" w:pos="7020"/>
          <w:tab w:val="right" w:pos="8460"/>
        </w:tabs>
        <w:spacing w:line="360" w:lineRule="auto"/>
        <w:ind w:firstLine="600" w:firstLineChars="250"/>
        <w:jc w:val="left"/>
        <w:rPr>
          <w:sz w:val="24"/>
        </w:rPr>
      </w:pPr>
      <w:r>
        <w:rPr>
          <w:i/>
          <w:sz w:val="24"/>
        </w:rPr>
        <w:t>A</w:t>
      </w:r>
      <w:r>
        <w:rPr>
          <w:sz w:val="24"/>
          <w:vertAlign w:val="subscript"/>
        </w:rPr>
        <w:t>s</w:t>
      </w:r>
      <w:r>
        <w:rPr>
          <w:sz w:val="24"/>
        </w:rPr>
        <w:t>—普通钢筋的截面面积；</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B</w:t>
      </w:r>
      <w:r>
        <w:rPr>
          <w:sz w:val="24"/>
        </w:rPr>
        <w:t>—</w:t>
      </w:r>
      <w:r>
        <w:rPr>
          <w:bCs/>
          <w:sz w:val="24"/>
        </w:rPr>
        <w:t>截面宽度</w:t>
      </w:r>
      <w:r>
        <w:rPr>
          <w:sz w:val="24"/>
        </w:rPr>
        <w:t>；</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d</w:t>
      </w:r>
      <w:r>
        <w:rPr>
          <w:sz w:val="24"/>
        </w:rPr>
        <w:t>—</w:t>
      </w:r>
      <w:r>
        <w:rPr>
          <w:bCs/>
          <w:sz w:val="24"/>
        </w:rPr>
        <w:t>桩、</w:t>
      </w:r>
      <w:r>
        <w:rPr>
          <w:sz w:val="24"/>
        </w:rPr>
        <w:t>锚杆、土钉的直径或</w:t>
      </w:r>
      <w:r>
        <w:rPr>
          <w:bCs/>
          <w:sz w:val="24"/>
        </w:rPr>
        <w:t>基础埋置深度</w:t>
      </w:r>
      <w:r>
        <w:rPr>
          <w:sz w:val="24"/>
        </w:rPr>
        <w:t>；</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h</w:t>
      </w:r>
      <w:r>
        <w:rPr>
          <w:sz w:val="24"/>
        </w:rPr>
        <w:t>—基坑深度或构件截面高度；</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H</w:t>
      </w:r>
      <w:r>
        <w:rPr>
          <w:sz w:val="24"/>
        </w:rPr>
        <w:t>—潜水含水层厚度；</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l</w:t>
      </w:r>
      <w:r>
        <w:rPr>
          <w:sz w:val="24"/>
          <w:vertAlign w:val="subscript"/>
        </w:rPr>
        <w:t>a</w:t>
      </w:r>
      <w:r>
        <w:rPr>
          <w:sz w:val="24"/>
        </w:rPr>
        <w:t>—锚杆锚固段长度；</w:t>
      </w:r>
    </w:p>
    <w:p>
      <w:pPr>
        <w:tabs>
          <w:tab w:val="left" w:pos="885"/>
          <w:tab w:val="left" w:pos="990"/>
          <w:tab w:val="left" w:pos="1620"/>
          <w:tab w:val="left" w:pos="2160"/>
          <w:tab w:val="left" w:pos="7020"/>
          <w:tab w:val="right" w:pos="8460"/>
        </w:tabs>
        <w:spacing w:line="360" w:lineRule="auto"/>
        <w:ind w:firstLine="720" w:firstLineChars="300"/>
        <w:jc w:val="left"/>
        <w:rPr>
          <w:sz w:val="24"/>
        </w:rPr>
      </w:pPr>
      <w:r>
        <w:rPr>
          <w:i/>
          <w:sz w:val="24"/>
        </w:rPr>
        <w:t>l</w:t>
      </w:r>
      <w:r>
        <w:rPr>
          <w:sz w:val="24"/>
          <w:vertAlign w:val="subscript"/>
        </w:rPr>
        <w:t>d</w:t>
      </w:r>
      <w:r>
        <w:rPr>
          <w:sz w:val="24"/>
        </w:rPr>
        <w:t>—挡土构件的嵌固深度；</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M</w:t>
      </w:r>
      <w:r>
        <w:rPr>
          <w:sz w:val="24"/>
        </w:rPr>
        <w:t>—承压含水层厚度；</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r</w:t>
      </w:r>
      <w:r>
        <w:rPr>
          <w:sz w:val="24"/>
          <w:vertAlign w:val="subscript"/>
        </w:rPr>
        <w:t>w</w:t>
      </w:r>
      <w:r>
        <w:rPr>
          <w:sz w:val="24"/>
        </w:rPr>
        <w:t>—降水井半径；</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β</w:t>
      </w:r>
      <w:r>
        <w:rPr>
          <w:sz w:val="24"/>
        </w:rPr>
        <w:t>—土钉墙坡面与水平面的夹角；</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α</w:t>
      </w:r>
      <w:r>
        <w:rPr>
          <w:sz w:val="24"/>
        </w:rPr>
        <w:t>—锚杆、土钉的倾角或支撑轴线与水平面的夹角。</w:t>
      </w:r>
    </w:p>
    <w:p>
      <w:pPr>
        <w:spacing w:line="360" w:lineRule="auto"/>
        <w:rPr>
          <w:sz w:val="24"/>
        </w:rPr>
      </w:pPr>
      <w:r>
        <w:rPr>
          <w:b/>
          <w:sz w:val="24"/>
        </w:rPr>
        <w:t xml:space="preserve">2.2.4  </w:t>
      </w:r>
      <w:r>
        <w:rPr>
          <w:sz w:val="24"/>
        </w:rPr>
        <w:t>设计参数和计算系数</w:t>
      </w:r>
    </w:p>
    <w:p>
      <w:pPr>
        <w:tabs>
          <w:tab w:val="left" w:pos="885"/>
          <w:tab w:val="left" w:pos="1008"/>
          <w:tab w:val="left" w:pos="1620"/>
          <w:tab w:val="left" w:pos="2160"/>
          <w:tab w:val="left" w:pos="7020"/>
          <w:tab w:val="right" w:pos="8460"/>
        </w:tabs>
        <w:spacing w:line="360" w:lineRule="auto"/>
        <w:ind w:firstLine="600" w:firstLineChars="250"/>
        <w:jc w:val="left"/>
        <w:rPr>
          <w:sz w:val="24"/>
        </w:rPr>
      </w:pPr>
      <w:r>
        <w:rPr>
          <w:i/>
          <w:sz w:val="24"/>
        </w:rPr>
        <w:t>k</w:t>
      </w:r>
      <w:r>
        <w:rPr>
          <w:sz w:val="24"/>
          <w:vertAlign w:val="subscript"/>
        </w:rPr>
        <w:t xml:space="preserve">s </w:t>
      </w:r>
      <w:r>
        <w:rPr>
          <w:sz w:val="24"/>
        </w:rPr>
        <w:t>—土的水平反力系数；</w:t>
      </w:r>
    </w:p>
    <w:p>
      <w:pPr>
        <w:tabs>
          <w:tab w:val="left" w:pos="885"/>
          <w:tab w:val="left" w:pos="1008"/>
          <w:tab w:val="left" w:pos="1620"/>
          <w:tab w:val="left" w:pos="2160"/>
          <w:tab w:val="left" w:pos="7020"/>
          <w:tab w:val="right" w:pos="8460"/>
        </w:tabs>
        <w:spacing w:line="360" w:lineRule="auto"/>
        <w:ind w:firstLine="600" w:firstLineChars="250"/>
        <w:jc w:val="left"/>
        <w:rPr>
          <w:sz w:val="24"/>
        </w:rPr>
      </w:pPr>
      <w:r>
        <w:rPr>
          <w:i/>
          <w:sz w:val="24"/>
        </w:rPr>
        <w:t>k</w:t>
      </w:r>
      <w:r>
        <w:rPr>
          <w:sz w:val="24"/>
          <w:vertAlign w:val="subscript"/>
        </w:rPr>
        <w:t>R</w:t>
      </w:r>
      <w:r>
        <w:rPr>
          <w:sz w:val="24"/>
        </w:rPr>
        <w:t>—弹性支点轴向刚度系数；</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K</w:t>
      </w:r>
      <w:r>
        <w:rPr>
          <w:sz w:val="24"/>
        </w:rPr>
        <w:t>—安全系数</w:t>
      </w:r>
    </w:p>
    <w:p>
      <w:pPr>
        <w:tabs>
          <w:tab w:val="left" w:pos="885"/>
          <w:tab w:val="left" w:pos="1008"/>
          <w:tab w:val="left" w:pos="1620"/>
          <w:tab w:val="left" w:pos="2160"/>
          <w:tab w:val="left" w:pos="7020"/>
          <w:tab w:val="right" w:pos="8460"/>
        </w:tabs>
        <w:spacing w:line="360" w:lineRule="auto"/>
        <w:ind w:firstLine="672" w:firstLineChars="280"/>
        <w:rPr>
          <w:i/>
          <w:iCs/>
          <w:sz w:val="24"/>
        </w:rPr>
      </w:pPr>
      <w:r>
        <w:rPr>
          <w:i/>
          <w:iCs/>
          <w:sz w:val="24"/>
        </w:rPr>
        <w:t>K</w:t>
      </w:r>
      <w:r>
        <w:rPr>
          <w:iCs/>
          <w:sz w:val="24"/>
          <w:vertAlign w:val="subscript"/>
        </w:rPr>
        <w:t>o</w:t>
      </w:r>
      <w:r>
        <w:rPr>
          <w:sz w:val="24"/>
        </w:rPr>
        <w:t>—静止土压力系数；</w:t>
      </w:r>
    </w:p>
    <w:p>
      <w:pPr>
        <w:tabs>
          <w:tab w:val="left" w:pos="885"/>
          <w:tab w:val="left" w:pos="1008"/>
          <w:tab w:val="left" w:pos="1620"/>
          <w:tab w:val="left" w:pos="2160"/>
          <w:tab w:val="left" w:pos="7020"/>
          <w:tab w:val="right" w:pos="8460"/>
        </w:tabs>
        <w:spacing w:line="360" w:lineRule="auto"/>
        <w:ind w:firstLine="672" w:firstLineChars="280"/>
        <w:rPr>
          <w:sz w:val="24"/>
        </w:rPr>
      </w:pPr>
      <w:r>
        <w:rPr>
          <w:i/>
          <w:iCs/>
          <w:sz w:val="24"/>
        </w:rPr>
        <w:t>K</w:t>
      </w:r>
      <w:r>
        <w:rPr>
          <w:iCs/>
          <w:sz w:val="24"/>
          <w:vertAlign w:val="subscript"/>
        </w:rPr>
        <w:t>a</w:t>
      </w:r>
      <w:r>
        <w:rPr>
          <w:sz w:val="24"/>
        </w:rPr>
        <w:t>—主动土压力系数；</w:t>
      </w:r>
    </w:p>
    <w:p>
      <w:pPr>
        <w:tabs>
          <w:tab w:val="left" w:pos="885"/>
          <w:tab w:val="left" w:pos="1008"/>
          <w:tab w:val="left" w:pos="1620"/>
          <w:tab w:val="left" w:pos="2160"/>
          <w:tab w:val="left" w:pos="7020"/>
          <w:tab w:val="right" w:pos="8460"/>
        </w:tabs>
        <w:spacing w:line="360" w:lineRule="auto"/>
        <w:ind w:firstLine="672" w:firstLineChars="280"/>
        <w:rPr>
          <w:sz w:val="24"/>
        </w:rPr>
      </w:pPr>
      <w:r>
        <w:rPr>
          <w:i/>
          <w:iCs/>
          <w:sz w:val="24"/>
        </w:rPr>
        <w:t>K</w:t>
      </w:r>
      <w:r>
        <w:rPr>
          <w:iCs/>
          <w:sz w:val="24"/>
          <w:vertAlign w:val="subscript"/>
        </w:rPr>
        <w:t>p</w:t>
      </w:r>
      <w:r>
        <w:rPr>
          <w:sz w:val="24"/>
        </w:rPr>
        <w:t>—被动土压力系数；</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lang w:val="pl-PL"/>
        </w:rPr>
        <w:t>m</w:t>
      </w:r>
      <w:r>
        <w:rPr>
          <w:sz w:val="24"/>
        </w:rPr>
        <w:t>—土的水平反力系数的比例系数；</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α</w:t>
      </w:r>
      <w:r>
        <w:rPr>
          <w:sz w:val="24"/>
        </w:rPr>
        <w:t>—支撑松弛系数；</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γ</w:t>
      </w:r>
      <w:r>
        <w:rPr>
          <w:sz w:val="24"/>
          <w:vertAlign w:val="subscript"/>
        </w:rPr>
        <w:t>F</w:t>
      </w:r>
      <w:r>
        <w:rPr>
          <w:sz w:val="24"/>
        </w:rPr>
        <w:t>—作用基本组合的综合分项系数；</w:t>
      </w:r>
    </w:p>
    <w:p>
      <w:pPr>
        <w:tabs>
          <w:tab w:val="left" w:pos="885"/>
          <w:tab w:val="left" w:pos="990"/>
          <w:tab w:val="left" w:pos="1620"/>
          <w:tab w:val="left" w:pos="2160"/>
          <w:tab w:val="left" w:pos="7020"/>
          <w:tab w:val="right" w:pos="8460"/>
        </w:tabs>
        <w:spacing w:line="360" w:lineRule="auto"/>
        <w:ind w:firstLine="720" w:firstLineChars="300"/>
        <w:jc w:val="left"/>
        <w:rPr>
          <w:sz w:val="24"/>
        </w:rPr>
      </w:pPr>
      <w:r>
        <w:rPr>
          <w:i/>
          <w:sz w:val="24"/>
        </w:rPr>
        <w:t>γ</w:t>
      </w:r>
      <w:r>
        <w:rPr>
          <w:sz w:val="24"/>
          <w:vertAlign w:val="subscript"/>
        </w:rPr>
        <w:t>o</w:t>
      </w:r>
      <w:r>
        <w:rPr>
          <w:sz w:val="24"/>
        </w:rPr>
        <w:t>—支护结构重要性系数；</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ζ</w:t>
      </w:r>
      <w:r>
        <w:rPr>
          <w:sz w:val="24"/>
        </w:rPr>
        <w:t>—主动土压力的坡面倾斜折减系数；</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sz w:val="24"/>
        </w:rPr>
        <w:t>λ—支撑不动点调整系数；</w:t>
      </w:r>
    </w:p>
    <w:p>
      <w:pPr>
        <w:tabs>
          <w:tab w:val="left" w:pos="885"/>
          <w:tab w:val="left" w:pos="1008"/>
          <w:tab w:val="left" w:pos="1620"/>
          <w:tab w:val="left" w:pos="2160"/>
          <w:tab w:val="left" w:pos="7020"/>
          <w:tab w:val="right" w:pos="8460"/>
        </w:tabs>
        <w:spacing w:line="360" w:lineRule="auto"/>
        <w:ind w:firstLine="720" w:firstLineChars="300"/>
        <w:jc w:val="left"/>
        <w:rPr>
          <w:sz w:val="24"/>
        </w:rPr>
      </w:pPr>
      <w:r>
        <w:rPr>
          <w:i/>
          <w:sz w:val="24"/>
        </w:rPr>
        <w:t>μ</w:t>
      </w:r>
      <w:r>
        <w:rPr>
          <w:sz w:val="24"/>
        </w:rPr>
        <w:t>—墙体材料的抗剪断系数；</w:t>
      </w:r>
    </w:p>
    <w:p>
      <w:pPr>
        <w:tabs>
          <w:tab w:val="left" w:pos="885"/>
          <w:tab w:val="left" w:pos="1008"/>
          <w:tab w:val="left" w:pos="1620"/>
          <w:tab w:val="left" w:pos="2160"/>
          <w:tab w:val="left" w:pos="7020"/>
          <w:tab w:val="right" w:pos="8460"/>
        </w:tabs>
        <w:spacing w:line="360" w:lineRule="auto"/>
        <w:ind w:firstLine="600" w:firstLineChars="250"/>
        <w:jc w:val="left"/>
        <w:rPr>
          <w:sz w:val="24"/>
        </w:rPr>
        <w:sectPr>
          <w:footerReference r:id="rId8" w:type="default"/>
          <w:pgSz w:w="11907" w:h="16840"/>
          <w:pgMar w:top="1418" w:right="1134" w:bottom="1134" w:left="1701" w:header="851" w:footer="851" w:gutter="0"/>
          <w:pgNumType w:start="1"/>
          <w:cols w:space="720" w:num="1"/>
          <w:docGrid w:linePitch="312" w:charSpace="0"/>
        </w:sectPr>
      </w:pPr>
      <w:r>
        <w:rPr>
          <w:i/>
          <w:sz w:val="24"/>
        </w:rPr>
        <w:t>ψ</w:t>
      </w:r>
      <w:r>
        <w:rPr>
          <w:sz w:val="24"/>
          <w:vertAlign w:val="subscript"/>
        </w:rPr>
        <w:t>w</w:t>
      </w:r>
      <w:r>
        <w:rPr>
          <w:sz w:val="24"/>
        </w:rPr>
        <w:t>—降水沉降计算经验系数。</w:t>
      </w:r>
    </w:p>
    <w:p>
      <w:pPr>
        <w:spacing w:line="360" w:lineRule="auto"/>
        <w:jc w:val="center"/>
        <w:outlineLvl w:val="0"/>
        <w:rPr>
          <w:b/>
          <w:sz w:val="28"/>
          <w:szCs w:val="28"/>
        </w:rPr>
      </w:pPr>
      <w:bookmarkStart w:id="11" w:name="_Toc87018319"/>
      <w:bookmarkStart w:id="12" w:name="_Toc87018250"/>
      <w:r>
        <w:rPr>
          <w:b/>
          <w:sz w:val="28"/>
          <w:szCs w:val="28"/>
        </w:rPr>
        <w:t>3  基本规定</w:t>
      </w:r>
      <w:bookmarkEnd w:id="11"/>
      <w:bookmarkEnd w:id="12"/>
    </w:p>
    <w:p>
      <w:pPr>
        <w:spacing w:line="360" w:lineRule="auto"/>
        <w:jc w:val="center"/>
        <w:outlineLvl w:val="1"/>
        <w:rPr>
          <w:b/>
          <w:sz w:val="24"/>
        </w:rPr>
      </w:pPr>
      <w:bookmarkStart w:id="13" w:name="_Toc87018251"/>
      <w:bookmarkStart w:id="14" w:name="_Toc87018320"/>
      <w:r>
        <w:rPr>
          <w:b/>
          <w:sz w:val="24"/>
        </w:rPr>
        <w:t>3.1  勘察与环境调查</w:t>
      </w:r>
      <w:bookmarkEnd w:id="13"/>
      <w:bookmarkEnd w:id="14"/>
    </w:p>
    <w:p>
      <w:pPr>
        <w:adjustRightInd w:val="0"/>
        <w:snapToGrid w:val="0"/>
        <w:spacing w:line="360" w:lineRule="auto"/>
        <w:jc w:val="left"/>
        <w:rPr>
          <w:bCs/>
          <w:sz w:val="24"/>
        </w:rPr>
      </w:pPr>
      <w:r>
        <w:rPr>
          <w:rFonts w:hint="eastAsia"/>
          <w:b/>
          <w:sz w:val="24"/>
        </w:rPr>
        <w:t>3</w:t>
      </w:r>
      <w:r>
        <w:rPr>
          <w:b/>
          <w:sz w:val="24"/>
        </w:rPr>
        <w:t xml:space="preserve">.1.1  </w:t>
      </w:r>
      <w:r>
        <w:rPr>
          <w:bCs/>
          <w:sz w:val="24"/>
        </w:rPr>
        <w:t>安全等级二级</w:t>
      </w:r>
      <w:r>
        <w:rPr>
          <w:rFonts w:hint="eastAsia"/>
          <w:bCs/>
          <w:sz w:val="24"/>
        </w:rPr>
        <w:t>及以上</w:t>
      </w:r>
      <w:r>
        <w:rPr>
          <w:bCs/>
          <w:sz w:val="24"/>
        </w:rPr>
        <w:t>的基坑工程，应进行基坑</w:t>
      </w:r>
      <w:r>
        <w:rPr>
          <w:rFonts w:hint="eastAsia"/>
          <w:bCs/>
          <w:sz w:val="24"/>
        </w:rPr>
        <w:t>工程</w:t>
      </w:r>
      <w:r>
        <w:rPr>
          <w:bCs/>
          <w:sz w:val="24"/>
        </w:rPr>
        <w:t>专项勘察；施工阶段，勘察成果</w:t>
      </w:r>
      <w:r>
        <w:rPr>
          <w:rFonts w:hint="eastAsia"/>
          <w:bCs/>
          <w:sz w:val="24"/>
        </w:rPr>
        <w:t>与实际情况不符</w:t>
      </w:r>
      <w:r>
        <w:rPr>
          <w:bCs/>
          <w:sz w:val="24"/>
        </w:rPr>
        <w:t>时，</w:t>
      </w:r>
      <w:r>
        <w:rPr>
          <w:rFonts w:hint="eastAsia"/>
          <w:bCs/>
          <w:sz w:val="24"/>
        </w:rPr>
        <w:t>尚</w:t>
      </w:r>
      <w:r>
        <w:rPr>
          <w:bCs/>
          <w:sz w:val="24"/>
        </w:rPr>
        <w:t>应进行补充勘察。</w:t>
      </w:r>
    </w:p>
    <w:p>
      <w:pPr>
        <w:adjustRightInd w:val="0"/>
        <w:snapToGrid w:val="0"/>
        <w:spacing w:line="360" w:lineRule="auto"/>
        <w:jc w:val="left"/>
        <w:rPr>
          <w:bCs/>
          <w:sz w:val="24"/>
        </w:rPr>
      </w:pPr>
      <w:r>
        <w:rPr>
          <w:rFonts w:hint="eastAsia"/>
          <w:b/>
          <w:sz w:val="24"/>
        </w:rPr>
        <w:t>3</w:t>
      </w:r>
      <w:r>
        <w:rPr>
          <w:b/>
          <w:sz w:val="24"/>
        </w:rPr>
        <w:t>.1.</w:t>
      </w:r>
      <w:r>
        <w:rPr>
          <w:rFonts w:hint="eastAsia"/>
          <w:b/>
          <w:sz w:val="24"/>
        </w:rPr>
        <w:t>2</w:t>
      </w:r>
      <w:r>
        <w:rPr>
          <w:b/>
          <w:sz w:val="24"/>
        </w:rPr>
        <w:t xml:space="preserve">  </w:t>
      </w:r>
      <w:r>
        <w:rPr>
          <w:rFonts w:hint="eastAsia"/>
          <w:bCs/>
          <w:sz w:val="24"/>
        </w:rPr>
        <w:t>基坑工程专项勘察应包括岩土工程勘察和周边环境调查。</w:t>
      </w:r>
    </w:p>
    <w:p>
      <w:pPr>
        <w:adjustRightInd w:val="0"/>
        <w:snapToGrid w:val="0"/>
        <w:spacing w:line="360" w:lineRule="auto"/>
        <w:jc w:val="left"/>
        <w:rPr>
          <w:bCs/>
          <w:sz w:val="24"/>
        </w:rPr>
      </w:pPr>
      <w:r>
        <w:rPr>
          <w:rFonts w:hint="eastAsia"/>
          <w:b/>
          <w:sz w:val="24"/>
        </w:rPr>
        <w:t>3</w:t>
      </w:r>
      <w:r>
        <w:rPr>
          <w:b/>
          <w:sz w:val="24"/>
        </w:rPr>
        <w:t>.1.</w:t>
      </w:r>
      <w:r>
        <w:rPr>
          <w:rFonts w:hint="eastAsia"/>
          <w:b/>
          <w:sz w:val="24"/>
        </w:rPr>
        <w:t>3</w:t>
      </w:r>
      <w:r>
        <w:rPr>
          <w:b/>
          <w:sz w:val="24"/>
        </w:rPr>
        <w:t xml:space="preserve">  </w:t>
      </w:r>
      <w:r>
        <w:rPr>
          <w:bCs/>
          <w:sz w:val="24"/>
        </w:rPr>
        <w:t>基坑工程</w:t>
      </w:r>
      <w:r>
        <w:rPr>
          <w:rFonts w:hint="eastAsia"/>
          <w:bCs/>
          <w:sz w:val="24"/>
        </w:rPr>
        <w:t>专项</w:t>
      </w:r>
      <w:r>
        <w:rPr>
          <w:bCs/>
          <w:sz w:val="24"/>
        </w:rPr>
        <w:t>勘察深度应满足支护结构设计</w:t>
      </w:r>
      <w:r>
        <w:rPr>
          <w:rFonts w:hint="eastAsia"/>
          <w:bCs/>
          <w:sz w:val="24"/>
        </w:rPr>
        <w:t>、</w:t>
      </w:r>
      <w:r>
        <w:rPr>
          <w:bCs/>
          <w:sz w:val="24"/>
        </w:rPr>
        <w:t>稳定性验算、降水</w:t>
      </w:r>
      <w:r>
        <w:rPr>
          <w:rFonts w:hint="eastAsia"/>
          <w:bCs/>
          <w:sz w:val="24"/>
        </w:rPr>
        <w:t>、截</w:t>
      </w:r>
      <w:r>
        <w:rPr>
          <w:bCs/>
          <w:sz w:val="24"/>
        </w:rPr>
        <w:t>水帷幕设计的要求</w:t>
      </w:r>
      <w:r>
        <w:rPr>
          <w:rFonts w:hint="eastAsia"/>
          <w:bCs/>
          <w:sz w:val="24"/>
        </w:rPr>
        <w:t>。</w:t>
      </w:r>
    </w:p>
    <w:p>
      <w:pPr>
        <w:spacing w:line="360" w:lineRule="auto"/>
        <w:jc w:val="center"/>
        <w:outlineLvl w:val="1"/>
        <w:rPr>
          <w:b/>
          <w:sz w:val="24"/>
        </w:rPr>
      </w:pPr>
      <w:bookmarkStart w:id="15" w:name="_Toc87018252"/>
      <w:bookmarkStart w:id="16" w:name="_Toc87018321"/>
      <w:r>
        <w:rPr>
          <w:b/>
          <w:sz w:val="24"/>
        </w:rPr>
        <w:t>3.2  设计原则</w:t>
      </w:r>
      <w:bookmarkEnd w:id="15"/>
      <w:bookmarkEnd w:id="16"/>
    </w:p>
    <w:p>
      <w:pPr>
        <w:topLinePunct/>
        <w:autoSpaceDE w:val="0"/>
        <w:autoSpaceDN w:val="0"/>
        <w:adjustRightInd w:val="0"/>
        <w:snapToGrid w:val="0"/>
        <w:spacing w:line="360" w:lineRule="auto"/>
        <w:rPr>
          <w:sz w:val="24"/>
        </w:rPr>
      </w:pPr>
      <w:r>
        <w:rPr>
          <w:b/>
          <w:sz w:val="24"/>
        </w:rPr>
        <w:t>3.2.1</w:t>
      </w:r>
      <w:r>
        <w:rPr>
          <w:sz w:val="24"/>
        </w:rPr>
        <w:t xml:space="preserve">  基坑支护设计应规定其设计使用</w:t>
      </w:r>
      <w:r>
        <w:rPr>
          <w:rFonts w:hint="eastAsia"/>
          <w:sz w:val="24"/>
        </w:rPr>
        <w:t>年</w:t>
      </w:r>
      <w:r>
        <w:rPr>
          <w:sz w:val="24"/>
        </w:rPr>
        <w:t>限。基坑支护的设计使用</w:t>
      </w:r>
      <w:r>
        <w:rPr>
          <w:rFonts w:hint="eastAsia"/>
          <w:sz w:val="24"/>
        </w:rPr>
        <w:t>年</w:t>
      </w:r>
      <w:r>
        <w:rPr>
          <w:sz w:val="24"/>
        </w:rPr>
        <w:t>限应不</w:t>
      </w:r>
      <w:r>
        <w:rPr>
          <w:rFonts w:hint="eastAsia"/>
          <w:sz w:val="24"/>
        </w:rPr>
        <w:t>小于1年且不大</w:t>
      </w:r>
      <w:r>
        <w:rPr>
          <w:sz w:val="24"/>
        </w:rPr>
        <w:t>于2年。</w:t>
      </w:r>
    </w:p>
    <w:p>
      <w:pPr>
        <w:tabs>
          <w:tab w:val="center" w:pos="1274"/>
          <w:tab w:val="left" w:pos="5220"/>
        </w:tabs>
        <w:topLinePunct/>
        <w:autoSpaceDE w:val="0"/>
        <w:autoSpaceDN w:val="0"/>
        <w:adjustRightInd w:val="0"/>
        <w:snapToGrid w:val="0"/>
        <w:spacing w:line="360" w:lineRule="auto"/>
        <w:rPr>
          <w:sz w:val="24"/>
        </w:rPr>
      </w:pPr>
      <w:r>
        <w:rPr>
          <w:b/>
          <w:sz w:val="24"/>
        </w:rPr>
        <w:t>3.2.2</w:t>
      </w:r>
      <w:r>
        <w:rPr>
          <w:sz w:val="24"/>
        </w:rPr>
        <w:t xml:space="preserve">  基坑工程应满足下列功能要求：</w:t>
      </w:r>
    </w:p>
    <w:p>
      <w:pPr>
        <w:tabs>
          <w:tab w:val="center" w:pos="1274"/>
          <w:tab w:val="left" w:pos="5220"/>
        </w:tabs>
        <w:topLinePunct/>
        <w:autoSpaceDE w:val="0"/>
        <w:autoSpaceDN w:val="0"/>
        <w:adjustRightInd w:val="0"/>
        <w:snapToGrid w:val="0"/>
        <w:spacing w:line="360" w:lineRule="auto"/>
        <w:ind w:firstLine="480" w:firstLineChars="200"/>
        <w:jc w:val="left"/>
        <w:rPr>
          <w:sz w:val="24"/>
        </w:rPr>
      </w:pPr>
      <w:r>
        <w:rPr>
          <w:sz w:val="24"/>
        </w:rPr>
        <w:t>1  保证基坑周边建筑物、</w:t>
      </w:r>
      <w:r>
        <w:rPr>
          <w:rFonts w:hint="eastAsia"/>
          <w:sz w:val="24"/>
        </w:rPr>
        <w:t>公共设施</w:t>
      </w:r>
      <w:r>
        <w:rPr>
          <w:sz w:val="24"/>
        </w:rPr>
        <w:t>的安全和正常使用；</w:t>
      </w:r>
    </w:p>
    <w:p>
      <w:pPr>
        <w:tabs>
          <w:tab w:val="center" w:pos="1274"/>
          <w:tab w:val="left" w:pos="5220"/>
        </w:tabs>
        <w:topLinePunct/>
        <w:autoSpaceDE w:val="0"/>
        <w:autoSpaceDN w:val="0"/>
        <w:adjustRightInd w:val="0"/>
        <w:snapToGrid w:val="0"/>
        <w:spacing w:line="360" w:lineRule="auto"/>
        <w:ind w:firstLine="480" w:firstLineChars="200"/>
        <w:jc w:val="left"/>
        <w:rPr>
          <w:sz w:val="24"/>
        </w:rPr>
      </w:pPr>
      <w:r>
        <w:rPr>
          <w:sz w:val="24"/>
        </w:rPr>
        <w:t>2  保证主体地下结构的施工空间。</w:t>
      </w:r>
    </w:p>
    <w:p>
      <w:pPr>
        <w:tabs>
          <w:tab w:val="center" w:pos="1274"/>
          <w:tab w:val="left" w:pos="5220"/>
        </w:tabs>
        <w:topLinePunct/>
        <w:autoSpaceDE w:val="0"/>
        <w:autoSpaceDN w:val="0"/>
        <w:adjustRightInd w:val="0"/>
        <w:snapToGrid w:val="0"/>
        <w:spacing w:line="360" w:lineRule="auto"/>
        <w:rPr>
          <w:b/>
          <w:sz w:val="24"/>
        </w:rPr>
      </w:pPr>
      <w:r>
        <w:rPr>
          <w:b/>
          <w:sz w:val="24"/>
        </w:rPr>
        <w:t xml:space="preserve">3.2.3  </w:t>
      </w:r>
      <w:r>
        <w:rPr>
          <w:sz w:val="24"/>
        </w:rPr>
        <w:t>基坑支护结构应满足承载能力极限状态和正常使用极限状态的设计计算和验算要求，与主体结构相结合的基坑支护结构的设计计算除应符合本规</w:t>
      </w:r>
      <w:r>
        <w:rPr>
          <w:rFonts w:hint="eastAsia"/>
          <w:sz w:val="24"/>
        </w:rPr>
        <w:t>程</w:t>
      </w:r>
      <w:r>
        <w:rPr>
          <w:sz w:val="24"/>
        </w:rPr>
        <w:t>规定外，尚应符合国家有关标准的规定。</w:t>
      </w:r>
    </w:p>
    <w:p>
      <w:pPr>
        <w:pStyle w:val="24"/>
        <w:topLinePunct/>
        <w:autoSpaceDE w:val="0"/>
        <w:autoSpaceDN w:val="0"/>
        <w:adjustRightInd w:val="0"/>
        <w:snapToGrid w:val="0"/>
        <w:spacing w:line="360" w:lineRule="auto"/>
        <w:ind w:firstLine="480" w:firstLineChars="200"/>
        <w:rPr>
          <w:kern w:val="2"/>
        </w:rPr>
      </w:pPr>
      <w:r>
        <w:rPr>
          <w:kern w:val="2"/>
        </w:rPr>
        <w:t>1  承载能力极限状态</w:t>
      </w:r>
    </w:p>
    <w:p>
      <w:pPr>
        <w:pStyle w:val="24"/>
        <w:topLinePunct/>
        <w:autoSpaceDE w:val="0"/>
        <w:autoSpaceDN w:val="0"/>
        <w:adjustRightInd w:val="0"/>
        <w:snapToGrid w:val="0"/>
        <w:spacing w:line="360" w:lineRule="auto"/>
        <w:ind w:left="990" w:leftChars="300" w:hanging="360" w:hangingChars="150"/>
        <w:rPr>
          <w:kern w:val="2"/>
        </w:rPr>
      </w:pPr>
      <w:r>
        <w:rPr>
          <w:kern w:val="2"/>
        </w:rPr>
        <w:t>1）稳定性验算包括：支护结构的整体稳定性、抗隆起稳定性、抗倾覆稳定性、抗滑移稳定性、</w:t>
      </w:r>
      <w:r>
        <w:rPr>
          <w:rFonts w:hint="eastAsia"/>
        </w:rPr>
        <w:t>流土</w:t>
      </w:r>
      <w:r>
        <w:t>稳定性</w:t>
      </w:r>
      <w:r>
        <w:rPr>
          <w:kern w:val="2"/>
        </w:rPr>
        <w:t>和突涌稳定性等；</w:t>
      </w:r>
    </w:p>
    <w:p>
      <w:pPr>
        <w:pStyle w:val="24"/>
        <w:topLinePunct/>
        <w:autoSpaceDE w:val="0"/>
        <w:autoSpaceDN w:val="0"/>
        <w:adjustRightInd w:val="0"/>
        <w:snapToGrid w:val="0"/>
        <w:spacing w:line="360" w:lineRule="auto"/>
        <w:ind w:left="990" w:leftChars="300" w:hanging="360" w:hangingChars="150"/>
        <w:rPr>
          <w:kern w:val="2"/>
        </w:rPr>
      </w:pPr>
      <w:r>
        <w:rPr>
          <w:kern w:val="2"/>
        </w:rPr>
        <w:t>2）所有支护结构构件均应进行承载能力</w:t>
      </w:r>
      <w:r>
        <w:rPr>
          <w:rFonts w:hint="eastAsia"/>
          <w:kern w:val="2"/>
        </w:rPr>
        <w:t>计</w:t>
      </w:r>
      <w:r>
        <w:rPr>
          <w:kern w:val="2"/>
        </w:rPr>
        <w:t>算。</w:t>
      </w:r>
    </w:p>
    <w:p>
      <w:pPr>
        <w:pStyle w:val="24"/>
        <w:topLinePunct/>
        <w:autoSpaceDE w:val="0"/>
        <w:autoSpaceDN w:val="0"/>
        <w:adjustRightInd w:val="0"/>
        <w:snapToGrid w:val="0"/>
        <w:spacing w:line="360" w:lineRule="auto"/>
        <w:ind w:left="420" w:leftChars="200"/>
        <w:rPr>
          <w:kern w:val="2"/>
        </w:rPr>
      </w:pPr>
      <w:r>
        <w:rPr>
          <w:kern w:val="2"/>
        </w:rPr>
        <w:t>2  正常使用极限状态</w:t>
      </w:r>
    </w:p>
    <w:p>
      <w:pPr>
        <w:pStyle w:val="24"/>
        <w:topLinePunct/>
        <w:autoSpaceDE w:val="0"/>
        <w:autoSpaceDN w:val="0"/>
        <w:adjustRightInd w:val="0"/>
        <w:snapToGrid w:val="0"/>
        <w:spacing w:line="360" w:lineRule="auto"/>
        <w:ind w:left="990" w:leftChars="300" w:hanging="360" w:hangingChars="150"/>
        <w:rPr>
          <w:kern w:val="2"/>
        </w:rPr>
      </w:pPr>
      <w:r>
        <w:rPr>
          <w:kern w:val="2"/>
        </w:rPr>
        <w:t>1）支护结构的计算变形应满足支护结构正常使用和基坑工程环境保护要求所对应   的变形控制</w:t>
      </w:r>
      <w:r>
        <w:rPr>
          <w:rFonts w:hint="eastAsia"/>
          <w:kern w:val="2"/>
        </w:rPr>
        <w:t>值</w:t>
      </w:r>
      <w:r>
        <w:rPr>
          <w:kern w:val="2"/>
        </w:rPr>
        <w:t>；</w:t>
      </w:r>
    </w:p>
    <w:p>
      <w:pPr>
        <w:pStyle w:val="24"/>
        <w:topLinePunct/>
        <w:autoSpaceDE w:val="0"/>
        <w:autoSpaceDN w:val="0"/>
        <w:adjustRightInd w:val="0"/>
        <w:snapToGrid w:val="0"/>
        <w:spacing w:line="360" w:lineRule="auto"/>
        <w:ind w:left="990" w:leftChars="300" w:hanging="360" w:hangingChars="150"/>
        <w:rPr>
          <w:kern w:val="2"/>
        </w:rPr>
      </w:pPr>
      <w:r>
        <w:rPr>
          <w:kern w:val="2"/>
        </w:rPr>
        <w:t>2）支护结构有耐久性要求时，应验算支护结构构件的裂缝宽度</w:t>
      </w:r>
      <w:r>
        <w:rPr>
          <w:rFonts w:hint="eastAsia"/>
          <w:kern w:val="2"/>
        </w:rPr>
        <w:t>并</w:t>
      </w:r>
      <w:r>
        <w:rPr>
          <w:kern w:val="2"/>
        </w:rPr>
        <w:t>满足限值规定。</w:t>
      </w:r>
    </w:p>
    <w:p>
      <w:pPr>
        <w:pStyle w:val="21"/>
        <w:tabs>
          <w:tab w:val="center" w:pos="1274"/>
          <w:tab w:val="left" w:pos="5220"/>
        </w:tabs>
        <w:topLinePunct/>
        <w:autoSpaceDE w:val="0"/>
        <w:autoSpaceDN w:val="0"/>
        <w:ind w:firstLine="0"/>
        <w:rPr>
          <w:rFonts w:ascii="Times New Roman" w:hAnsi="Times New Roman"/>
          <w:color w:val="auto"/>
          <w:sz w:val="24"/>
          <w:szCs w:val="24"/>
        </w:rPr>
      </w:pPr>
      <w:r>
        <w:rPr>
          <w:rFonts w:ascii="Times New Roman" w:hAnsi="Times New Roman"/>
          <w:b/>
          <w:color w:val="auto"/>
          <w:sz w:val="24"/>
          <w:szCs w:val="24"/>
        </w:rPr>
        <w:t>3.2.4</w:t>
      </w:r>
      <w:r>
        <w:rPr>
          <w:rFonts w:ascii="Times New Roman" w:hAnsi="Times New Roman"/>
          <w:color w:val="auto"/>
          <w:sz w:val="24"/>
          <w:szCs w:val="24"/>
        </w:rPr>
        <w:t xml:space="preserve"> </w:t>
      </w:r>
      <w:r>
        <w:rPr>
          <w:rFonts w:ascii="Times New Roman" w:hAnsi="Times New Roman"/>
          <w:color w:val="auto"/>
          <w:sz w:val="24"/>
          <w:szCs w:val="24"/>
          <w:lang w:eastAsia="zh-CN"/>
        </w:rPr>
        <w:t xml:space="preserve"> </w:t>
      </w:r>
      <w:r>
        <w:rPr>
          <w:rFonts w:ascii="Times New Roman" w:hAnsi="Times New Roman"/>
          <w:color w:val="auto"/>
          <w:sz w:val="24"/>
          <w:szCs w:val="24"/>
        </w:rPr>
        <w:t>支护结构、基坑周边建筑物和地面沉降、地下水控制的计算和验算应采用下列设计表达式：</w:t>
      </w:r>
    </w:p>
    <w:p>
      <w:pPr>
        <w:topLinePunct/>
        <w:autoSpaceDE w:val="0"/>
        <w:autoSpaceDN w:val="0"/>
        <w:spacing w:line="360" w:lineRule="auto"/>
        <w:ind w:firstLine="480" w:firstLineChars="200"/>
        <w:jc w:val="left"/>
        <w:rPr>
          <w:sz w:val="24"/>
        </w:rPr>
      </w:pPr>
      <w:r>
        <w:rPr>
          <w:sz w:val="24"/>
        </w:rPr>
        <w:t>1</w:t>
      </w:r>
      <w:r>
        <w:rPr>
          <w:b/>
          <w:sz w:val="24"/>
        </w:rPr>
        <w:t xml:space="preserve">  </w:t>
      </w:r>
      <w:r>
        <w:rPr>
          <w:sz w:val="24"/>
        </w:rPr>
        <w:t>承载能力极限状态</w:t>
      </w:r>
    </w:p>
    <w:p>
      <w:pPr>
        <w:pStyle w:val="21"/>
        <w:tabs>
          <w:tab w:val="center" w:pos="1274"/>
          <w:tab w:val="left" w:pos="5220"/>
        </w:tabs>
        <w:topLinePunct/>
        <w:autoSpaceDE w:val="0"/>
        <w:autoSpaceDN w:val="0"/>
        <w:adjustRightInd w:val="0"/>
        <w:snapToGrid w:val="0"/>
        <w:ind w:left="990" w:leftChars="300" w:hanging="360" w:hangingChars="150"/>
        <w:jc w:val="left"/>
        <w:rPr>
          <w:rFonts w:ascii="Times New Roman" w:hAnsi="Times New Roman"/>
          <w:color w:val="auto"/>
          <w:sz w:val="24"/>
          <w:szCs w:val="24"/>
        </w:rPr>
      </w:pPr>
      <w:r>
        <w:rPr>
          <w:rFonts w:ascii="Times New Roman" w:hAnsi="Times New Roman"/>
          <w:color w:val="auto"/>
          <w:sz w:val="24"/>
          <w:szCs w:val="24"/>
        </w:rPr>
        <w:t>1）支护结构构件或连接因超过材料强度或过度变形的承载能力极限状态设计，应符合下式要求：</w:t>
      </w:r>
    </w:p>
    <w:p>
      <w:pPr>
        <w:wordWrap w:val="0"/>
        <w:jc w:val="right"/>
        <w:rPr>
          <w:sz w:val="24"/>
        </w:rPr>
      </w:pPr>
      <w:r>
        <w:rPr>
          <w:position w:val="-12"/>
        </w:rPr>
        <w:object>
          <v:shape id="_x0000_i1025" o:spt="75" type="#_x0000_t75" style="height:19.15pt;width:59.75pt;" o:ole="t" filled="f" coordsize="21600,21600">
            <v:path/>
            <v:fill on="f" focussize="0,0"/>
            <v:stroke/>
            <v:imagedata r:id="rId17" o:title=""/>
            <o:lock v:ext="edit" aspectratio="t"/>
            <w10:wrap type="none"/>
            <w10:anchorlock/>
          </v:shape>
          <o:OLEObject Type="Embed" ProgID="Equation.DSMT4" ShapeID="_x0000_i1025" DrawAspect="Content" ObjectID="_1468075725" r:id="rId16">
            <o:LockedField>false</o:LockedField>
          </o:OLEObject>
        </w:object>
      </w:r>
      <w:r>
        <w:rPr>
          <w:rFonts w:hint="eastAsia"/>
          <w:szCs w:val="22"/>
        </w:rPr>
        <w:t xml:space="preserve">                             </w:t>
      </w:r>
      <w:r>
        <w:rPr>
          <w:position w:val="-12"/>
          <w:sz w:val="24"/>
        </w:rPr>
        <w:t>（3.2.4-1）</w:t>
      </w:r>
    </w:p>
    <w:p>
      <w:pPr>
        <w:tabs>
          <w:tab w:val="left" w:pos="672"/>
          <w:tab w:val="left" w:pos="1036"/>
          <w:tab w:val="left" w:pos="1620"/>
          <w:tab w:val="left" w:pos="2160"/>
          <w:tab w:val="left" w:pos="7020"/>
        </w:tabs>
        <w:topLinePunct/>
        <w:autoSpaceDE w:val="0"/>
        <w:autoSpaceDN w:val="0"/>
        <w:adjustRightInd w:val="0"/>
        <w:snapToGrid w:val="0"/>
        <w:spacing w:line="360" w:lineRule="auto"/>
        <w:ind w:firstLine="720" w:firstLineChars="300"/>
        <w:jc w:val="left"/>
        <w:rPr>
          <w:sz w:val="24"/>
        </w:rPr>
      </w:pPr>
      <w:r>
        <w:rPr>
          <w:sz w:val="24"/>
        </w:rPr>
        <w:t>对临时性支护结构，作用基本组合的效应设计值应按下式确定：</w:t>
      </w:r>
    </w:p>
    <w:p>
      <w:pPr>
        <w:wordWrap w:val="0"/>
        <w:jc w:val="right"/>
        <w:rPr>
          <w:rFonts w:ascii="Cambria Math" w:hAnsi="Cambria Math" w:eastAsiaTheme="minorEastAsia" w:cstheme="minorBidi"/>
          <w:szCs w:val="22"/>
        </w:rPr>
      </w:pPr>
      <w:r>
        <w:rPr>
          <w:rFonts w:ascii="Cambria Math" w:hAnsi="Cambria Math" w:eastAsiaTheme="minorEastAsia" w:cstheme="minorBidi"/>
          <w:szCs w:val="22"/>
        </w:rPr>
        <w:t xml:space="preserve">    </w:t>
      </w:r>
      <w:r>
        <w:rPr>
          <w:position w:val="-12"/>
        </w:rPr>
        <w:object>
          <v:shape id="_x0000_i1026" o:spt="75" type="#_x0000_t75" style="height:19.15pt;width:57.45pt;" o:ole="t" filled="f" coordsize="21600,21600">
            <v:path/>
            <v:fill on="f" focussize="0,0"/>
            <v:stroke/>
            <v:imagedata r:id="rId19" o:title=""/>
            <o:lock v:ext="edit" aspectratio="t"/>
            <w10:wrap type="none"/>
            <w10:anchorlock/>
          </v:shape>
          <o:OLEObject Type="Embed" ProgID="Equation.DSMT4" ShapeID="_x0000_i1026" DrawAspect="Content" ObjectID="_1468075726" r:id="rId18">
            <o:LockedField>false</o:LockedField>
          </o:OLEObject>
        </w:object>
      </w:r>
      <w:r>
        <w:rPr>
          <w:rFonts w:ascii="Cambria Math" w:hAnsi="Cambria Math" w:eastAsiaTheme="minorEastAsia" w:cstheme="minorBidi"/>
          <w:szCs w:val="22"/>
        </w:rPr>
        <w:t xml:space="preserve">   </w:t>
      </w:r>
      <w:r>
        <w:rPr>
          <w:rFonts w:ascii="Cambria Math" w:hAnsi="Cambria Math" w:eastAsiaTheme="minorEastAsia" w:cstheme="minorBidi"/>
          <w:sz w:val="24"/>
        </w:rPr>
        <w:t xml:space="preserve"> </w:t>
      </w:r>
      <w:r>
        <w:rPr>
          <w:rFonts w:ascii="Cambria Math" w:hAnsi="Cambria Math" w:eastAsiaTheme="minorEastAsia" w:cstheme="minorBidi"/>
          <w:szCs w:val="22"/>
        </w:rPr>
        <w:t xml:space="preserve">      </w:t>
      </w:r>
      <w:r>
        <w:rPr>
          <w:rFonts w:hint="eastAsia" w:ascii="Cambria Math" w:hAnsi="Cambria Math" w:eastAsiaTheme="minorEastAsia" w:cstheme="minorBidi"/>
          <w:szCs w:val="22"/>
        </w:rPr>
        <w:t xml:space="preserve">     </w:t>
      </w:r>
      <w:r>
        <w:rPr>
          <w:rFonts w:ascii="Cambria Math" w:hAnsi="Cambria Math" w:eastAsiaTheme="minorEastAsia" w:cstheme="minorBidi"/>
          <w:szCs w:val="22"/>
        </w:rPr>
        <w:t xml:space="preserve">               </w:t>
      </w:r>
      <w:r>
        <w:rPr>
          <w:position w:val="-12"/>
          <w:sz w:val="24"/>
        </w:rPr>
        <w:t>（3.2.4-2）</w:t>
      </w:r>
    </w:p>
    <w:p>
      <w:pPr>
        <w:pStyle w:val="21"/>
        <w:tabs>
          <w:tab w:val="center" w:pos="1274"/>
          <w:tab w:val="left" w:pos="5220"/>
        </w:tabs>
        <w:topLinePunct/>
        <w:autoSpaceDE w:val="0"/>
        <w:autoSpaceDN w:val="0"/>
        <w:adjustRightInd w:val="0"/>
        <w:snapToGrid w:val="0"/>
        <w:ind w:firstLine="720" w:firstLineChars="300"/>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i/>
          <w:color w:val="auto"/>
          <w:sz w:val="24"/>
          <w:szCs w:val="24"/>
        </w:rPr>
        <w:t>γ</w:t>
      </w:r>
      <w:r>
        <w:rPr>
          <w:rFonts w:ascii="Times New Roman" w:hAnsi="Times New Roman"/>
          <w:color w:val="auto"/>
          <w:sz w:val="24"/>
          <w:szCs w:val="24"/>
          <w:vertAlign w:val="subscript"/>
        </w:rPr>
        <w:t>0</w:t>
      </w:r>
      <w:r>
        <w:rPr>
          <w:rFonts w:ascii="Times New Roman" w:hAnsi="Times New Roman"/>
          <w:color w:val="auto"/>
          <w:sz w:val="24"/>
          <w:szCs w:val="24"/>
        </w:rPr>
        <w:t>—支护结构重要性系数；</w:t>
      </w:r>
    </w:p>
    <w:p>
      <w:pPr>
        <w:pStyle w:val="21"/>
        <w:tabs>
          <w:tab w:val="center" w:pos="1274"/>
          <w:tab w:val="left" w:pos="5220"/>
        </w:tabs>
        <w:topLinePunct/>
        <w:autoSpaceDE w:val="0"/>
        <w:autoSpaceDN w:val="0"/>
        <w:adjustRightInd w:val="0"/>
        <w:snapToGrid w:val="0"/>
        <w:ind w:firstLine="1440" w:firstLineChars="600"/>
        <w:jc w:val="left"/>
        <w:rPr>
          <w:rFonts w:ascii="Times New Roman" w:hAnsi="Times New Roman"/>
          <w:color w:val="auto"/>
          <w:sz w:val="24"/>
          <w:szCs w:val="24"/>
        </w:rPr>
      </w:pPr>
      <w:r>
        <w:rPr>
          <w:rFonts w:ascii="Times New Roman" w:hAnsi="Times New Roman"/>
          <w:i/>
          <w:color w:val="auto"/>
          <w:sz w:val="24"/>
          <w:szCs w:val="24"/>
        </w:rPr>
        <w:t>S</w:t>
      </w:r>
      <w:r>
        <w:rPr>
          <w:rFonts w:ascii="Times New Roman" w:hAnsi="Times New Roman"/>
          <w:color w:val="auto"/>
          <w:sz w:val="24"/>
          <w:szCs w:val="24"/>
          <w:vertAlign w:val="subscript"/>
        </w:rPr>
        <w:t>d</w:t>
      </w:r>
      <w:r>
        <w:rPr>
          <w:rFonts w:ascii="Times New Roman" w:hAnsi="Times New Roman"/>
          <w:color w:val="auto"/>
          <w:sz w:val="24"/>
          <w:szCs w:val="24"/>
        </w:rPr>
        <w:t>—作用基本组合的效应（轴力、弯矩等）设计值；</w:t>
      </w:r>
    </w:p>
    <w:p>
      <w:pPr>
        <w:pStyle w:val="21"/>
        <w:tabs>
          <w:tab w:val="center" w:pos="1274"/>
          <w:tab w:val="left" w:pos="5220"/>
        </w:tabs>
        <w:topLinePunct/>
        <w:autoSpaceDE w:val="0"/>
        <w:autoSpaceDN w:val="0"/>
        <w:adjustRightInd w:val="0"/>
        <w:snapToGrid w:val="0"/>
        <w:ind w:firstLine="1440" w:firstLineChars="600"/>
        <w:jc w:val="left"/>
        <w:rPr>
          <w:rFonts w:ascii="Times New Roman" w:hAnsi="Times New Roman"/>
          <w:color w:val="auto"/>
          <w:sz w:val="24"/>
          <w:szCs w:val="24"/>
        </w:rPr>
      </w:pPr>
      <w:r>
        <w:rPr>
          <w:rFonts w:ascii="Times New Roman" w:hAnsi="Times New Roman"/>
          <w:i/>
          <w:color w:val="auto"/>
          <w:sz w:val="24"/>
          <w:szCs w:val="24"/>
        </w:rPr>
        <w:t>R</w:t>
      </w:r>
      <w:r>
        <w:rPr>
          <w:rFonts w:ascii="Times New Roman" w:hAnsi="Times New Roman"/>
          <w:color w:val="auto"/>
          <w:sz w:val="24"/>
          <w:szCs w:val="24"/>
          <w:vertAlign w:val="subscript"/>
        </w:rPr>
        <w:t>d</w:t>
      </w:r>
      <w:r>
        <w:rPr>
          <w:rFonts w:ascii="Times New Roman" w:hAnsi="Times New Roman"/>
          <w:color w:val="auto"/>
          <w:sz w:val="24"/>
          <w:szCs w:val="24"/>
        </w:rPr>
        <w:t>—结构构件的抗力设计值；</w:t>
      </w:r>
    </w:p>
    <w:p>
      <w:pPr>
        <w:tabs>
          <w:tab w:val="left" w:pos="672"/>
          <w:tab w:val="left" w:pos="1036"/>
          <w:tab w:val="left" w:pos="1620"/>
          <w:tab w:val="left" w:pos="2160"/>
          <w:tab w:val="left" w:pos="7020"/>
        </w:tabs>
        <w:topLinePunct/>
        <w:autoSpaceDE w:val="0"/>
        <w:autoSpaceDN w:val="0"/>
        <w:adjustRightInd w:val="0"/>
        <w:snapToGrid w:val="0"/>
        <w:spacing w:line="360" w:lineRule="auto"/>
        <w:ind w:firstLine="1440" w:firstLineChars="600"/>
        <w:jc w:val="left"/>
        <w:rPr>
          <w:sz w:val="24"/>
        </w:rPr>
      </w:pPr>
      <w:r>
        <w:rPr>
          <w:i/>
          <w:sz w:val="24"/>
        </w:rPr>
        <w:t>γ</w:t>
      </w:r>
      <w:r>
        <w:rPr>
          <w:sz w:val="24"/>
          <w:vertAlign w:val="subscript"/>
        </w:rPr>
        <w:t>F</w:t>
      </w:r>
      <w:r>
        <w:rPr>
          <w:sz w:val="24"/>
        </w:rPr>
        <w:t>—作用基本组合的综合分项系数；</w:t>
      </w:r>
    </w:p>
    <w:p>
      <w:pPr>
        <w:pStyle w:val="21"/>
        <w:tabs>
          <w:tab w:val="center" w:pos="1274"/>
          <w:tab w:val="left" w:pos="5220"/>
        </w:tabs>
        <w:topLinePunct/>
        <w:autoSpaceDE w:val="0"/>
        <w:autoSpaceDN w:val="0"/>
        <w:adjustRightInd w:val="0"/>
        <w:snapToGrid w:val="0"/>
        <w:ind w:firstLine="1440" w:firstLineChars="600"/>
        <w:jc w:val="left"/>
        <w:rPr>
          <w:rFonts w:ascii="Times New Roman" w:hAnsi="Times New Roman"/>
          <w:color w:val="auto"/>
          <w:sz w:val="24"/>
          <w:szCs w:val="24"/>
        </w:rPr>
      </w:pPr>
      <w:r>
        <w:rPr>
          <w:rFonts w:ascii="Times New Roman" w:hAnsi="Times New Roman"/>
          <w:i/>
          <w:color w:val="auto"/>
          <w:sz w:val="24"/>
          <w:szCs w:val="24"/>
        </w:rPr>
        <w:t>S</w:t>
      </w:r>
      <w:r>
        <w:rPr>
          <w:rFonts w:ascii="Times New Roman" w:hAnsi="Times New Roman"/>
          <w:color w:val="auto"/>
          <w:sz w:val="24"/>
          <w:szCs w:val="24"/>
          <w:vertAlign w:val="subscript"/>
        </w:rPr>
        <w:t>k</w:t>
      </w:r>
      <w:r>
        <w:rPr>
          <w:rFonts w:ascii="Times New Roman" w:hAnsi="Times New Roman"/>
          <w:color w:val="auto"/>
          <w:sz w:val="24"/>
          <w:szCs w:val="24"/>
        </w:rPr>
        <w:t>—作用标准组合的效应。</w:t>
      </w:r>
    </w:p>
    <w:p>
      <w:pPr>
        <w:pStyle w:val="21"/>
        <w:tabs>
          <w:tab w:val="center" w:pos="1274"/>
          <w:tab w:val="left" w:pos="5220"/>
        </w:tabs>
        <w:topLinePunct/>
        <w:autoSpaceDE w:val="0"/>
        <w:autoSpaceDN w:val="0"/>
        <w:adjustRightInd w:val="0"/>
        <w:snapToGrid w:val="0"/>
        <w:ind w:left="990" w:leftChars="300" w:hanging="360" w:hangingChars="150"/>
        <w:jc w:val="left"/>
        <w:rPr>
          <w:rFonts w:ascii="Times New Roman" w:hAnsi="Times New Roman"/>
          <w:color w:val="auto"/>
          <w:sz w:val="24"/>
          <w:szCs w:val="24"/>
        </w:rPr>
      </w:pPr>
      <w:r>
        <w:rPr>
          <w:rFonts w:ascii="Times New Roman" w:hAnsi="Times New Roman"/>
          <w:color w:val="auto"/>
          <w:sz w:val="24"/>
          <w:szCs w:val="24"/>
        </w:rPr>
        <w:t>2）</w:t>
      </w:r>
      <w:r>
        <w:rPr>
          <w:rFonts w:hint="eastAsia" w:ascii="Times New Roman" w:hAnsi="Times New Roman"/>
          <w:color w:val="auto"/>
          <w:sz w:val="24"/>
          <w:szCs w:val="24"/>
        </w:rPr>
        <w:t>整</w:t>
      </w:r>
      <w:r>
        <w:rPr>
          <w:rFonts w:ascii="Times New Roman" w:hAnsi="Times New Roman"/>
          <w:color w:val="auto"/>
          <w:sz w:val="24"/>
          <w:szCs w:val="24"/>
        </w:rPr>
        <w:t>体滑动、坑底隆起、挡土构件嵌固段推移、锚杆与土钉拔动、支护结构</w:t>
      </w:r>
      <w:r>
        <w:rPr>
          <w:rFonts w:hint="eastAsia" w:ascii="Times New Roman" w:hAnsi="Times New Roman"/>
          <w:color w:val="auto"/>
          <w:sz w:val="24"/>
          <w:szCs w:val="24"/>
        </w:rPr>
        <w:t>倾覆与</w:t>
      </w:r>
      <w:r>
        <w:rPr>
          <w:rFonts w:ascii="Times New Roman" w:hAnsi="Times New Roman"/>
          <w:color w:val="auto"/>
          <w:sz w:val="24"/>
          <w:szCs w:val="24"/>
        </w:rPr>
        <w:t>滑移、</w:t>
      </w:r>
      <w:r>
        <w:rPr>
          <w:rFonts w:hint="eastAsia" w:ascii="Times New Roman" w:hAnsi="Times New Roman"/>
          <w:color w:val="auto"/>
          <w:sz w:val="24"/>
          <w:szCs w:val="24"/>
        </w:rPr>
        <w:t>土体</w:t>
      </w:r>
      <w:r>
        <w:rPr>
          <w:rFonts w:ascii="Times New Roman" w:hAnsi="Times New Roman"/>
          <w:color w:val="auto"/>
          <w:sz w:val="24"/>
          <w:szCs w:val="24"/>
        </w:rPr>
        <w:t>的渗透</w:t>
      </w:r>
      <w:r>
        <w:rPr>
          <w:rFonts w:hint="eastAsia" w:ascii="Times New Roman" w:hAnsi="Times New Roman"/>
          <w:color w:val="auto"/>
          <w:sz w:val="24"/>
          <w:szCs w:val="24"/>
        </w:rPr>
        <w:t>破坏</w:t>
      </w:r>
      <w:r>
        <w:rPr>
          <w:rFonts w:ascii="Times New Roman" w:hAnsi="Times New Roman"/>
          <w:color w:val="auto"/>
          <w:sz w:val="24"/>
          <w:szCs w:val="24"/>
        </w:rPr>
        <w:t>等稳定性计算和验算，均应符合下式要求：</w:t>
      </w:r>
    </w:p>
    <w:p>
      <w:pPr>
        <w:pStyle w:val="21"/>
        <w:tabs>
          <w:tab w:val="center" w:pos="1274"/>
          <w:tab w:val="left" w:pos="5220"/>
        </w:tabs>
        <w:wordWrap w:val="0"/>
        <w:topLinePunct/>
        <w:autoSpaceDE w:val="0"/>
        <w:autoSpaceDN w:val="0"/>
        <w:adjustRightInd w:val="0"/>
        <w:snapToGrid w:val="0"/>
        <w:ind w:firstLine="0"/>
        <w:jc w:val="right"/>
        <w:rPr>
          <w:rFonts w:ascii="Times New Roman" w:hAnsi="Times New Roman"/>
          <w:color w:val="auto"/>
          <w:sz w:val="24"/>
          <w:szCs w:val="24"/>
        </w:rPr>
      </w:pPr>
      <w:r>
        <w:rPr>
          <w:rFonts w:ascii="Times New Roman" w:hAnsi="Times New Roman"/>
          <w:color w:val="auto"/>
          <w:position w:val="-30"/>
          <w:sz w:val="24"/>
          <w:szCs w:val="24"/>
        </w:rPr>
        <w:t xml:space="preserve">    </w:t>
      </w:r>
      <w:r>
        <w:rPr>
          <w:position w:val="-32"/>
        </w:rPr>
        <w:object>
          <v:shape id="_x0000_i1027" o:spt="75" type="#_x0000_t75" style="height:37.55pt;width:47.85pt;" o:ole="t" filled="f" coordsize="21600,21600">
            <v:path/>
            <v:fill on="f" focussize="0,0"/>
            <v:stroke/>
            <v:imagedata r:id="rId21" o:title=""/>
            <o:lock v:ext="edit" aspectratio="t"/>
            <w10:wrap type="none"/>
            <w10:anchorlock/>
          </v:shape>
          <o:OLEObject Type="Embed" ProgID="Equation.DSMT4" ShapeID="_x0000_i1027" DrawAspect="Content" ObjectID="_1468075727" r:id="rId20">
            <o:LockedField>false</o:LockedField>
          </o:OLEObject>
        </w:object>
      </w:r>
      <w:r>
        <w:rPr>
          <w:rFonts w:ascii="Times New Roman" w:hAnsi="Times New Roman"/>
          <w:color w:val="auto"/>
          <w:position w:val="-30"/>
          <w:sz w:val="24"/>
          <w:szCs w:val="24"/>
        </w:rPr>
        <w:t xml:space="preserve">       </w:t>
      </w:r>
      <w:r>
        <w:rPr>
          <w:rFonts w:hint="eastAsia" w:ascii="Times New Roman" w:hAnsi="Times New Roman"/>
          <w:color w:val="auto"/>
          <w:position w:val="-30"/>
          <w:sz w:val="24"/>
          <w:szCs w:val="24"/>
          <w:lang w:eastAsia="zh-CN"/>
        </w:rPr>
        <w:t xml:space="preserve">   </w:t>
      </w:r>
      <w:r>
        <w:rPr>
          <w:rFonts w:ascii="Times New Roman" w:hAnsi="Times New Roman"/>
          <w:color w:val="auto"/>
          <w:position w:val="-30"/>
          <w:sz w:val="24"/>
          <w:szCs w:val="24"/>
        </w:rPr>
        <w:t xml:space="preserve">                  </w:t>
      </w:r>
      <w:r>
        <w:rPr>
          <w:rFonts w:ascii="Times New Roman" w:hAnsi="Times New Roman"/>
          <w:color w:val="auto"/>
          <w:sz w:val="24"/>
          <w:szCs w:val="24"/>
        </w:rPr>
        <w:t>（3.2.4-3）</w:t>
      </w:r>
    </w:p>
    <w:p>
      <w:pPr>
        <w:pStyle w:val="21"/>
        <w:tabs>
          <w:tab w:val="center" w:pos="1274"/>
          <w:tab w:val="left" w:pos="5220"/>
        </w:tabs>
        <w:topLinePunct/>
        <w:autoSpaceDE w:val="0"/>
        <w:autoSpaceDN w:val="0"/>
        <w:adjustRightInd w:val="0"/>
        <w:snapToGrid w:val="0"/>
        <w:ind w:left="1620" w:leftChars="200" w:hanging="1200" w:hangingChars="500"/>
        <w:jc w:val="left"/>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i/>
          <w:color w:val="auto"/>
          <w:sz w:val="24"/>
          <w:szCs w:val="24"/>
        </w:rPr>
        <w:t>R</w:t>
      </w:r>
      <w:r>
        <w:rPr>
          <w:rFonts w:ascii="Times New Roman" w:hAnsi="Times New Roman"/>
          <w:color w:val="auto"/>
          <w:sz w:val="24"/>
          <w:szCs w:val="24"/>
          <w:vertAlign w:val="subscript"/>
        </w:rPr>
        <w:t>k</w:t>
      </w:r>
      <w:r>
        <w:rPr>
          <w:rFonts w:ascii="Times New Roman" w:hAnsi="Times New Roman"/>
          <w:color w:val="auto"/>
          <w:sz w:val="24"/>
          <w:szCs w:val="24"/>
        </w:rPr>
        <w:t>—抗滑力、抗滑力矩、抗倾覆力矩、锚杆和土钉的极限抗拔承载力等土抗力标准值；</w:t>
      </w:r>
    </w:p>
    <w:p>
      <w:pPr>
        <w:pStyle w:val="21"/>
        <w:tabs>
          <w:tab w:val="center" w:pos="1274"/>
          <w:tab w:val="left" w:pos="5220"/>
        </w:tabs>
        <w:topLinePunct/>
        <w:autoSpaceDE w:val="0"/>
        <w:autoSpaceDN w:val="0"/>
        <w:adjustRightInd w:val="0"/>
        <w:snapToGrid w:val="0"/>
        <w:ind w:left="1635" w:leftChars="550" w:hanging="480" w:hangingChars="200"/>
        <w:jc w:val="left"/>
        <w:rPr>
          <w:rFonts w:ascii="Times New Roman" w:hAnsi="Times New Roman"/>
          <w:color w:val="auto"/>
          <w:sz w:val="24"/>
          <w:szCs w:val="24"/>
        </w:rPr>
      </w:pPr>
      <w:r>
        <w:rPr>
          <w:rFonts w:ascii="Times New Roman" w:hAnsi="Times New Roman"/>
          <w:i/>
          <w:color w:val="auto"/>
          <w:sz w:val="24"/>
          <w:szCs w:val="24"/>
        </w:rPr>
        <w:t>S</w:t>
      </w:r>
      <w:r>
        <w:rPr>
          <w:rFonts w:ascii="Times New Roman" w:hAnsi="Times New Roman"/>
          <w:color w:val="auto"/>
          <w:sz w:val="24"/>
          <w:szCs w:val="24"/>
          <w:vertAlign w:val="subscript"/>
        </w:rPr>
        <w:t>k</w:t>
      </w:r>
      <w:r>
        <w:rPr>
          <w:rFonts w:ascii="Times New Roman" w:hAnsi="Times New Roman"/>
          <w:color w:val="auto"/>
          <w:sz w:val="24"/>
          <w:szCs w:val="24"/>
        </w:rPr>
        <w:t>—滑动力、滑动力矩、倾覆力矩、锚杆和土钉的拉力等作用标准值的效应；</w:t>
      </w:r>
    </w:p>
    <w:p>
      <w:pPr>
        <w:pStyle w:val="21"/>
        <w:tabs>
          <w:tab w:val="center" w:pos="1274"/>
          <w:tab w:val="left" w:pos="5220"/>
        </w:tabs>
        <w:topLinePunct/>
        <w:autoSpaceDE w:val="0"/>
        <w:autoSpaceDN w:val="0"/>
        <w:adjustRightInd w:val="0"/>
        <w:snapToGrid w:val="0"/>
        <w:ind w:left="1635" w:leftChars="550" w:hanging="480" w:hangingChars="200"/>
        <w:jc w:val="left"/>
        <w:rPr>
          <w:rFonts w:ascii="Times New Roman" w:hAnsi="Times New Roman"/>
          <w:color w:val="auto"/>
          <w:sz w:val="24"/>
          <w:szCs w:val="24"/>
        </w:rPr>
      </w:pPr>
      <w:r>
        <w:rPr>
          <w:rFonts w:ascii="Times New Roman" w:hAnsi="Times New Roman"/>
          <w:i/>
          <w:color w:val="auto"/>
          <w:sz w:val="24"/>
          <w:szCs w:val="24"/>
        </w:rPr>
        <w:t>K</w:t>
      </w:r>
      <w:r>
        <w:rPr>
          <w:rFonts w:ascii="Times New Roman" w:hAnsi="Times New Roman"/>
          <w:color w:val="auto"/>
          <w:sz w:val="24"/>
          <w:szCs w:val="24"/>
        </w:rPr>
        <w:t>—安全系数。</w:t>
      </w:r>
    </w:p>
    <w:p>
      <w:pPr>
        <w:topLinePunct/>
        <w:autoSpaceDE w:val="0"/>
        <w:autoSpaceDN w:val="0"/>
        <w:adjustRightInd w:val="0"/>
        <w:snapToGrid w:val="0"/>
        <w:spacing w:line="360" w:lineRule="auto"/>
        <w:ind w:firstLine="480" w:firstLineChars="200"/>
        <w:jc w:val="left"/>
        <w:rPr>
          <w:sz w:val="24"/>
        </w:rPr>
      </w:pPr>
      <w:r>
        <w:rPr>
          <w:sz w:val="24"/>
        </w:rPr>
        <w:t>2</w:t>
      </w:r>
      <w:r>
        <w:rPr>
          <w:b/>
          <w:sz w:val="24"/>
        </w:rPr>
        <w:t xml:space="preserve">  </w:t>
      </w:r>
      <w:r>
        <w:rPr>
          <w:sz w:val="24"/>
        </w:rPr>
        <w:t>正常使用极限状态</w:t>
      </w:r>
    </w:p>
    <w:p>
      <w:pPr>
        <w:pStyle w:val="21"/>
        <w:tabs>
          <w:tab w:val="center" w:pos="1274"/>
          <w:tab w:val="left" w:pos="5220"/>
        </w:tabs>
        <w:topLinePunct/>
        <w:autoSpaceDE w:val="0"/>
        <w:autoSpaceDN w:val="0"/>
        <w:adjustRightInd w:val="0"/>
        <w:snapToGrid w:val="0"/>
        <w:ind w:firstLine="480" w:firstLineChars="200"/>
        <w:rPr>
          <w:rFonts w:ascii="Times New Roman" w:hAnsi="Times New Roman"/>
          <w:color w:val="auto"/>
          <w:sz w:val="24"/>
          <w:szCs w:val="24"/>
        </w:rPr>
      </w:pPr>
      <w:r>
        <w:rPr>
          <w:rFonts w:ascii="Times New Roman" w:hAnsi="Times New Roman"/>
          <w:color w:val="auto"/>
          <w:sz w:val="24"/>
          <w:szCs w:val="24"/>
        </w:rPr>
        <w:t xml:space="preserve">由支护结构的位移、基坑周边建筑物和地面的沉降等控制的正常使用极限状态设计，应符合下式要求： </w:t>
      </w:r>
    </w:p>
    <w:p>
      <w:pPr>
        <w:pStyle w:val="21"/>
        <w:tabs>
          <w:tab w:val="center" w:pos="1274"/>
          <w:tab w:val="left" w:pos="5220"/>
        </w:tabs>
        <w:wordWrap w:val="0"/>
        <w:topLinePunct/>
        <w:autoSpaceDE w:val="0"/>
        <w:autoSpaceDN w:val="0"/>
        <w:adjustRightInd w:val="0"/>
        <w:snapToGrid w:val="0"/>
        <w:ind w:firstLine="0"/>
        <w:jc w:val="right"/>
        <w:rPr>
          <w:rFonts w:ascii="Times New Roman" w:hAnsi="Times New Roman"/>
          <w:color w:val="auto"/>
          <w:sz w:val="24"/>
          <w:szCs w:val="24"/>
        </w:rPr>
      </w:pPr>
      <w:r>
        <w:rPr>
          <w:position w:val="-12"/>
        </w:rPr>
        <w:object>
          <v:shape id="_x0000_i1028" o:spt="75" type="#_x0000_t75" style="height:19.15pt;width:45.95pt;" o:ole="t" filled="f" coordsize="21600,21600">
            <v:path/>
            <v:fill on="f" focussize="0,0"/>
            <v:stroke/>
            <v:imagedata r:id="rId23" o:title=""/>
            <o:lock v:ext="edit" aspectratio="t"/>
            <w10:wrap type="none"/>
            <w10:anchorlock/>
          </v:shape>
          <o:OLEObject Type="Embed" ProgID="Equation.DSMT4" ShapeID="_x0000_i1028" DrawAspect="Content" ObjectID="_1468075728" r:id="rId22">
            <o:LockedField>false</o:LockedField>
          </o:OLEObject>
        </w:object>
      </w:r>
      <w:r>
        <w:rPr>
          <w:rFonts w:ascii="Times New Roman" w:hAnsi="Times New Roman"/>
          <w:color w:val="auto"/>
          <w:position w:val="-12"/>
          <w:sz w:val="24"/>
          <w:szCs w:val="24"/>
        </w:rPr>
        <w:t xml:space="preserve">    </w:t>
      </w:r>
      <w:r>
        <w:rPr>
          <w:rFonts w:hint="eastAsia" w:ascii="Times New Roman" w:hAnsi="Times New Roman"/>
          <w:color w:val="auto"/>
          <w:position w:val="-12"/>
          <w:sz w:val="24"/>
          <w:szCs w:val="24"/>
          <w:lang w:eastAsia="zh-CN"/>
        </w:rPr>
        <w:t xml:space="preserve"> </w:t>
      </w:r>
      <w:r>
        <w:rPr>
          <w:rFonts w:ascii="Times New Roman" w:hAnsi="Times New Roman"/>
          <w:color w:val="auto"/>
          <w:position w:val="-12"/>
          <w:sz w:val="24"/>
          <w:szCs w:val="24"/>
        </w:rPr>
        <w:t xml:space="preserve">  </w:t>
      </w:r>
      <w:r>
        <w:rPr>
          <w:rFonts w:hint="eastAsia" w:ascii="Times New Roman" w:hAnsi="Times New Roman"/>
          <w:color w:val="auto"/>
          <w:position w:val="-12"/>
          <w:sz w:val="24"/>
          <w:szCs w:val="24"/>
          <w:lang w:eastAsia="zh-CN"/>
        </w:rPr>
        <w:t xml:space="preserve"> </w:t>
      </w:r>
      <w:r>
        <w:rPr>
          <w:rFonts w:ascii="Times New Roman" w:hAnsi="Times New Roman"/>
          <w:color w:val="auto"/>
          <w:position w:val="-12"/>
          <w:sz w:val="24"/>
          <w:szCs w:val="24"/>
        </w:rPr>
        <w:t xml:space="preserve"> </w:t>
      </w:r>
      <w:r>
        <w:rPr>
          <w:rFonts w:hint="eastAsia" w:ascii="Times New Roman" w:hAnsi="Times New Roman"/>
          <w:color w:val="auto"/>
          <w:position w:val="-12"/>
          <w:sz w:val="24"/>
          <w:szCs w:val="24"/>
          <w:lang w:eastAsia="zh-CN"/>
        </w:rPr>
        <w:t xml:space="preserve">  </w:t>
      </w:r>
      <w:r>
        <w:rPr>
          <w:rFonts w:ascii="Times New Roman" w:hAnsi="Times New Roman"/>
          <w:color w:val="auto"/>
          <w:position w:val="-12"/>
          <w:sz w:val="24"/>
          <w:szCs w:val="24"/>
        </w:rPr>
        <w:t xml:space="preserve">                 （3.2.4-4）</w:t>
      </w:r>
    </w:p>
    <w:p>
      <w:pPr>
        <w:pStyle w:val="21"/>
        <w:tabs>
          <w:tab w:val="center" w:pos="1274"/>
          <w:tab w:val="left" w:pos="5220"/>
        </w:tabs>
        <w:topLinePunct/>
        <w:autoSpaceDE w:val="0"/>
        <w:autoSpaceDN w:val="0"/>
        <w:adjustRightInd w:val="0"/>
        <w:snapToGrid w:val="0"/>
        <w:ind w:firstLine="0"/>
        <w:jc w:val="left"/>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i/>
          <w:color w:val="auto"/>
          <w:sz w:val="24"/>
          <w:szCs w:val="24"/>
        </w:rPr>
        <w:t>S</w:t>
      </w:r>
      <w:r>
        <w:rPr>
          <w:rFonts w:ascii="Times New Roman" w:hAnsi="Times New Roman"/>
          <w:i/>
          <w:color w:val="auto"/>
          <w:sz w:val="24"/>
          <w:szCs w:val="24"/>
          <w:vertAlign w:val="subscript"/>
        </w:rPr>
        <w:t>d</w:t>
      </w:r>
      <w:r>
        <w:rPr>
          <w:rFonts w:ascii="Times New Roman" w:hAnsi="Times New Roman"/>
          <w:color w:val="auto"/>
          <w:sz w:val="24"/>
          <w:szCs w:val="24"/>
        </w:rPr>
        <w:t>—作用标准组合的效应（位移、沉降等）设计值；</w:t>
      </w:r>
    </w:p>
    <w:p>
      <w:pPr>
        <w:pStyle w:val="21"/>
        <w:tabs>
          <w:tab w:val="center" w:pos="1274"/>
          <w:tab w:val="left" w:pos="5220"/>
        </w:tabs>
        <w:topLinePunct/>
        <w:autoSpaceDE w:val="0"/>
        <w:autoSpaceDN w:val="0"/>
        <w:adjustRightInd w:val="0"/>
        <w:snapToGrid w:val="0"/>
        <w:ind w:firstLine="720" w:firstLineChars="300"/>
        <w:jc w:val="left"/>
        <w:rPr>
          <w:rFonts w:ascii="Times New Roman" w:hAnsi="Times New Roman"/>
          <w:color w:val="auto"/>
          <w:sz w:val="24"/>
          <w:szCs w:val="24"/>
        </w:rPr>
      </w:pPr>
      <w:r>
        <w:rPr>
          <w:rFonts w:ascii="Times New Roman" w:hAnsi="Times New Roman"/>
          <w:i/>
          <w:color w:val="auto"/>
          <w:sz w:val="24"/>
          <w:szCs w:val="24"/>
        </w:rPr>
        <w:t>C</w:t>
      </w:r>
      <w:r>
        <w:rPr>
          <w:rFonts w:ascii="Times New Roman" w:hAnsi="Times New Roman"/>
          <w:color w:val="auto"/>
          <w:sz w:val="24"/>
          <w:szCs w:val="24"/>
        </w:rPr>
        <w:t>—支护结构的位移、基坑周边建筑物和地面沉降的限值。</w:t>
      </w:r>
    </w:p>
    <w:p>
      <w:pPr>
        <w:pStyle w:val="21"/>
        <w:tabs>
          <w:tab w:val="center" w:pos="1274"/>
          <w:tab w:val="left" w:pos="5220"/>
        </w:tabs>
        <w:topLinePunct/>
        <w:autoSpaceDE w:val="0"/>
        <w:autoSpaceDN w:val="0"/>
        <w:adjustRightInd w:val="0"/>
        <w:snapToGrid w:val="0"/>
        <w:ind w:firstLine="0"/>
        <w:rPr>
          <w:rFonts w:ascii="Times New Roman" w:hAnsi="Times New Roman"/>
          <w:color w:val="auto"/>
          <w:sz w:val="24"/>
          <w:szCs w:val="24"/>
        </w:rPr>
      </w:pPr>
      <w:r>
        <w:rPr>
          <w:rFonts w:ascii="Times New Roman" w:hAnsi="Times New Roman"/>
          <w:b/>
          <w:color w:val="auto"/>
          <w:sz w:val="24"/>
          <w:szCs w:val="24"/>
        </w:rPr>
        <w:t>3.2.5</w:t>
      </w:r>
      <w:r>
        <w:rPr>
          <w:rFonts w:ascii="Times New Roman" w:hAnsi="Times New Roman"/>
          <w:color w:val="auto"/>
          <w:sz w:val="24"/>
          <w:szCs w:val="24"/>
        </w:rPr>
        <w:t xml:space="preserve"> </w:t>
      </w:r>
      <w:r>
        <w:rPr>
          <w:rFonts w:ascii="Times New Roman" w:hAnsi="Times New Roman"/>
          <w:color w:val="auto"/>
          <w:sz w:val="24"/>
          <w:szCs w:val="24"/>
          <w:lang w:eastAsia="zh-CN"/>
        </w:rPr>
        <w:t xml:space="preserve"> </w:t>
      </w:r>
      <w:r>
        <w:rPr>
          <w:rFonts w:ascii="Times New Roman" w:hAnsi="Times New Roman"/>
          <w:color w:val="auto"/>
          <w:sz w:val="24"/>
          <w:szCs w:val="24"/>
        </w:rPr>
        <w:t>基坑支护结构应采用以分项系数表示的极限状态设计表达式进行计算：</w:t>
      </w:r>
    </w:p>
    <w:p>
      <w:pPr>
        <w:pStyle w:val="21"/>
        <w:tabs>
          <w:tab w:val="center" w:pos="1274"/>
          <w:tab w:val="left" w:pos="5220"/>
        </w:tabs>
        <w:topLinePunct/>
        <w:autoSpaceDE w:val="0"/>
        <w:autoSpaceDN w:val="0"/>
        <w:adjustRightInd w:val="0"/>
        <w:snapToGrid w:val="0"/>
        <w:ind w:firstLine="480" w:firstLineChars="200"/>
        <w:rPr>
          <w:rFonts w:ascii="Times New Roman" w:hAnsi="Times New Roman"/>
          <w:color w:val="auto"/>
          <w:sz w:val="24"/>
          <w:szCs w:val="24"/>
        </w:rPr>
      </w:pPr>
      <w:r>
        <w:rPr>
          <w:rFonts w:hint="eastAsia" w:ascii="Times New Roman" w:hAnsi="Times New Roman"/>
          <w:color w:val="auto"/>
          <w:sz w:val="24"/>
          <w:szCs w:val="24"/>
          <w:lang w:eastAsia="zh-CN"/>
        </w:rPr>
        <w:t>1</w:t>
      </w:r>
      <w:r>
        <w:rPr>
          <w:rFonts w:ascii="Times New Roman" w:hAnsi="Times New Roman"/>
          <w:color w:val="auto"/>
          <w:sz w:val="24"/>
          <w:szCs w:val="24"/>
        </w:rPr>
        <w:t xml:space="preserve"> </w:t>
      </w:r>
      <w:r>
        <w:rPr>
          <w:rFonts w:ascii="Times New Roman" w:hAnsi="Times New Roman"/>
          <w:color w:val="auto"/>
          <w:sz w:val="24"/>
          <w:szCs w:val="24"/>
          <w:lang w:eastAsia="zh-CN"/>
        </w:rPr>
        <w:t xml:space="preserve"> </w:t>
      </w:r>
      <w:r>
        <w:rPr>
          <w:rFonts w:ascii="Times New Roman" w:hAnsi="Times New Roman"/>
          <w:color w:val="auto"/>
          <w:sz w:val="24"/>
          <w:szCs w:val="24"/>
        </w:rPr>
        <w:t>基坑支护结构构件承载能力计算的荷载效应组合，应按承载能力极限状态下荷载效应的基本组合，作用分项系数不</w:t>
      </w:r>
      <w:r>
        <w:rPr>
          <w:rFonts w:hint="eastAsia" w:ascii="Times New Roman" w:hAnsi="Times New Roman"/>
          <w:color w:val="auto"/>
          <w:sz w:val="24"/>
          <w:szCs w:val="24"/>
          <w:lang w:eastAsia="zh-CN"/>
        </w:rPr>
        <w:t>应</w:t>
      </w:r>
      <w:r>
        <w:rPr>
          <w:rFonts w:ascii="Times New Roman" w:hAnsi="Times New Roman"/>
          <w:color w:val="auto"/>
          <w:sz w:val="24"/>
          <w:szCs w:val="24"/>
        </w:rPr>
        <w:t>小于1.25，抗力限值采用结构设计限值</w:t>
      </w:r>
      <w:r>
        <w:rPr>
          <w:rFonts w:ascii="Times New Roman" w:hAnsi="Times New Roman"/>
          <w:color w:val="auto"/>
          <w:sz w:val="24"/>
          <w:szCs w:val="24"/>
          <w:lang w:eastAsia="zh-CN"/>
        </w:rPr>
        <w:t>；</w:t>
      </w:r>
    </w:p>
    <w:p>
      <w:pPr>
        <w:pStyle w:val="21"/>
        <w:tabs>
          <w:tab w:val="center" w:pos="1274"/>
          <w:tab w:val="left" w:pos="5220"/>
        </w:tabs>
        <w:topLinePunct/>
        <w:autoSpaceDE w:val="0"/>
        <w:autoSpaceDN w:val="0"/>
        <w:adjustRightInd w:val="0"/>
        <w:snapToGrid w:val="0"/>
        <w:ind w:firstLine="480" w:firstLineChars="200"/>
        <w:rPr>
          <w:rFonts w:ascii="Times New Roman" w:hAnsi="Times New Roman"/>
          <w:color w:val="auto"/>
          <w:sz w:val="24"/>
          <w:szCs w:val="24"/>
        </w:rPr>
      </w:pPr>
      <w:r>
        <w:rPr>
          <w:rFonts w:hint="eastAsia" w:ascii="Times New Roman" w:hAnsi="Times New Roman"/>
          <w:color w:val="auto"/>
          <w:sz w:val="24"/>
          <w:szCs w:val="24"/>
          <w:lang w:eastAsia="zh-CN"/>
        </w:rPr>
        <w:t>2</w:t>
      </w:r>
      <w:r>
        <w:rPr>
          <w:rFonts w:ascii="Times New Roman" w:hAnsi="Times New Roman"/>
          <w:color w:val="auto"/>
          <w:sz w:val="24"/>
          <w:szCs w:val="24"/>
        </w:rPr>
        <w:t xml:space="preserve"> </w:t>
      </w:r>
      <w:r>
        <w:rPr>
          <w:rFonts w:ascii="Times New Roman" w:hAnsi="Times New Roman"/>
          <w:color w:val="auto"/>
          <w:sz w:val="24"/>
          <w:szCs w:val="24"/>
          <w:lang w:eastAsia="zh-CN"/>
        </w:rPr>
        <w:t xml:space="preserve"> </w:t>
      </w:r>
      <w:r>
        <w:rPr>
          <w:rFonts w:ascii="Times New Roman" w:hAnsi="Times New Roman"/>
          <w:color w:val="auto"/>
          <w:sz w:val="24"/>
          <w:szCs w:val="24"/>
        </w:rPr>
        <w:t>基坑支护结构构件正常使用极限状态计算的荷载效应组合，应采用荷载效应的标准组合，抗力限值可根据相关规范采用经验值或结构设计限值</w:t>
      </w:r>
      <w:r>
        <w:rPr>
          <w:rFonts w:ascii="Times New Roman" w:hAnsi="Times New Roman"/>
          <w:color w:val="auto"/>
          <w:sz w:val="24"/>
          <w:szCs w:val="24"/>
          <w:lang w:eastAsia="zh-CN"/>
        </w:rPr>
        <w:t>；</w:t>
      </w:r>
    </w:p>
    <w:p>
      <w:pPr>
        <w:topLinePunct/>
        <w:autoSpaceDE w:val="0"/>
        <w:autoSpaceDN w:val="0"/>
        <w:adjustRightInd w:val="0"/>
        <w:snapToGrid w:val="0"/>
        <w:spacing w:line="360" w:lineRule="auto"/>
        <w:ind w:firstLine="480" w:firstLineChars="200"/>
        <w:rPr>
          <w:sz w:val="24"/>
        </w:rPr>
      </w:pPr>
      <w:r>
        <w:rPr>
          <w:rFonts w:hint="eastAsia"/>
          <w:sz w:val="24"/>
        </w:rPr>
        <w:t>3</w:t>
      </w:r>
      <w:r>
        <w:rPr>
          <w:sz w:val="24"/>
        </w:rPr>
        <w:t xml:space="preserve">  对安全等级为一级、二级、三级的</w:t>
      </w:r>
      <w:r>
        <w:rPr>
          <w:rFonts w:hint="eastAsia"/>
          <w:sz w:val="24"/>
        </w:rPr>
        <w:t>基坑工程</w:t>
      </w:r>
      <w:r>
        <w:rPr>
          <w:sz w:val="24"/>
        </w:rPr>
        <w:t>，其结构重要性系数（</w:t>
      </w:r>
      <w:r>
        <w:rPr>
          <w:i/>
          <w:sz w:val="24"/>
        </w:rPr>
        <w:t>γ</w:t>
      </w:r>
      <w:r>
        <w:rPr>
          <w:sz w:val="24"/>
          <w:vertAlign w:val="subscript"/>
        </w:rPr>
        <w:t>0</w:t>
      </w:r>
      <w:r>
        <w:rPr>
          <w:sz w:val="24"/>
        </w:rPr>
        <w:t>）分别不应小于1.10、1.00、0.90。</w:t>
      </w:r>
    </w:p>
    <w:p>
      <w:pPr>
        <w:topLinePunct/>
        <w:autoSpaceDE w:val="0"/>
        <w:autoSpaceDN w:val="0"/>
        <w:spacing w:line="360" w:lineRule="auto"/>
        <w:rPr>
          <w:sz w:val="24"/>
        </w:rPr>
      </w:pPr>
      <w:r>
        <w:rPr>
          <w:b/>
          <w:sz w:val="24"/>
        </w:rPr>
        <w:t>3.2.6</w:t>
      </w:r>
      <w:r>
        <w:rPr>
          <w:sz w:val="24"/>
        </w:rPr>
        <w:t xml:space="preserve">  支护结构重要性系数与作用基本组合的效应设计值的乘积（</w:t>
      </w:r>
      <w:r>
        <w:rPr>
          <w:i/>
          <w:sz w:val="24"/>
        </w:rPr>
        <w:t>γ</w:t>
      </w:r>
      <w:r>
        <w:rPr>
          <w:sz w:val="24"/>
          <w:vertAlign w:val="subscript"/>
        </w:rPr>
        <w:t>0</w:t>
      </w:r>
      <w:r>
        <w:rPr>
          <w:i/>
          <w:sz w:val="24"/>
        </w:rPr>
        <w:t>S</w:t>
      </w:r>
      <w:r>
        <w:rPr>
          <w:sz w:val="24"/>
          <w:vertAlign w:val="subscript"/>
        </w:rPr>
        <w:t>d</w:t>
      </w:r>
      <w:r>
        <w:rPr>
          <w:sz w:val="24"/>
        </w:rPr>
        <w:t>）可采用下列内力设计值表示：</w:t>
      </w:r>
    </w:p>
    <w:p>
      <w:pPr>
        <w:topLinePunct/>
        <w:autoSpaceDE w:val="0"/>
        <w:autoSpaceDN w:val="0"/>
        <w:spacing w:line="360" w:lineRule="auto"/>
        <w:ind w:firstLine="480" w:firstLineChars="200"/>
        <w:jc w:val="left"/>
        <w:rPr>
          <w:sz w:val="24"/>
        </w:rPr>
      </w:pPr>
      <w:r>
        <w:rPr>
          <w:sz w:val="24"/>
        </w:rPr>
        <w:t>弯矩设计值</w:t>
      </w:r>
      <w:r>
        <w:rPr>
          <w:i/>
          <w:sz w:val="24"/>
        </w:rPr>
        <w:t>M</w:t>
      </w:r>
    </w:p>
    <w:p>
      <w:pPr>
        <w:topLinePunct/>
        <w:autoSpaceDE w:val="0"/>
        <w:autoSpaceDN w:val="0"/>
        <w:jc w:val="right"/>
        <w:rPr>
          <w:sz w:val="24"/>
        </w:rPr>
      </w:pPr>
      <w:r>
        <w:rPr>
          <w:position w:val="-12"/>
        </w:rPr>
        <w:object>
          <v:shape id="_x0000_i1029" o:spt="75" type="#_x0000_t75" style="height:19.15pt;width:65.5pt;" o:ole="t" filled="f" coordsize="21600,21600">
            <v:path/>
            <v:fill on="f" focussize="0,0"/>
            <v:stroke/>
            <v:imagedata r:id="rId25" o:title=""/>
            <o:lock v:ext="edit" aspectratio="t"/>
            <w10:wrap type="none"/>
            <w10:anchorlock/>
          </v:shape>
          <o:OLEObject Type="Embed" ProgID="Equation.DSMT4" ShapeID="_x0000_i1029" DrawAspect="Content" ObjectID="_1468075729" r:id="rId24">
            <o:LockedField>false</o:LockedField>
          </o:OLEObject>
        </w:object>
      </w:r>
      <w:r>
        <w:rPr>
          <w:position w:val="-12"/>
          <w:sz w:val="24"/>
        </w:rPr>
        <w:t xml:space="preserve">       </w:t>
      </w:r>
      <w:r>
        <w:rPr>
          <w:rFonts w:hint="eastAsia"/>
          <w:position w:val="-12"/>
          <w:sz w:val="24"/>
        </w:rPr>
        <w:t xml:space="preserve">    </w:t>
      </w:r>
      <w:r>
        <w:rPr>
          <w:position w:val="-12"/>
          <w:sz w:val="24"/>
        </w:rPr>
        <w:t xml:space="preserve">           （3.2.6-1）</w:t>
      </w:r>
    </w:p>
    <w:p>
      <w:pPr>
        <w:topLinePunct/>
        <w:autoSpaceDE w:val="0"/>
        <w:autoSpaceDN w:val="0"/>
        <w:spacing w:line="360" w:lineRule="auto"/>
        <w:ind w:firstLine="480" w:firstLineChars="200"/>
        <w:jc w:val="left"/>
        <w:rPr>
          <w:sz w:val="24"/>
        </w:rPr>
      </w:pPr>
      <w:r>
        <w:rPr>
          <w:sz w:val="24"/>
        </w:rPr>
        <w:t>剪力设计值</w:t>
      </w:r>
      <w:r>
        <w:rPr>
          <w:i/>
          <w:sz w:val="24"/>
        </w:rPr>
        <w:t>V</w:t>
      </w:r>
    </w:p>
    <w:p>
      <w:pPr>
        <w:topLinePunct/>
        <w:autoSpaceDE w:val="0"/>
        <w:autoSpaceDN w:val="0"/>
        <w:spacing w:line="360" w:lineRule="auto"/>
        <w:jc w:val="right"/>
        <w:rPr>
          <w:sz w:val="24"/>
        </w:rPr>
      </w:pPr>
      <w:r>
        <w:rPr>
          <w:position w:val="-12"/>
          <w:sz w:val="24"/>
        </w:rPr>
        <w:t xml:space="preserve">            </w:t>
      </w:r>
      <w:r>
        <w:rPr>
          <w:position w:val="-12"/>
        </w:rPr>
        <w:object>
          <v:shape id="_x0000_i1030" o:spt="75" type="#_x0000_t75" style="height:19.15pt;width:59.75pt;" o:ole="t" filled="f" coordsize="21600,21600">
            <v:path/>
            <v:fill on="f" focussize="0,0"/>
            <v:stroke/>
            <v:imagedata r:id="rId27" o:title=""/>
            <o:lock v:ext="edit" aspectratio="t"/>
            <w10:wrap type="none"/>
            <w10:anchorlock/>
          </v:shape>
          <o:OLEObject Type="Embed" ProgID="Equation.DSMT4" ShapeID="_x0000_i1030" DrawAspect="Content" ObjectID="_1468075730" r:id="rId26">
            <o:LockedField>false</o:LockedField>
          </o:OLEObject>
        </w:object>
      </w:r>
      <w:r>
        <w:rPr>
          <w:position w:val="-12"/>
          <w:sz w:val="24"/>
        </w:rPr>
        <w:t xml:space="preserve">      </w:t>
      </w:r>
      <w:r>
        <w:rPr>
          <w:rFonts w:hint="eastAsia"/>
          <w:position w:val="-12"/>
          <w:sz w:val="24"/>
        </w:rPr>
        <w:t xml:space="preserve">    </w:t>
      </w:r>
      <w:r>
        <w:rPr>
          <w:position w:val="-12"/>
          <w:sz w:val="24"/>
        </w:rPr>
        <w:t xml:space="preserve">              （3.2.6-2）              </w:t>
      </w:r>
    </w:p>
    <w:p>
      <w:pPr>
        <w:topLinePunct/>
        <w:autoSpaceDE w:val="0"/>
        <w:autoSpaceDN w:val="0"/>
        <w:spacing w:line="360" w:lineRule="auto"/>
        <w:ind w:firstLine="480" w:firstLineChars="200"/>
        <w:rPr>
          <w:sz w:val="24"/>
        </w:rPr>
      </w:pPr>
      <w:r>
        <w:rPr>
          <w:sz w:val="24"/>
        </w:rPr>
        <w:t>轴向力设计值</w:t>
      </w:r>
      <w:r>
        <w:rPr>
          <w:i/>
          <w:sz w:val="24"/>
        </w:rPr>
        <w:t>N</w:t>
      </w:r>
    </w:p>
    <w:p>
      <w:pPr>
        <w:topLinePunct/>
        <w:autoSpaceDE w:val="0"/>
        <w:autoSpaceDN w:val="0"/>
        <w:spacing w:line="360" w:lineRule="auto"/>
        <w:jc w:val="right"/>
        <w:rPr>
          <w:sz w:val="24"/>
        </w:rPr>
      </w:pPr>
      <w:r>
        <w:rPr>
          <w:position w:val="-12"/>
          <w:sz w:val="24"/>
        </w:rPr>
        <w:t xml:space="preserve">               </w:t>
      </w:r>
      <w:r>
        <w:rPr>
          <w:position w:val="-12"/>
        </w:rPr>
        <w:object>
          <v:shape id="_x0000_i1031" o:spt="75" type="#_x0000_t75" style="height:19.15pt;width:64.7pt;" o:ole="t" filled="f" coordsize="21600,21600">
            <v:path/>
            <v:fill on="f" focussize="0,0"/>
            <v:stroke/>
            <v:imagedata r:id="rId29" o:title=""/>
            <o:lock v:ext="edit" aspectratio="t"/>
            <w10:wrap type="none"/>
            <w10:anchorlock/>
          </v:shape>
          <o:OLEObject Type="Embed" ProgID="Equation.DSMT4" ShapeID="_x0000_i1031" DrawAspect="Content" ObjectID="_1468075731" r:id="rId28">
            <o:LockedField>false</o:LockedField>
          </o:OLEObject>
        </w:object>
      </w:r>
      <w:r>
        <w:rPr>
          <w:position w:val="-12"/>
          <w:sz w:val="24"/>
        </w:rPr>
        <w:t xml:space="preserve">     </w:t>
      </w:r>
      <w:r>
        <w:rPr>
          <w:rFonts w:hint="eastAsia"/>
          <w:position w:val="-12"/>
          <w:sz w:val="24"/>
        </w:rPr>
        <w:t xml:space="preserve">    </w:t>
      </w:r>
      <w:r>
        <w:rPr>
          <w:position w:val="-12"/>
          <w:sz w:val="24"/>
        </w:rPr>
        <w:t xml:space="preserve">               （3.2.6-3）</w:t>
      </w:r>
    </w:p>
    <w:p>
      <w:pPr>
        <w:topLinePunct/>
        <w:autoSpaceDE w:val="0"/>
        <w:autoSpaceDN w:val="0"/>
        <w:spacing w:line="360" w:lineRule="auto"/>
        <w:rPr>
          <w:sz w:val="24"/>
        </w:rPr>
      </w:pPr>
      <w:r>
        <w:rPr>
          <w:sz w:val="24"/>
        </w:rPr>
        <w:t>式中：</w:t>
      </w:r>
      <w:r>
        <w:rPr>
          <w:i/>
          <w:sz w:val="24"/>
        </w:rPr>
        <w:t>M</w:t>
      </w:r>
      <w:r>
        <w:rPr>
          <w:sz w:val="24"/>
          <w:vertAlign w:val="subscript"/>
        </w:rPr>
        <w:t>k</w:t>
      </w:r>
      <w:r>
        <w:rPr>
          <w:sz w:val="24"/>
        </w:rPr>
        <w:t>—按作用标准组合计算的弯矩值(kN·m)；</w:t>
      </w:r>
    </w:p>
    <w:p>
      <w:pPr>
        <w:topLinePunct/>
        <w:autoSpaceDE w:val="0"/>
        <w:autoSpaceDN w:val="0"/>
        <w:spacing w:line="360" w:lineRule="auto"/>
        <w:ind w:firstLine="720" w:firstLineChars="300"/>
        <w:jc w:val="left"/>
        <w:rPr>
          <w:sz w:val="24"/>
        </w:rPr>
      </w:pPr>
      <w:r>
        <w:rPr>
          <w:i/>
          <w:sz w:val="24"/>
        </w:rPr>
        <w:t>V</w:t>
      </w:r>
      <w:r>
        <w:rPr>
          <w:sz w:val="24"/>
          <w:vertAlign w:val="subscript"/>
        </w:rPr>
        <w:t>k</w:t>
      </w:r>
      <w:r>
        <w:rPr>
          <w:sz w:val="24"/>
        </w:rPr>
        <w:t>—按作用标准组合计算的剪力值(kN)；</w:t>
      </w:r>
    </w:p>
    <w:p>
      <w:pPr>
        <w:topLinePunct/>
        <w:autoSpaceDE w:val="0"/>
        <w:autoSpaceDN w:val="0"/>
        <w:spacing w:line="360" w:lineRule="auto"/>
        <w:ind w:firstLine="720" w:firstLineChars="300"/>
        <w:jc w:val="left"/>
        <w:rPr>
          <w:sz w:val="24"/>
        </w:rPr>
      </w:pPr>
      <w:r>
        <w:rPr>
          <w:i/>
          <w:sz w:val="24"/>
        </w:rPr>
        <w:t>N</w:t>
      </w:r>
      <w:r>
        <w:rPr>
          <w:sz w:val="24"/>
          <w:vertAlign w:val="subscript"/>
        </w:rPr>
        <w:t>k</w:t>
      </w:r>
      <w:r>
        <w:rPr>
          <w:sz w:val="24"/>
        </w:rPr>
        <w:t>—按作用标准组合计算的轴向拉力或轴向压力值(kN)。</w:t>
      </w:r>
    </w:p>
    <w:p>
      <w:pPr>
        <w:tabs>
          <w:tab w:val="center" w:pos="1274"/>
          <w:tab w:val="left" w:pos="5220"/>
        </w:tabs>
        <w:topLinePunct/>
        <w:autoSpaceDE w:val="0"/>
        <w:autoSpaceDN w:val="0"/>
        <w:spacing w:line="360" w:lineRule="auto"/>
        <w:rPr>
          <w:sz w:val="24"/>
        </w:rPr>
      </w:pPr>
      <w:r>
        <w:rPr>
          <w:b/>
          <w:sz w:val="24"/>
        </w:rPr>
        <w:t>3.2.7</w:t>
      </w:r>
      <w:r>
        <w:rPr>
          <w:sz w:val="24"/>
        </w:rPr>
        <w:t xml:space="preserve">  基坑支护设计应按下列要求设定支护结构和基坑周边环境的</w:t>
      </w:r>
      <w:r>
        <w:rPr>
          <w:rFonts w:hint="eastAsia"/>
          <w:sz w:val="24"/>
        </w:rPr>
        <w:t>变形</w:t>
      </w:r>
      <w:r>
        <w:rPr>
          <w:sz w:val="24"/>
        </w:rPr>
        <w:t>控制值：</w:t>
      </w:r>
    </w:p>
    <w:p>
      <w:pPr>
        <w:tabs>
          <w:tab w:val="center" w:pos="1274"/>
          <w:tab w:val="left" w:pos="5220"/>
        </w:tabs>
        <w:topLinePunct/>
        <w:autoSpaceDE w:val="0"/>
        <w:autoSpaceDN w:val="0"/>
        <w:spacing w:line="360" w:lineRule="auto"/>
        <w:ind w:firstLine="470" w:firstLineChars="196"/>
        <w:rPr>
          <w:sz w:val="24"/>
        </w:rPr>
      </w:pPr>
      <w:r>
        <w:rPr>
          <w:sz w:val="24"/>
        </w:rPr>
        <w:t>1  支护结构</w:t>
      </w:r>
      <w:r>
        <w:rPr>
          <w:rFonts w:hint="eastAsia"/>
          <w:sz w:val="24"/>
        </w:rPr>
        <w:t>的变形</w:t>
      </w:r>
      <w:r>
        <w:rPr>
          <w:sz w:val="24"/>
        </w:rPr>
        <w:t>控制值</w:t>
      </w:r>
      <w:r>
        <w:rPr>
          <w:rFonts w:hint="eastAsia"/>
          <w:sz w:val="24"/>
        </w:rPr>
        <w:t>应按支护结构承载能力及周边环境的</w:t>
      </w:r>
      <w:r>
        <w:rPr>
          <w:sz w:val="24"/>
        </w:rPr>
        <w:t>正常使用要求确定</w:t>
      </w:r>
      <w:r>
        <w:rPr>
          <w:rFonts w:hint="eastAsia"/>
          <w:sz w:val="24"/>
        </w:rPr>
        <w:t>；</w:t>
      </w:r>
    </w:p>
    <w:p>
      <w:pPr>
        <w:tabs>
          <w:tab w:val="center" w:pos="1274"/>
          <w:tab w:val="left" w:pos="5220"/>
        </w:tabs>
        <w:topLinePunct/>
        <w:autoSpaceDE w:val="0"/>
        <w:autoSpaceDN w:val="0"/>
        <w:spacing w:line="360" w:lineRule="auto"/>
        <w:ind w:firstLine="470" w:firstLineChars="196"/>
        <w:rPr>
          <w:sz w:val="24"/>
        </w:rPr>
      </w:pPr>
      <w:r>
        <w:rPr>
          <w:rFonts w:hint="eastAsia"/>
          <w:sz w:val="24"/>
        </w:rPr>
        <w:t xml:space="preserve">2  </w:t>
      </w:r>
      <w:r>
        <w:rPr>
          <w:sz w:val="24"/>
        </w:rPr>
        <w:t>当基坑开挖影响范围内有建筑物时，</w:t>
      </w:r>
      <w:r>
        <w:rPr>
          <w:rFonts w:hint="eastAsia"/>
          <w:sz w:val="24"/>
        </w:rPr>
        <w:t>建筑物的变形</w:t>
      </w:r>
      <w:r>
        <w:rPr>
          <w:sz w:val="24"/>
        </w:rPr>
        <w:t>控制值应按不影响其正常使用的要求确定，并应符合国家标准《建筑地基基础设计规范》GB</w:t>
      </w:r>
      <w:r>
        <w:rPr>
          <w:rFonts w:hint="eastAsia"/>
          <w:sz w:val="24"/>
        </w:rPr>
        <w:t xml:space="preserve"> </w:t>
      </w:r>
      <w:r>
        <w:rPr>
          <w:sz w:val="24"/>
        </w:rPr>
        <w:t>50007中对地基变形允许值的规定；当基坑开挖影响范围内有地下管线、地下构筑物、道路时，</w:t>
      </w:r>
      <w:r>
        <w:rPr>
          <w:rFonts w:hint="eastAsia"/>
          <w:sz w:val="24"/>
        </w:rPr>
        <w:t>其变形</w:t>
      </w:r>
      <w:r>
        <w:rPr>
          <w:sz w:val="24"/>
        </w:rPr>
        <w:t>控制值应按不影响其正常使用的要求确定，并应符合相关</w:t>
      </w:r>
      <w:r>
        <w:rPr>
          <w:rFonts w:hint="eastAsia"/>
          <w:sz w:val="24"/>
        </w:rPr>
        <w:t>标准</w:t>
      </w:r>
      <w:r>
        <w:rPr>
          <w:sz w:val="24"/>
        </w:rPr>
        <w:t xml:space="preserve">对其允许变形的规定； </w:t>
      </w:r>
    </w:p>
    <w:p>
      <w:pPr>
        <w:tabs>
          <w:tab w:val="center" w:pos="1274"/>
          <w:tab w:val="left" w:pos="5220"/>
        </w:tabs>
        <w:topLinePunct/>
        <w:autoSpaceDE w:val="0"/>
        <w:autoSpaceDN w:val="0"/>
        <w:spacing w:line="360" w:lineRule="auto"/>
        <w:ind w:firstLine="480" w:firstLineChars="200"/>
        <w:rPr>
          <w:sz w:val="24"/>
        </w:rPr>
      </w:pPr>
      <w:r>
        <w:rPr>
          <w:rFonts w:hint="eastAsia"/>
          <w:sz w:val="24"/>
        </w:rPr>
        <w:t>3</w:t>
      </w:r>
      <w:r>
        <w:rPr>
          <w:sz w:val="24"/>
        </w:rPr>
        <w:t xml:space="preserve">  当支护结构构件同时用作主体地下结构构件时，支护结构</w:t>
      </w:r>
      <w:r>
        <w:rPr>
          <w:rFonts w:hint="eastAsia"/>
          <w:sz w:val="24"/>
        </w:rPr>
        <w:t>变形</w:t>
      </w:r>
      <w:r>
        <w:rPr>
          <w:sz w:val="24"/>
        </w:rPr>
        <w:t>控制值不应大于主体结构设计对其变形的限值。</w:t>
      </w:r>
    </w:p>
    <w:p>
      <w:pPr>
        <w:pStyle w:val="24"/>
        <w:topLinePunct/>
        <w:autoSpaceDE w:val="0"/>
        <w:autoSpaceDN w:val="0"/>
        <w:adjustRightInd w:val="0"/>
        <w:snapToGrid w:val="0"/>
        <w:spacing w:line="360" w:lineRule="auto"/>
        <w:rPr>
          <w:kern w:val="2"/>
        </w:rPr>
      </w:pPr>
      <w:r>
        <w:rPr>
          <w:b/>
          <w:kern w:val="2"/>
        </w:rPr>
        <w:t>3.2.8</w:t>
      </w:r>
      <w:r>
        <w:rPr>
          <w:kern w:val="2"/>
        </w:rPr>
        <w:t xml:space="preserve">  基坑支护设计应遵循动态设计与信息化施工相结合的原则。设计应根据施工过程中监测的反馈信息，及时对设计进行验证及修正，完善设计。</w:t>
      </w:r>
    </w:p>
    <w:p>
      <w:pPr>
        <w:topLinePunct/>
        <w:autoSpaceDE w:val="0"/>
        <w:autoSpaceDN w:val="0"/>
        <w:adjustRightInd w:val="0"/>
        <w:snapToGrid w:val="0"/>
        <w:spacing w:line="360" w:lineRule="auto"/>
        <w:rPr>
          <w:sz w:val="24"/>
        </w:rPr>
      </w:pPr>
      <w:r>
        <w:rPr>
          <w:b/>
          <w:sz w:val="24"/>
        </w:rPr>
        <w:t>3.2.9</w:t>
      </w:r>
      <w:r>
        <w:rPr>
          <w:sz w:val="24"/>
        </w:rPr>
        <w:t xml:space="preserve">  基坑工程设计应包括下列内容：</w:t>
      </w:r>
    </w:p>
    <w:p>
      <w:pPr>
        <w:topLinePunct/>
        <w:autoSpaceDE w:val="0"/>
        <w:autoSpaceDN w:val="0"/>
        <w:adjustRightInd w:val="0"/>
        <w:snapToGrid w:val="0"/>
        <w:spacing w:line="360" w:lineRule="auto"/>
        <w:ind w:firstLine="480" w:firstLineChars="200"/>
        <w:rPr>
          <w:sz w:val="24"/>
        </w:rPr>
      </w:pPr>
      <w:r>
        <w:rPr>
          <w:sz w:val="24"/>
        </w:rPr>
        <w:t>1  支护</w:t>
      </w:r>
      <w:r>
        <w:rPr>
          <w:rFonts w:hint="eastAsia"/>
          <w:sz w:val="24"/>
        </w:rPr>
        <w:t>结构</w:t>
      </w:r>
      <w:r>
        <w:rPr>
          <w:sz w:val="24"/>
        </w:rPr>
        <w:t>选型；</w:t>
      </w:r>
    </w:p>
    <w:p>
      <w:pPr>
        <w:topLinePunct/>
        <w:autoSpaceDE w:val="0"/>
        <w:autoSpaceDN w:val="0"/>
        <w:adjustRightInd w:val="0"/>
        <w:snapToGrid w:val="0"/>
        <w:spacing w:line="360" w:lineRule="auto"/>
        <w:ind w:firstLine="480" w:firstLineChars="200"/>
        <w:rPr>
          <w:sz w:val="24"/>
        </w:rPr>
      </w:pPr>
      <w:r>
        <w:rPr>
          <w:sz w:val="24"/>
        </w:rPr>
        <w:t>2  基坑稳定性验算；</w:t>
      </w:r>
    </w:p>
    <w:p>
      <w:pPr>
        <w:topLinePunct/>
        <w:autoSpaceDE w:val="0"/>
        <w:autoSpaceDN w:val="0"/>
        <w:adjustRightInd w:val="0"/>
        <w:snapToGrid w:val="0"/>
        <w:spacing w:line="360" w:lineRule="auto"/>
        <w:ind w:firstLine="480" w:firstLineChars="200"/>
        <w:rPr>
          <w:sz w:val="24"/>
        </w:rPr>
      </w:pPr>
      <w:r>
        <w:rPr>
          <w:sz w:val="24"/>
        </w:rPr>
        <w:t>3  支护结构的承载</w:t>
      </w:r>
      <w:r>
        <w:rPr>
          <w:rFonts w:hint="eastAsia"/>
          <w:sz w:val="24"/>
        </w:rPr>
        <w:t>能</w:t>
      </w:r>
      <w:r>
        <w:rPr>
          <w:sz w:val="24"/>
        </w:rPr>
        <w:t>力和变形计算；</w:t>
      </w:r>
    </w:p>
    <w:p>
      <w:pPr>
        <w:topLinePunct/>
        <w:autoSpaceDE w:val="0"/>
        <w:autoSpaceDN w:val="0"/>
        <w:adjustRightInd w:val="0"/>
        <w:snapToGrid w:val="0"/>
        <w:spacing w:line="360" w:lineRule="auto"/>
        <w:ind w:firstLine="480" w:firstLineChars="200"/>
        <w:rPr>
          <w:sz w:val="24"/>
        </w:rPr>
      </w:pPr>
      <w:r>
        <w:rPr>
          <w:rFonts w:hint="eastAsia"/>
          <w:sz w:val="24"/>
        </w:rPr>
        <w:t>4</w:t>
      </w:r>
      <w:r>
        <w:rPr>
          <w:sz w:val="24"/>
        </w:rPr>
        <w:t xml:space="preserve">  地下水控制</w:t>
      </w:r>
      <w:r>
        <w:rPr>
          <w:rFonts w:hint="eastAsia"/>
          <w:sz w:val="24"/>
        </w:rPr>
        <w:t>措施</w:t>
      </w:r>
      <w:r>
        <w:rPr>
          <w:sz w:val="24"/>
        </w:rPr>
        <w:t>；</w:t>
      </w:r>
    </w:p>
    <w:p>
      <w:pPr>
        <w:topLinePunct/>
        <w:autoSpaceDE w:val="0"/>
        <w:autoSpaceDN w:val="0"/>
        <w:adjustRightInd w:val="0"/>
        <w:snapToGrid w:val="0"/>
        <w:spacing w:line="360" w:lineRule="auto"/>
        <w:ind w:firstLine="480" w:firstLineChars="200"/>
        <w:rPr>
          <w:sz w:val="24"/>
        </w:rPr>
      </w:pPr>
      <w:r>
        <w:rPr>
          <w:rFonts w:hint="eastAsia"/>
          <w:sz w:val="24"/>
        </w:rPr>
        <w:t>5</w:t>
      </w:r>
      <w:r>
        <w:rPr>
          <w:sz w:val="24"/>
        </w:rPr>
        <w:t xml:space="preserve">  土方开挖技术要求；</w:t>
      </w:r>
    </w:p>
    <w:p>
      <w:pPr>
        <w:topLinePunct/>
        <w:autoSpaceDE w:val="0"/>
        <w:autoSpaceDN w:val="0"/>
        <w:adjustRightInd w:val="0"/>
        <w:snapToGrid w:val="0"/>
        <w:spacing w:line="360" w:lineRule="auto"/>
        <w:ind w:firstLine="480" w:firstLineChars="200"/>
        <w:rPr>
          <w:sz w:val="24"/>
        </w:rPr>
      </w:pPr>
      <w:r>
        <w:rPr>
          <w:rFonts w:hint="eastAsia"/>
          <w:sz w:val="24"/>
        </w:rPr>
        <w:t>6</w:t>
      </w:r>
      <w:r>
        <w:rPr>
          <w:sz w:val="24"/>
        </w:rPr>
        <w:t xml:space="preserve">  基坑</w:t>
      </w:r>
      <w:r>
        <w:rPr>
          <w:rFonts w:hint="eastAsia"/>
          <w:sz w:val="24"/>
        </w:rPr>
        <w:t>检测、</w:t>
      </w:r>
      <w:r>
        <w:rPr>
          <w:sz w:val="24"/>
        </w:rPr>
        <w:t>监测要求；</w:t>
      </w:r>
    </w:p>
    <w:p>
      <w:pPr>
        <w:topLinePunct/>
        <w:autoSpaceDE w:val="0"/>
        <w:autoSpaceDN w:val="0"/>
        <w:adjustRightInd w:val="0"/>
        <w:snapToGrid w:val="0"/>
        <w:spacing w:line="360" w:lineRule="auto"/>
        <w:ind w:firstLine="480" w:firstLineChars="200"/>
        <w:rPr>
          <w:sz w:val="24"/>
        </w:rPr>
      </w:pPr>
      <w:r>
        <w:rPr>
          <w:rFonts w:hint="eastAsia"/>
          <w:sz w:val="24"/>
        </w:rPr>
        <w:t>7</w:t>
      </w:r>
      <w:r>
        <w:rPr>
          <w:sz w:val="24"/>
        </w:rPr>
        <w:t xml:space="preserve">  </w:t>
      </w:r>
      <w:r>
        <w:rPr>
          <w:rFonts w:hint="eastAsia"/>
          <w:sz w:val="24"/>
        </w:rPr>
        <w:t>周边</w:t>
      </w:r>
      <w:r>
        <w:rPr>
          <w:sz w:val="24"/>
        </w:rPr>
        <w:t>环境影响分析与保护</w:t>
      </w:r>
      <w:r>
        <w:rPr>
          <w:rFonts w:hint="eastAsia"/>
          <w:sz w:val="24"/>
        </w:rPr>
        <w:t>措施</w:t>
      </w:r>
      <w:r>
        <w:rPr>
          <w:sz w:val="24"/>
        </w:rPr>
        <w:t>；</w:t>
      </w:r>
    </w:p>
    <w:p>
      <w:pPr>
        <w:topLinePunct/>
        <w:autoSpaceDE w:val="0"/>
        <w:autoSpaceDN w:val="0"/>
        <w:adjustRightInd w:val="0"/>
        <w:snapToGrid w:val="0"/>
        <w:spacing w:line="360" w:lineRule="auto"/>
        <w:ind w:firstLine="480" w:firstLineChars="200"/>
        <w:rPr>
          <w:sz w:val="24"/>
        </w:rPr>
      </w:pPr>
      <w:r>
        <w:rPr>
          <w:sz w:val="24"/>
        </w:rPr>
        <w:t xml:space="preserve">8  </w:t>
      </w:r>
      <w:r>
        <w:rPr>
          <w:rFonts w:hint="eastAsia"/>
          <w:sz w:val="24"/>
        </w:rPr>
        <w:t>涉及危险性较大的分部分项工程的重点部位和关键环节，保障工程周边环境安全和工程施工安全的意见</w:t>
      </w:r>
      <w:r>
        <w:rPr>
          <w:sz w:val="24"/>
        </w:rPr>
        <w:t>。</w:t>
      </w:r>
    </w:p>
    <w:p>
      <w:pPr>
        <w:topLinePunct/>
        <w:autoSpaceDE w:val="0"/>
        <w:autoSpaceDN w:val="0"/>
        <w:adjustRightInd w:val="0"/>
        <w:snapToGrid w:val="0"/>
        <w:spacing w:line="360" w:lineRule="auto"/>
        <w:rPr>
          <w:bCs/>
          <w:sz w:val="24"/>
        </w:rPr>
      </w:pPr>
      <w:r>
        <w:rPr>
          <w:b/>
          <w:bCs/>
          <w:sz w:val="24"/>
        </w:rPr>
        <w:t>3.2.10</w:t>
      </w:r>
      <w:r>
        <w:rPr>
          <w:bCs/>
          <w:sz w:val="24"/>
        </w:rPr>
        <w:t xml:space="preserve">  应分析</w:t>
      </w:r>
      <w:r>
        <w:rPr>
          <w:rFonts w:hint="eastAsia"/>
          <w:bCs/>
          <w:sz w:val="24"/>
        </w:rPr>
        <w:t>基坑</w:t>
      </w:r>
      <w:r>
        <w:rPr>
          <w:bCs/>
          <w:sz w:val="24"/>
        </w:rPr>
        <w:t>周边</w:t>
      </w:r>
      <w:r>
        <w:rPr>
          <w:rFonts w:hint="eastAsia"/>
          <w:bCs/>
          <w:sz w:val="24"/>
        </w:rPr>
        <w:t>附加荷载的影响。</w:t>
      </w:r>
    </w:p>
    <w:p>
      <w:pPr>
        <w:topLinePunct/>
        <w:autoSpaceDE w:val="0"/>
        <w:autoSpaceDN w:val="0"/>
        <w:adjustRightInd w:val="0"/>
        <w:snapToGrid w:val="0"/>
        <w:spacing w:line="360" w:lineRule="auto"/>
        <w:rPr>
          <w:sz w:val="24"/>
        </w:rPr>
      </w:pPr>
      <w:r>
        <w:rPr>
          <w:b/>
          <w:sz w:val="24"/>
        </w:rPr>
        <w:t>3.2.1</w:t>
      </w:r>
      <w:r>
        <w:rPr>
          <w:rFonts w:hint="eastAsia"/>
          <w:b/>
          <w:sz w:val="24"/>
        </w:rPr>
        <w:t>1</w:t>
      </w:r>
      <w:r>
        <w:rPr>
          <w:sz w:val="24"/>
        </w:rPr>
        <w:t xml:space="preserve">  根据基坑周</w:t>
      </w:r>
      <w:r>
        <w:rPr>
          <w:rFonts w:hint="eastAsia"/>
          <w:sz w:val="24"/>
        </w:rPr>
        <w:t>边保护对象</w:t>
      </w:r>
      <w:r>
        <w:rPr>
          <w:sz w:val="24"/>
        </w:rPr>
        <w:t>的重要性及与基坑的距离，基坑工程环境保护等级可按表3.2.1</w:t>
      </w:r>
      <w:r>
        <w:rPr>
          <w:rFonts w:hint="eastAsia"/>
          <w:sz w:val="24"/>
        </w:rPr>
        <w:t>1</w:t>
      </w:r>
      <w:r>
        <w:rPr>
          <w:sz w:val="24"/>
        </w:rPr>
        <w:t>划分。</w:t>
      </w:r>
    </w:p>
    <w:p>
      <w:pPr>
        <w:topLinePunct/>
        <w:autoSpaceDE w:val="0"/>
        <w:autoSpaceDN w:val="0"/>
        <w:adjustRightInd w:val="0"/>
        <w:snapToGrid w:val="0"/>
        <w:spacing w:line="320" w:lineRule="exact"/>
        <w:jc w:val="center"/>
        <w:rPr>
          <w:b/>
          <w:bCs/>
          <w:sz w:val="24"/>
        </w:rPr>
      </w:pPr>
      <w:r>
        <w:rPr>
          <w:b/>
          <w:bCs/>
          <w:sz w:val="24"/>
        </w:rPr>
        <w:t>表3.2.1</w:t>
      </w:r>
      <w:r>
        <w:rPr>
          <w:rFonts w:hint="eastAsia"/>
          <w:b/>
          <w:bCs/>
          <w:sz w:val="24"/>
        </w:rPr>
        <w:t>1</w:t>
      </w:r>
      <w:r>
        <w:rPr>
          <w:b/>
          <w:bCs/>
          <w:sz w:val="24"/>
        </w:rPr>
        <w:t xml:space="preserve">  基坑工程的环境保护等级划分表</w:t>
      </w:r>
    </w:p>
    <w:tbl>
      <w:tblPr>
        <w:tblStyle w:val="26"/>
        <w:tblW w:w="95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5"/>
        <w:gridCol w:w="2148"/>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85" w:type="dxa"/>
            <w:vAlign w:val="center"/>
          </w:tcPr>
          <w:p>
            <w:pPr>
              <w:topLinePunct/>
              <w:autoSpaceDE w:val="0"/>
              <w:autoSpaceDN w:val="0"/>
              <w:adjustRightInd w:val="0"/>
              <w:snapToGrid w:val="0"/>
              <w:spacing w:line="320" w:lineRule="exact"/>
              <w:jc w:val="center"/>
              <w:rPr>
                <w:szCs w:val="21"/>
              </w:rPr>
            </w:pPr>
            <w:r>
              <w:rPr>
                <w:szCs w:val="21"/>
              </w:rPr>
              <w:t>环境保护对象</w:t>
            </w:r>
          </w:p>
        </w:tc>
        <w:tc>
          <w:tcPr>
            <w:tcW w:w="2148" w:type="dxa"/>
            <w:vAlign w:val="center"/>
          </w:tcPr>
          <w:p>
            <w:pPr>
              <w:topLinePunct/>
              <w:autoSpaceDE w:val="0"/>
              <w:autoSpaceDN w:val="0"/>
              <w:adjustRightInd w:val="0"/>
              <w:snapToGrid w:val="0"/>
              <w:spacing w:line="280" w:lineRule="exact"/>
              <w:jc w:val="center"/>
              <w:rPr>
                <w:szCs w:val="21"/>
              </w:rPr>
            </w:pPr>
            <w:r>
              <w:rPr>
                <w:szCs w:val="21"/>
              </w:rPr>
              <w:t>保护对象与基坑的距离</w:t>
            </w:r>
          </w:p>
        </w:tc>
        <w:tc>
          <w:tcPr>
            <w:tcW w:w="1838" w:type="dxa"/>
            <w:vAlign w:val="center"/>
          </w:tcPr>
          <w:p>
            <w:pPr>
              <w:topLinePunct/>
              <w:autoSpaceDE w:val="0"/>
              <w:autoSpaceDN w:val="0"/>
              <w:adjustRightInd w:val="0"/>
              <w:snapToGrid w:val="0"/>
              <w:spacing w:line="280" w:lineRule="exact"/>
              <w:jc w:val="center"/>
              <w:rPr>
                <w:szCs w:val="21"/>
              </w:rPr>
            </w:pPr>
            <w:r>
              <w:rPr>
                <w:szCs w:val="21"/>
              </w:rPr>
              <w:t>基坑工程的环境保护等级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5585" w:type="dxa"/>
            <w:vMerge w:val="restart"/>
            <w:vAlign w:val="center"/>
          </w:tcPr>
          <w:p>
            <w:pPr>
              <w:topLinePunct/>
              <w:autoSpaceDE w:val="0"/>
              <w:autoSpaceDN w:val="0"/>
              <w:adjustRightInd w:val="0"/>
              <w:snapToGrid w:val="0"/>
              <w:spacing w:line="280" w:lineRule="exact"/>
              <w:jc w:val="left"/>
              <w:rPr>
                <w:szCs w:val="21"/>
              </w:rPr>
            </w:pPr>
            <w:r>
              <w:rPr>
                <w:szCs w:val="21"/>
              </w:rPr>
              <w:t>历史建筑、有精密仪器与设备的厂房、其它采用天然地基或短桩基础的重要建筑物、轨道交通设施、隧道、原水管、自来水总管、燃气总管</w:t>
            </w:r>
            <w:r>
              <w:rPr>
                <w:rFonts w:hint="eastAsia"/>
                <w:szCs w:val="21"/>
              </w:rPr>
              <w:t>、地下管廊</w:t>
            </w:r>
            <w:r>
              <w:rPr>
                <w:szCs w:val="21"/>
              </w:rPr>
              <w:t>等重要建筑物或设施</w:t>
            </w:r>
          </w:p>
        </w:tc>
        <w:tc>
          <w:tcPr>
            <w:tcW w:w="2148" w:type="dxa"/>
            <w:vAlign w:val="center"/>
          </w:tcPr>
          <w:p>
            <w:pPr>
              <w:topLinePunct/>
              <w:autoSpaceDE w:val="0"/>
              <w:autoSpaceDN w:val="0"/>
              <w:adjustRightInd w:val="0"/>
              <w:snapToGrid w:val="0"/>
              <w:spacing w:line="360" w:lineRule="auto"/>
              <w:jc w:val="center"/>
              <w:rPr>
                <w:szCs w:val="21"/>
              </w:rPr>
            </w:pPr>
            <w:r>
              <w:rPr>
                <w:szCs w:val="21"/>
              </w:rPr>
              <w:t>S</w:t>
            </w:r>
            <w:r>
              <w:rPr>
                <w:rFonts w:hint="eastAsia"/>
                <w:szCs w:val="21"/>
              </w:rPr>
              <w:t>≤</w:t>
            </w:r>
            <w:r>
              <w:rPr>
                <w:szCs w:val="21"/>
              </w:rPr>
              <w:t>H</w:t>
            </w:r>
          </w:p>
        </w:tc>
        <w:tc>
          <w:tcPr>
            <w:tcW w:w="1838" w:type="dxa"/>
            <w:vAlign w:val="center"/>
          </w:tcPr>
          <w:p>
            <w:pPr>
              <w:topLinePunct/>
              <w:autoSpaceDE w:val="0"/>
              <w:autoSpaceDN w:val="0"/>
              <w:adjustRightInd w:val="0"/>
              <w:snapToGrid w:val="0"/>
              <w:spacing w:line="360" w:lineRule="auto"/>
              <w:jc w:val="center"/>
              <w:rPr>
                <w:szCs w:val="21"/>
              </w:rPr>
            </w:pPr>
            <w:r>
              <w:rPr>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5585" w:type="dxa"/>
            <w:vMerge w:val="continue"/>
            <w:vAlign w:val="center"/>
          </w:tcPr>
          <w:p>
            <w:pPr>
              <w:topLinePunct/>
              <w:autoSpaceDE w:val="0"/>
              <w:autoSpaceDN w:val="0"/>
              <w:adjustRightInd w:val="0"/>
              <w:snapToGrid w:val="0"/>
              <w:spacing w:line="360" w:lineRule="auto"/>
              <w:jc w:val="center"/>
              <w:rPr>
                <w:szCs w:val="21"/>
              </w:rPr>
            </w:pPr>
          </w:p>
        </w:tc>
        <w:tc>
          <w:tcPr>
            <w:tcW w:w="2148" w:type="dxa"/>
            <w:vAlign w:val="center"/>
          </w:tcPr>
          <w:p>
            <w:pPr>
              <w:topLinePunct/>
              <w:autoSpaceDE w:val="0"/>
              <w:autoSpaceDN w:val="0"/>
              <w:adjustRightInd w:val="0"/>
              <w:snapToGrid w:val="0"/>
              <w:spacing w:line="360" w:lineRule="auto"/>
              <w:jc w:val="center"/>
              <w:rPr>
                <w:szCs w:val="21"/>
              </w:rPr>
            </w:pPr>
            <w:r>
              <w:rPr>
                <w:szCs w:val="21"/>
              </w:rPr>
              <w:t>H</w:t>
            </w:r>
            <w:r>
              <w:rPr>
                <w:rFonts w:hint="eastAsia"/>
                <w:szCs w:val="21"/>
              </w:rPr>
              <w:t>＜</w:t>
            </w:r>
            <w:r>
              <w:rPr>
                <w:szCs w:val="21"/>
              </w:rPr>
              <w:t>S</w:t>
            </w:r>
            <w:r>
              <w:rPr>
                <w:rFonts w:hint="eastAsia"/>
                <w:szCs w:val="21"/>
              </w:rPr>
              <w:t>≤</w:t>
            </w:r>
            <w:r>
              <w:rPr>
                <w:szCs w:val="21"/>
              </w:rPr>
              <w:t>2H</w:t>
            </w:r>
          </w:p>
        </w:tc>
        <w:tc>
          <w:tcPr>
            <w:tcW w:w="1838" w:type="dxa"/>
            <w:vAlign w:val="center"/>
          </w:tcPr>
          <w:p>
            <w:pPr>
              <w:topLinePunct/>
              <w:autoSpaceDE w:val="0"/>
              <w:autoSpaceDN w:val="0"/>
              <w:adjustRightInd w:val="0"/>
              <w:snapToGrid w:val="0"/>
              <w:spacing w:line="360" w:lineRule="auto"/>
              <w:jc w:val="center"/>
              <w:rPr>
                <w:szCs w:val="21"/>
              </w:rPr>
            </w:pPr>
            <w:r>
              <w:rPr>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5585" w:type="dxa"/>
            <w:vMerge w:val="continue"/>
            <w:vAlign w:val="center"/>
          </w:tcPr>
          <w:p>
            <w:pPr>
              <w:topLinePunct/>
              <w:autoSpaceDE w:val="0"/>
              <w:autoSpaceDN w:val="0"/>
              <w:adjustRightInd w:val="0"/>
              <w:snapToGrid w:val="0"/>
              <w:spacing w:line="360" w:lineRule="auto"/>
              <w:jc w:val="center"/>
              <w:rPr>
                <w:szCs w:val="21"/>
              </w:rPr>
            </w:pPr>
          </w:p>
        </w:tc>
        <w:tc>
          <w:tcPr>
            <w:tcW w:w="2148" w:type="dxa"/>
            <w:vAlign w:val="center"/>
          </w:tcPr>
          <w:p>
            <w:pPr>
              <w:topLinePunct/>
              <w:autoSpaceDE w:val="0"/>
              <w:autoSpaceDN w:val="0"/>
              <w:adjustRightInd w:val="0"/>
              <w:snapToGrid w:val="0"/>
              <w:spacing w:line="360" w:lineRule="auto"/>
              <w:jc w:val="center"/>
              <w:rPr>
                <w:szCs w:val="21"/>
              </w:rPr>
            </w:pPr>
            <w:r>
              <w:rPr>
                <w:szCs w:val="21"/>
              </w:rPr>
              <w:t>2H</w:t>
            </w:r>
            <w:r>
              <w:rPr>
                <w:rFonts w:hint="eastAsia"/>
                <w:szCs w:val="21"/>
              </w:rPr>
              <w:t>＜</w:t>
            </w:r>
            <w:r>
              <w:rPr>
                <w:szCs w:val="21"/>
              </w:rPr>
              <w:t>S</w:t>
            </w:r>
            <w:r>
              <w:rPr>
                <w:rFonts w:hint="eastAsia"/>
                <w:szCs w:val="21"/>
              </w:rPr>
              <w:t>≤</w:t>
            </w:r>
            <w:r>
              <w:rPr>
                <w:szCs w:val="21"/>
              </w:rPr>
              <w:t>4H</w:t>
            </w:r>
          </w:p>
        </w:tc>
        <w:tc>
          <w:tcPr>
            <w:tcW w:w="1838" w:type="dxa"/>
            <w:vAlign w:val="center"/>
          </w:tcPr>
          <w:p>
            <w:pPr>
              <w:topLinePunct/>
              <w:autoSpaceDE w:val="0"/>
              <w:autoSpaceDN w:val="0"/>
              <w:adjustRightInd w:val="0"/>
              <w:snapToGrid w:val="0"/>
              <w:spacing w:line="360" w:lineRule="auto"/>
              <w:jc w:val="center"/>
              <w:rPr>
                <w:szCs w:val="21"/>
              </w:rPr>
            </w:pPr>
            <w:r>
              <w:rPr>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5585" w:type="dxa"/>
            <w:vMerge w:val="restart"/>
            <w:vAlign w:val="center"/>
          </w:tcPr>
          <w:p>
            <w:pPr>
              <w:topLinePunct/>
              <w:autoSpaceDE w:val="0"/>
              <w:autoSpaceDN w:val="0"/>
              <w:adjustRightInd w:val="0"/>
              <w:snapToGrid w:val="0"/>
              <w:spacing w:line="280" w:lineRule="exact"/>
              <w:jc w:val="left"/>
              <w:rPr>
                <w:szCs w:val="21"/>
              </w:rPr>
            </w:pPr>
            <w:r>
              <w:rPr>
                <w:szCs w:val="21"/>
              </w:rPr>
              <w:t>较重要的自来水管、燃气管、污水管等市政管线、采用天然地基或短桩基础的</w:t>
            </w:r>
            <w:r>
              <w:rPr>
                <w:rFonts w:hint="eastAsia"/>
                <w:szCs w:val="21"/>
              </w:rPr>
              <w:t>较</w:t>
            </w:r>
            <w:r>
              <w:rPr>
                <w:szCs w:val="21"/>
              </w:rPr>
              <w:t>重要建筑物等</w:t>
            </w:r>
          </w:p>
        </w:tc>
        <w:tc>
          <w:tcPr>
            <w:tcW w:w="2148" w:type="dxa"/>
            <w:vAlign w:val="center"/>
          </w:tcPr>
          <w:p>
            <w:pPr>
              <w:topLinePunct/>
              <w:autoSpaceDE w:val="0"/>
              <w:autoSpaceDN w:val="0"/>
              <w:adjustRightInd w:val="0"/>
              <w:snapToGrid w:val="0"/>
              <w:spacing w:line="360" w:lineRule="auto"/>
              <w:jc w:val="center"/>
              <w:rPr>
                <w:szCs w:val="21"/>
              </w:rPr>
            </w:pPr>
            <w:r>
              <w:rPr>
                <w:szCs w:val="21"/>
              </w:rPr>
              <w:t>S</w:t>
            </w:r>
            <w:r>
              <w:rPr>
                <w:rFonts w:hint="eastAsia"/>
                <w:szCs w:val="21"/>
              </w:rPr>
              <w:t>≤</w:t>
            </w:r>
            <w:r>
              <w:rPr>
                <w:szCs w:val="21"/>
              </w:rPr>
              <w:t>H</w:t>
            </w:r>
          </w:p>
        </w:tc>
        <w:tc>
          <w:tcPr>
            <w:tcW w:w="1838" w:type="dxa"/>
            <w:vAlign w:val="center"/>
          </w:tcPr>
          <w:p>
            <w:pPr>
              <w:topLinePunct/>
              <w:autoSpaceDE w:val="0"/>
              <w:autoSpaceDN w:val="0"/>
              <w:adjustRightInd w:val="0"/>
              <w:snapToGrid w:val="0"/>
              <w:spacing w:line="360" w:lineRule="auto"/>
              <w:jc w:val="center"/>
              <w:rPr>
                <w:szCs w:val="21"/>
              </w:rPr>
            </w:pPr>
            <w:r>
              <w:rPr>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5585" w:type="dxa"/>
            <w:vMerge w:val="continue"/>
            <w:vAlign w:val="center"/>
          </w:tcPr>
          <w:p>
            <w:pPr>
              <w:topLinePunct/>
              <w:autoSpaceDE w:val="0"/>
              <w:autoSpaceDN w:val="0"/>
              <w:adjustRightInd w:val="0"/>
              <w:snapToGrid w:val="0"/>
              <w:spacing w:line="360" w:lineRule="auto"/>
              <w:jc w:val="center"/>
              <w:rPr>
                <w:szCs w:val="21"/>
              </w:rPr>
            </w:pPr>
          </w:p>
        </w:tc>
        <w:tc>
          <w:tcPr>
            <w:tcW w:w="2148" w:type="dxa"/>
            <w:vAlign w:val="center"/>
          </w:tcPr>
          <w:p>
            <w:pPr>
              <w:topLinePunct/>
              <w:autoSpaceDE w:val="0"/>
              <w:autoSpaceDN w:val="0"/>
              <w:adjustRightInd w:val="0"/>
              <w:snapToGrid w:val="0"/>
              <w:spacing w:line="360" w:lineRule="auto"/>
              <w:jc w:val="center"/>
              <w:rPr>
                <w:szCs w:val="21"/>
              </w:rPr>
            </w:pPr>
            <w:r>
              <w:rPr>
                <w:szCs w:val="21"/>
              </w:rPr>
              <w:t>H</w:t>
            </w:r>
            <w:r>
              <w:rPr>
                <w:rFonts w:hint="eastAsia"/>
                <w:szCs w:val="21"/>
              </w:rPr>
              <w:t>＜</w:t>
            </w:r>
            <w:r>
              <w:rPr>
                <w:szCs w:val="21"/>
              </w:rPr>
              <w:t>S</w:t>
            </w:r>
            <w:r>
              <w:rPr>
                <w:rFonts w:hint="eastAsia"/>
                <w:szCs w:val="21"/>
              </w:rPr>
              <w:t>≤</w:t>
            </w:r>
            <w:r>
              <w:rPr>
                <w:szCs w:val="21"/>
              </w:rPr>
              <w:t>2H</w:t>
            </w:r>
          </w:p>
        </w:tc>
        <w:tc>
          <w:tcPr>
            <w:tcW w:w="1838" w:type="dxa"/>
            <w:vAlign w:val="center"/>
          </w:tcPr>
          <w:p>
            <w:pPr>
              <w:topLinePunct/>
              <w:autoSpaceDE w:val="0"/>
              <w:autoSpaceDN w:val="0"/>
              <w:adjustRightInd w:val="0"/>
              <w:snapToGrid w:val="0"/>
              <w:spacing w:line="360" w:lineRule="auto"/>
              <w:jc w:val="center"/>
              <w:rPr>
                <w:szCs w:val="21"/>
              </w:rPr>
            </w:pPr>
            <w:r>
              <w:rPr>
                <w:szCs w:val="21"/>
              </w:rPr>
              <w:t>三级</w:t>
            </w:r>
          </w:p>
        </w:tc>
      </w:tr>
    </w:tbl>
    <w:p>
      <w:pPr>
        <w:topLinePunct/>
        <w:autoSpaceDE w:val="0"/>
        <w:autoSpaceDN w:val="0"/>
        <w:adjustRightInd w:val="0"/>
        <w:snapToGrid w:val="0"/>
        <w:ind w:firstLine="420" w:firstLineChars="200"/>
        <w:jc w:val="left"/>
        <w:rPr>
          <w:szCs w:val="21"/>
        </w:rPr>
      </w:pPr>
      <w:r>
        <w:rPr>
          <w:szCs w:val="21"/>
        </w:rPr>
        <w:t>注：1  H为基坑开挖深度，S为保护对象与基坑开挖边线的净距；</w:t>
      </w:r>
    </w:p>
    <w:p>
      <w:pPr>
        <w:topLinePunct/>
        <w:autoSpaceDE w:val="0"/>
        <w:autoSpaceDN w:val="0"/>
        <w:adjustRightInd w:val="0"/>
        <w:snapToGrid w:val="0"/>
        <w:ind w:firstLine="840" w:firstLineChars="400"/>
        <w:jc w:val="left"/>
        <w:rPr>
          <w:szCs w:val="21"/>
        </w:rPr>
      </w:pPr>
      <w:r>
        <w:rPr>
          <w:szCs w:val="21"/>
        </w:rPr>
        <w:t>2  基坑工程环境保护等级可依据基坑各边的不同环境情况分别确定；</w:t>
      </w:r>
    </w:p>
    <w:p>
      <w:pPr>
        <w:topLinePunct/>
        <w:autoSpaceDE w:val="0"/>
        <w:autoSpaceDN w:val="0"/>
        <w:adjustRightInd w:val="0"/>
        <w:snapToGrid w:val="0"/>
        <w:ind w:left="1134" w:leftChars="400" w:hanging="294" w:hangingChars="140"/>
        <w:jc w:val="left"/>
        <w:rPr>
          <w:szCs w:val="21"/>
        </w:rPr>
      </w:pPr>
      <w:r>
        <w:rPr>
          <w:szCs w:val="21"/>
        </w:rPr>
        <w:t>3  位于轨道交通设施、历史建筑、重要管线等环境保护对象周边的基坑工程，应遵照政府有关文件和规定执行。</w:t>
      </w:r>
    </w:p>
    <w:p>
      <w:pPr>
        <w:topLinePunct/>
        <w:autoSpaceDE w:val="0"/>
        <w:autoSpaceDN w:val="0"/>
        <w:adjustRightInd w:val="0"/>
        <w:snapToGrid w:val="0"/>
        <w:spacing w:line="360" w:lineRule="auto"/>
        <w:jc w:val="left"/>
        <w:rPr>
          <w:sz w:val="24"/>
        </w:rPr>
      </w:pPr>
      <w:r>
        <w:rPr>
          <w:b/>
          <w:sz w:val="24"/>
        </w:rPr>
        <w:t>3.2.1</w:t>
      </w:r>
      <w:r>
        <w:rPr>
          <w:rFonts w:hint="eastAsia"/>
          <w:b/>
          <w:sz w:val="24"/>
        </w:rPr>
        <w:t>2</w:t>
      </w:r>
      <w:r>
        <w:rPr>
          <w:sz w:val="24"/>
        </w:rPr>
        <w:t xml:space="preserve">  基坑工程安全等级应根据周边环境、破坏后果、基坑深度、工程地质条件和</w:t>
      </w:r>
      <w:r>
        <w:rPr>
          <w:rFonts w:hint="eastAsia"/>
          <w:sz w:val="24"/>
        </w:rPr>
        <w:t>水文地质</w:t>
      </w:r>
      <w:r>
        <w:rPr>
          <w:sz w:val="24"/>
        </w:rPr>
        <w:t>条件按表3.2.1</w:t>
      </w:r>
      <w:r>
        <w:rPr>
          <w:rFonts w:hint="eastAsia"/>
          <w:sz w:val="24"/>
        </w:rPr>
        <w:t>2</w:t>
      </w:r>
      <w:r>
        <w:rPr>
          <w:sz w:val="24"/>
        </w:rPr>
        <w:t>进行划分。</w:t>
      </w:r>
      <w:r>
        <w:rPr>
          <w:rFonts w:hint="eastAsia"/>
          <w:sz w:val="24"/>
        </w:rPr>
        <w:t>对于同一基坑的不同部位，可采用不同的安全等级。</w:t>
      </w:r>
    </w:p>
    <w:p>
      <w:pPr>
        <w:topLinePunct/>
        <w:autoSpaceDE w:val="0"/>
        <w:autoSpaceDN w:val="0"/>
        <w:adjustRightInd w:val="0"/>
        <w:snapToGrid w:val="0"/>
        <w:spacing w:line="360" w:lineRule="auto"/>
        <w:jc w:val="center"/>
        <w:rPr>
          <w:b/>
          <w:bCs/>
          <w:sz w:val="24"/>
        </w:rPr>
      </w:pPr>
      <w:r>
        <w:rPr>
          <w:b/>
          <w:bCs/>
          <w:sz w:val="24"/>
        </w:rPr>
        <w:t>表3.2.1</w:t>
      </w:r>
      <w:r>
        <w:rPr>
          <w:rFonts w:hint="eastAsia"/>
          <w:b/>
          <w:bCs/>
          <w:sz w:val="24"/>
        </w:rPr>
        <w:t>2</w:t>
      </w:r>
      <w:r>
        <w:rPr>
          <w:b/>
          <w:bCs/>
          <w:sz w:val="24"/>
        </w:rPr>
        <w:t xml:space="preserve"> 基坑工程安全等级划分表</w:t>
      </w:r>
    </w:p>
    <w:tbl>
      <w:tblPr>
        <w:tblStyle w:val="26"/>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8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235" w:type="dxa"/>
            <w:vAlign w:val="center"/>
          </w:tcPr>
          <w:p>
            <w:pPr>
              <w:topLinePunct/>
              <w:autoSpaceDE w:val="0"/>
              <w:autoSpaceDN w:val="0"/>
              <w:adjustRightInd w:val="0"/>
              <w:snapToGrid w:val="0"/>
              <w:spacing w:line="320" w:lineRule="exact"/>
              <w:jc w:val="center"/>
              <w:rPr>
                <w:szCs w:val="21"/>
              </w:rPr>
            </w:pPr>
            <w:r>
              <w:rPr>
                <w:szCs w:val="21"/>
              </w:rPr>
              <w:t>基坑工程</w:t>
            </w:r>
          </w:p>
          <w:p>
            <w:pPr>
              <w:topLinePunct/>
              <w:autoSpaceDE w:val="0"/>
              <w:autoSpaceDN w:val="0"/>
              <w:adjustRightInd w:val="0"/>
              <w:snapToGrid w:val="0"/>
              <w:spacing w:line="320" w:lineRule="exact"/>
              <w:jc w:val="center"/>
              <w:rPr>
                <w:szCs w:val="21"/>
              </w:rPr>
            </w:pPr>
            <w:r>
              <w:rPr>
                <w:szCs w:val="21"/>
              </w:rPr>
              <w:t>安全等级</w:t>
            </w:r>
          </w:p>
        </w:tc>
        <w:tc>
          <w:tcPr>
            <w:tcW w:w="8336" w:type="dxa"/>
            <w:vAlign w:val="center"/>
          </w:tcPr>
          <w:p>
            <w:pPr>
              <w:topLinePunct/>
              <w:autoSpaceDE w:val="0"/>
              <w:autoSpaceDN w:val="0"/>
              <w:adjustRightInd w:val="0"/>
              <w:snapToGrid w:val="0"/>
              <w:spacing w:line="320" w:lineRule="exact"/>
              <w:jc w:val="center"/>
              <w:rPr>
                <w:szCs w:val="21"/>
              </w:rPr>
            </w:pPr>
            <w:r>
              <w:rPr>
                <w:szCs w:val="21"/>
              </w:rPr>
              <w:t>周边环境、破坏后果、基坑深度、工程地质条件和地下水条件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235" w:type="dxa"/>
            <w:vAlign w:val="center"/>
          </w:tcPr>
          <w:p>
            <w:pPr>
              <w:topLinePunct/>
              <w:autoSpaceDE w:val="0"/>
              <w:autoSpaceDN w:val="0"/>
              <w:adjustRightInd w:val="0"/>
              <w:snapToGrid w:val="0"/>
              <w:spacing w:line="360" w:lineRule="auto"/>
              <w:jc w:val="center"/>
              <w:rPr>
                <w:szCs w:val="21"/>
              </w:rPr>
            </w:pPr>
            <w:r>
              <w:rPr>
                <w:szCs w:val="21"/>
              </w:rPr>
              <w:t>一级</w:t>
            </w:r>
          </w:p>
        </w:tc>
        <w:tc>
          <w:tcPr>
            <w:tcW w:w="8336" w:type="dxa"/>
            <w:vAlign w:val="center"/>
          </w:tcPr>
          <w:p>
            <w:pPr>
              <w:topLinePunct/>
              <w:autoSpaceDE w:val="0"/>
              <w:autoSpaceDN w:val="0"/>
              <w:adjustRightInd w:val="0"/>
              <w:snapToGrid w:val="0"/>
              <w:spacing w:line="320" w:lineRule="exact"/>
              <w:rPr>
                <w:szCs w:val="21"/>
              </w:rPr>
            </w:pPr>
            <w:r>
              <w:rPr>
                <w:szCs w:val="21"/>
              </w:rPr>
              <w:t>破坏后果</w:t>
            </w:r>
            <w:r>
              <w:rPr>
                <w:rFonts w:hint="eastAsia"/>
                <w:szCs w:val="21"/>
              </w:rPr>
              <w:t>很</w:t>
            </w:r>
            <w:r>
              <w:rPr>
                <w:szCs w:val="21"/>
              </w:rPr>
              <w:t>严重；</w:t>
            </w:r>
            <w:r>
              <w:t>工程地质条件</w:t>
            </w:r>
            <w:r>
              <w:rPr>
                <w:szCs w:val="21"/>
              </w:rPr>
              <w:t>复杂；</w:t>
            </w:r>
            <w:r>
              <w:rPr>
                <w:rFonts w:hint="eastAsia"/>
                <w:szCs w:val="21"/>
              </w:rPr>
              <w:t>水文地质</w:t>
            </w:r>
            <w:r>
              <w:rPr>
                <w:szCs w:val="21"/>
              </w:rPr>
              <w:t>条件复杂</w:t>
            </w:r>
            <w:r>
              <w:rPr>
                <w:rFonts w:hint="eastAsia"/>
                <w:szCs w:val="21"/>
              </w:rPr>
              <w:t>、</w:t>
            </w:r>
            <w:r>
              <w:rPr>
                <w:szCs w:val="21"/>
              </w:rPr>
              <w:t>地下水</w:t>
            </w:r>
            <w:r>
              <w:rPr>
                <w:rFonts w:hint="eastAsia"/>
                <w:szCs w:val="21"/>
              </w:rPr>
              <w:t>埋藏浅</w:t>
            </w:r>
            <w:r>
              <w:rPr>
                <w:szCs w:val="21"/>
              </w:rPr>
              <w:t>、对施工影响严重；基坑工程的环境保护等级为一级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235" w:type="dxa"/>
            <w:vAlign w:val="center"/>
          </w:tcPr>
          <w:p>
            <w:pPr>
              <w:topLinePunct/>
              <w:autoSpaceDE w:val="0"/>
              <w:autoSpaceDN w:val="0"/>
              <w:adjustRightInd w:val="0"/>
              <w:snapToGrid w:val="0"/>
              <w:spacing w:line="360" w:lineRule="auto"/>
              <w:jc w:val="center"/>
              <w:rPr>
                <w:szCs w:val="21"/>
              </w:rPr>
            </w:pPr>
            <w:r>
              <w:rPr>
                <w:szCs w:val="21"/>
              </w:rPr>
              <w:t>二级</w:t>
            </w:r>
          </w:p>
        </w:tc>
        <w:tc>
          <w:tcPr>
            <w:tcW w:w="8336" w:type="dxa"/>
            <w:vAlign w:val="center"/>
          </w:tcPr>
          <w:p>
            <w:pPr>
              <w:topLinePunct/>
              <w:autoSpaceDE w:val="0"/>
              <w:autoSpaceDN w:val="0"/>
              <w:adjustRightInd w:val="0"/>
              <w:snapToGrid w:val="0"/>
              <w:spacing w:line="320" w:lineRule="exact"/>
              <w:rPr>
                <w:szCs w:val="21"/>
              </w:rPr>
            </w:pPr>
            <w:r>
              <w:rPr>
                <w:szCs w:val="21"/>
              </w:rPr>
              <w:t>破坏后果严重；工程地质条件较复杂；</w:t>
            </w:r>
            <w:r>
              <w:rPr>
                <w:rFonts w:hint="eastAsia"/>
                <w:szCs w:val="21"/>
              </w:rPr>
              <w:t>水文地质</w:t>
            </w:r>
            <w:r>
              <w:rPr>
                <w:szCs w:val="21"/>
              </w:rPr>
              <w:t>条件较复杂、地下水</w:t>
            </w:r>
            <w:r>
              <w:rPr>
                <w:rFonts w:hint="eastAsia"/>
                <w:szCs w:val="21"/>
              </w:rPr>
              <w:t>埋藏较浅</w:t>
            </w:r>
            <w:r>
              <w:rPr>
                <w:szCs w:val="21"/>
              </w:rPr>
              <w:t>、对施工影响较严重；基坑工程的环境保护等级为二级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235" w:type="dxa"/>
            <w:vAlign w:val="center"/>
          </w:tcPr>
          <w:p>
            <w:pPr>
              <w:topLinePunct/>
              <w:autoSpaceDE w:val="0"/>
              <w:autoSpaceDN w:val="0"/>
              <w:adjustRightInd w:val="0"/>
              <w:snapToGrid w:val="0"/>
              <w:spacing w:line="360" w:lineRule="auto"/>
              <w:jc w:val="center"/>
              <w:rPr>
                <w:szCs w:val="21"/>
              </w:rPr>
            </w:pPr>
            <w:r>
              <w:rPr>
                <w:szCs w:val="21"/>
              </w:rPr>
              <w:t>三级</w:t>
            </w:r>
          </w:p>
        </w:tc>
        <w:tc>
          <w:tcPr>
            <w:tcW w:w="8336" w:type="dxa"/>
            <w:vAlign w:val="center"/>
          </w:tcPr>
          <w:p>
            <w:pPr>
              <w:topLinePunct/>
              <w:autoSpaceDE w:val="0"/>
              <w:autoSpaceDN w:val="0"/>
              <w:adjustRightInd w:val="0"/>
              <w:snapToGrid w:val="0"/>
              <w:spacing w:line="320" w:lineRule="exact"/>
              <w:rPr>
                <w:szCs w:val="21"/>
              </w:rPr>
            </w:pPr>
            <w:r>
              <w:rPr>
                <w:szCs w:val="21"/>
              </w:rPr>
              <w:t>破坏后果不严重；</w:t>
            </w:r>
            <w:r>
              <w:rPr>
                <w:rFonts w:hint="eastAsia"/>
                <w:szCs w:val="21"/>
              </w:rPr>
              <w:t>水文地质</w:t>
            </w:r>
            <w:r>
              <w:rPr>
                <w:szCs w:val="21"/>
              </w:rPr>
              <w:t>条件简单</w:t>
            </w:r>
            <w:r>
              <w:rPr>
                <w:rFonts w:hint="eastAsia"/>
                <w:szCs w:val="21"/>
              </w:rPr>
              <w:t>、</w:t>
            </w:r>
            <w:r>
              <w:rPr>
                <w:szCs w:val="21"/>
              </w:rPr>
              <w:t>地下水</w:t>
            </w:r>
            <w:r>
              <w:rPr>
                <w:rFonts w:hint="eastAsia"/>
                <w:szCs w:val="21"/>
              </w:rPr>
              <w:t>埋藏深</w:t>
            </w:r>
            <w:r>
              <w:rPr>
                <w:szCs w:val="21"/>
              </w:rPr>
              <w:t>，对施工影响轻微；基坑工程的环境保护等级为三级</w:t>
            </w:r>
          </w:p>
        </w:tc>
      </w:tr>
    </w:tbl>
    <w:p>
      <w:pPr>
        <w:pStyle w:val="24"/>
        <w:topLinePunct/>
        <w:autoSpaceDE w:val="0"/>
        <w:autoSpaceDN w:val="0"/>
        <w:adjustRightInd w:val="0"/>
        <w:snapToGrid w:val="0"/>
        <w:spacing w:line="360" w:lineRule="auto"/>
        <w:ind w:firstLine="420" w:firstLineChars="200"/>
        <w:rPr>
          <w:kern w:val="2"/>
          <w:sz w:val="21"/>
          <w:szCs w:val="21"/>
        </w:rPr>
      </w:pPr>
      <w:r>
        <w:rPr>
          <w:sz w:val="21"/>
          <w:szCs w:val="21"/>
        </w:rPr>
        <w:t>注：从一级开始，有两项（含两项）以上，最先符合该等级标准者，即可定为该等级。</w:t>
      </w:r>
    </w:p>
    <w:p>
      <w:pPr>
        <w:pStyle w:val="24"/>
        <w:topLinePunct/>
        <w:autoSpaceDE w:val="0"/>
        <w:autoSpaceDN w:val="0"/>
        <w:adjustRightInd w:val="0"/>
        <w:snapToGrid w:val="0"/>
        <w:spacing w:line="360" w:lineRule="auto"/>
        <w:rPr>
          <w:kern w:val="2"/>
        </w:rPr>
      </w:pPr>
      <w:r>
        <w:rPr>
          <w:b/>
          <w:color w:val="000000"/>
          <w:shd w:val="clear" w:color="auto" w:fill="FFFFFF"/>
        </w:rPr>
        <w:t>3.2.1</w:t>
      </w:r>
      <w:r>
        <w:rPr>
          <w:rFonts w:hint="eastAsia"/>
          <w:b/>
          <w:color w:val="000000"/>
          <w:shd w:val="clear" w:color="auto" w:fill="FFFFFF"/>
        </w:rPr>
        <w:t>3</w:t>
      </w:r>
      <w:r>
        <w:rPr>
          <w:color w:val="000000"/>
          <w:shd w:val="clear" w:color="auto" w:fill="FFFFFF"/>
        </w:rPr>
        <w:t xml:space="preserve">  </w:t>
      </w:r>
      <w:r>
        <w:rPr>
          <w:rFonts w:hint="eastAsia"/>
          <w:color w:val="000000"/>
          <w:shd w:val="clear" w:color="auto" w:fill="FFFFFF"/>
        </w:rPr>
        <w:t>周边</w:t>
      </w:r>
      <w:r>
        <w:rPr>
          <w:kern w:val="2"/>
        </w:rPr>
        <w:t>环境影响分析与保护技术要求</w:t>
      </w:r>
    </w:p>
    <w:p>
      <w:pPr>
        <w:pStyle w:val="24"/>
        <w:topLinePunct/>
        <w:autoSpaceDE w:val="0"/>
        <w:autoSpaceDN w:val="0"/>
        <w:adjustRightInd w:val="0"/>
        <w:snapToGrid w:val="0"/>
        <w:spacing w:line="360" w:lineRule="auto"/>
        <w:ind w:firstLine="480" w:firstLineChars="200"/>
        <w:rPr>
          <w:kern w:val="2"/>
        </w:rPr>
      </w:pPr>
      <w:r>
        <w:rPr>
          <w:kern w:val="2"/>
        </w:rPr>
        <w:t>1  基坑工程的设计除应满足稳定性和承载</w:t>
      </w:r>
      <w:r>
        <w:rPr>
          <w:rFonts w:hint="eastAsia"/>
          <w:kern w:val="2"/>
        </w:rPr>
        <w:t>能</w:t>
      </w:r>
      <w:r>
        <w:rPr>
          <w:kern w:val="2"/>
        </w:rPr>
        <w:t>力要求外，尚应满足基坑周</w:t>
      </w:r>
      <w:r>
        <w:rPr>
          <w:rFonts w:hint="eastAsia"/>
          <w:kern w:val="2"/>
        </w:rPr>
        <w:t>边</w:t>
      </w:r>
      <w:r>
        <w:rPr>
          <w:kern w:val="2"/>
        </w:rPr>
        <w:t>环境对变形的控制要求；</w:t>
      </w:r>
    </w:p>
    <w:p>
      <w:pPr>
        <w:pStyle w:val="24"/>
        <w:topLinePunct/>
        <w:autoSpaceDE w:val="0"/>
        <w:autoSpaceDN w:val="0"/>
        <w:adjustRightInd w:val="0"/>
        <w:snapToGrid w:val="0"/>
        <w:spacing w:line="360" w:lineRule="auto"/>
        <w:ind w:firstLine="480" w:firstLineChars="200"/>
        <w:rPr>
          <w:kern w:val="2"/>
        </w:rPr>
      </w:pPr>
      <w:r>
        <w:rPr>
          <w:kern w:val="2"/>
        </w:rPr>
        <w:t>2  应根据基坑周</w:t>
      </w:r>
      <w:r>
        <w:rPr>
          <w:rFonts w:hint="eastAsia"/>
          <w:kern w:val="2"/>
        </w:rPr>
        <w:t>边</w:t>
      </w:r>
      <w:r>
        <w:rPr>
          <w:kern w:val="2"/>
        </w:rPr>
        <w:t>的环境条件确定基坑的环境保护等级，采用相关方法预估基坑工程对周</w:t>
      </w:r>
      <w:r>
        <w:rPr>
          <w:rFonts w:hint="eastAsia"/>
          <w:kern w:val="2"/>
        </w:rPr>
        <w:t>边</w:t>
      </w:r>
      <w:r>
        <w:rPr>
          <w:kern w:val="2"/>
        </w:rPr>
        <w:t>环境可能产生的影响，并根据基坑周</w:t>
      </w:r>
      <w:r>
        <w:rPr>
          <w:rFonts w:hint="eastAsia"/>
          <w:kern w:val="2"/>
        </w:rPr>
        <w:t>边</w:t>
      </w:r>
      <w:r>
        <w:rPr>
          <w:kern w:val="2"/>
        </w:rPr>
        <w:t>环境对附加变形的承受能力确定基坑的变形控制</w:t>
      </w:r>
      <w:r>
        <w:rPr>
          <w:rFonts w:hint="eastAsia"/>
          <w:kern w:val="2"/>
        </w:rPr>
        <w:t>值</w:t>
      </w:r>
      <w:r>
        <w:rPr>
          <w:kern w:val="2"/>
        </w:rPr>
        <w:t>；</w:t>
      </w:r>
    </w:p>
    <w:p>
      <w:pPr>
        <w:pStyle w:val="24"/>
        <w:topLinePunct/>
        <w:autoSpaceDE w:val="0"/>
        <w:autoSpaceDN w:val="0"/>
        <w:adjustRightInd w:val="0"/>
        <w:snapToGrid w:val="0"/>
        <w:spacing w:line="360" w:lineRule="auto"/>
        <w:ind w:firstLine="480" w:firstLineChars="200"/>
        <w:rPr>
          <w:kern w:val="2"/>
        </w:rPr>
      </w:pPr>
      <w:r>
        <w:rPr>
          <w:kern w:val="2"/>
        </w:rPr>
        <w:t>3  当基坑周</w:t>
      </w:r>
      <w:r>
        <w:rPr>
          <w:rFonts w:hint="eastAsia"/>
          <w:kern w:val="2"/>
        </w:rPr>
        <w:t>边</w:t>
      </w:r>
      <w:r>
        <w:rPr>
          <w:kern w:val="2"/>
        </w:rPr>
        <w:t>环境没有明确的变形控制标准时，可根据基坑的环境保护等级参考表3.2.1</w:t>
      </w:r>
      <w:r>
        <w:rPr>
          <w:rFonts w:hint="eastAsia"/>
          <w:kern w:val="2"/>
        </w:rPr>
        <w:t>3</w:t>
      </w:r>
      <w:r>
        <w:rPr>
          <w:kern w:val="2"/>
        </w:rPr>
        <w:t>确定</w:t>
      </w:r>
      <w:r>
        <w:rPr>
          <w:rFonts w:hint="eastAsia"/>
          <w:kern w:val="2"/>
        </w:rPr>
        <w:t>；</w:t>
      </w:r>
    </w:p>
    <w:p>
      <w:pPr>
        <w:pStyle w:val="24"/>
        <w:topLinePunct/>
        <w:autoSpaceDE w:val="0"/>
        <w:autoSpaceDN w:val="0"/>
        <w:adjustRightInd w:val="0"/>
        <w:snapToGrid w:val="0"/>
        <w:spacing w:line="360" w:lineRule="auto"/>
        <w:ind w:firstLine="480" w:firstLineChars="200"/>
        <w:rPr>
          <w:kern w:val="2"/>
        </w:rPr>
      </w:pPr>
      <w:r>
        <w:rPr>
          <w:kern w:val="2"/>
        </w:rPr>
        <w:t>4  应从支护结构施工、降水及开挖三个方面分别采取相关措施减小对周</w:t>
      </w:r>
      <w:r>
        <w:rPr>
          <w:rFonts w:hint="eastAsia"/>
          <w:kern w:val="2"/>
        </w:rPr>
        <w:t>边</w:t>
      </w:r>
      <w:r>
        <w:rPr>
          <w:kern w:val="2"/>
        </w:rPr>
        <w:t>环境的影响，必要时可对被影响的建筑物及管线采取土体加固、结构托换、架空管线等防范措施；</w:t>
      </w:r>
    </w:p>
    <w:p>
      <w:pPr>
        <w:pStyle w:val="24"/>
        <w:topLinePunct/>
        <w:autoSpaceDE w:val="0"/>
        <w:autoSpaceDN w:val="0"/>
        <w:adjustRightInd w:val="0"/>
        <w:snapToGrid w:val="0"/>
        <w:spacing w:line="360" w:lineRule="auto"/>
        <w:ind w:firstLine="480" w:firstLineChars="200"/>
        <w:rPr>
          <w:kern w:val="2"/>
        </w:rPr>
      </w:pPr>
      <w:r>
        <w:rPr>
          <w:kern w:val="2"/>
        </w:rPr>
        <w:t>5  基坑工程实施过程中应结</w:t>
      </w:r>
      <w:r>
        <w:rPr>
          <w:rFonts w:hint="eastAsia"/>
          <w:kern w:val="2"/>
        </w:rPr>
        <w:t>合</w:t>
      </w:r>
      <w:r>
        <w:rPr>
          <w:kern w:val="2"/>
        </w:rPr>
        <w:t>周</w:t>
      </w:r>
      <w:r>
        <w:rPr>
          <w:rFonts w:hint="eastAsia"/>
          <w:kern w:val="2"/>
        </w:rPr>
        <w:t>边</w:t>
      </w:r>
      <w:r>
        <w:rPr>
          <w:kern w:val="2"/>
        </w:rPr>
        <w:t>环境进行全过程监测，根据监测实时提供的数据对设计和施工进行动态调整。</w:t>
      </w:r>
    </w:p>
    <w:p>
      <w:pPr>
        <w:pStyle w:val="24"/>
        <w:shd w:val="clear" w:color="auto" w:fill="FFFFFF"/>
        <w:topLinePunct/>
        <w:autoSpaceDE w:val="0"/>
        <w:autoSpaceDN w:val="0"/>
        <w:adjustRightInd w:val="0"/>
        <w:spacing w:line="360" w:lineRule="auto"/>
        <w:jc w:val="center"/>
        <w:rPr>
          <w:b/>
          <w:bCs/>
          <w:color w:val="000000"/>
          <w:shd w:val="clear" w:color="auto" w:fill="FFFFFF"/>
        </w:rPr>
      </w:pPr>
      <w:r>
        <w:rPr>
          <w:b/>
          <w:bCs/>
          <w:color w:val="000000"/>
          <w:shd w:val="clear" w:color="auto" w:fill="FFFFFF"/>
        </w:rPr>
        <w:t>表3.2.1</w:t>
      </w:r>
      <w:r>
        <w:rPr>
          <w:rFonts w:hint="eastAsia"/>
          <w:b/>
          <w:bCs/>
          <w:color w:val="000000"/>
          <w:shd w:val="clear" w:color="auto" w:fill="FFFFFF"/>
        </w:rPr>
        <w:t>3</w:t>
      </w:r>
      <w:r>
        <w:rPr>
          <w:b/>
          <w:bCs/>
          <w:color w:val="000000"/>
          <w:shd w:val="clear" w:color="auto" w:fill="FFFFFF"/>
        </w:rPr>
        <w:t xml:space="preserve">  基坑工程</w:t>
      </w:r>
      <w:r>
        <w:rPr>
          <w:rFonts w:hint="eastAsia"/>
          <w:b/>
          <w:bCs/>
          <w:color w:val="000000"/>
          <w:shd w:val="clear" w:color="auto" w:fill="FFFFFF"/>
        </w:rPr>
        <w:t>变形</w:t>
      </w:r>
      <w:r>
        <w:rPr>
          <w:b/>
          <w:bCs/>
          <w:color w:val="000000"/>
          <w:shd w:val="clear" w:color="auto" w:fill="FFFFFF"/>
        </w:rPr>
        <w:t>控制标准</w:t>
      </w:r>
    </w:p>
    <w:tbl>
      <w:tblPr>
        <w:tblStyle w:val="26"/>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407"/>
        <w:gridCol w:w="1223"/>
        <w:gridCol w:w="1407"/>
        <w:gridCol w:w="1223"/>
        <w:gridCol w:w="1407"/>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683" w:type="dxa"/>
            <w:vMerge w:val="restart"/>
            <w:shd w:val="clear" w:color="auto" w:fill="auto"/>
            <w:vAlign w:val="center"/>
          </w:tcPr>
          <w:p>
            <w:pPr>
              <w:pStyle w:val="24"/>
              <w:topLinePunct/>
              <w:autoSpaceDE w:val="0"/>
              <w:autoSpaceDN w:val="0"/>
              <w:adjustRightInd w:val="0"/>
              <w:snapToGrid w:val="0"/>
              <w:jc w:val="center"/>
              <w:rPr>
                <w:sz w:val="21"/>
                <w:szCs w:val="21"/>
                <w:shd w:val="clear" w:color="auto" w:fill="FFFFFF"/>
              </w:rPr>
            </w:pPr>
            <w:r>
              <w:rPr>
                <w:sz w:val="21"/>
                <w:szCs w:val="21"/>
                <w:shd w:val="clear" w:color="auto" w:fill="FFFFFF"/>
              </w:rPr>
              <w:t>监测项目</w:t>
            </w:r>
          </w:p>
          <w:p>
            <w:pPr>
              <w:pStyle w:val="24"/>
              <w:topLinePunct/>
              <w:autoSpaceDE w:val="0"/>
              <w:autoSpaceDN w:val="0"/>
              <w:adjustRightInd w:val="0"/>
              <w:snapToGrid w:val="0"/>
              <w:jc w:val="center"/>
              <w:rPr>
                <w:sz w:val="21"/>
                <w:szCs w:val="21"/>
                <w:shd w:val="clear" w:color="auto" w:fill="FFFFFF"/>
              </w:rPr>
            </w:pPr>
            <w:r>
              <w:rPr>
                <w:sz w:val="21"/>
                <w:szCs w:val="21"/>
                <w:shd w:val="clear" w:color="auto" w:fill="FFFFFF"/>
              </w:rPr>
              <w:t>基坑工程等级</w:t>
            </w:r>
          </w:p>
        </w:tc>
        <w:tc>
          <w:tcPr>
            <w:tcW w:w="2630" w:type="dxa"/>
            <w:gridSpan w:val="2"/>
            <w:shd w:val="clear" w:color="auto" w:fill="auto"/>
            <w:vAlign w:val="center"/>
          </w:tcPr>
          <w:p>
            <w:pPr>
              <w:pStyle w:val="24"/>
              <w:topLinePunct/>
              <w:autoSpaceDE w:val="0"/>
              <w:autoSpaceDN w:val="0"/>
              <w:adjustRightInd w:val="0"/>
              <w:jc w:val="center"/>
              <w:rPr>
                <w:sz w:val="21"/>
                <w:szCs w:val="21"/>
                <w:shd w:val="clear" w:color="auto" w:fill="FFFFFF"/>
              </w:rPr>
            </w:pPr>
            <w:r>
              <w:rPr>
                <w:sz w:val="21"/>
                <w:szCs w:val="21"/>
                <w:shd w:val="clear" w:color="auto" w:fill="FFFFFF"/>
              </w:rPr>
              <w:t>一级</w:t>
            </w:r>
          </w:p>
        </w:tc>
        <w:tc>
          <w:tcPr>
            <w:tcW w:w="2630" w:type="dxa"/>
            <w:gridSpan w:val="2"/>
            <w:shd w:val="clear" w:color="auto" w:fill="auto"/>
            <w:vAlign w:val="center"/>
          </w:tcPr>
          <w:p>
            <w:pPr>
              <w:pStyle w:val="24"/>
              <w:topLinePunct/>
              <w:autoSpaceDE w:val="0"/>
              <w:autoSpaceDN w:val="0"/>
              <w:adjustRightInd w:val="0"/>
              <w:jc w:val="center"/>
              <w:rPr>
                <w:sz w:val="21"/>
                <w:szCs w:val="21"/>
                <w:shd w:val="clear" w:color="auto" w:fill="FFFFFF"/>
              </w:rPr>
            </w:pPr>
            <w:r>
              <w:rPr>
                <w:sz w:val="21"/>
                <w:szCs w:val="21"/>
                <w:shd w:val="clear" w:color="auto" w:fill="FFFFFF"/>
              </w:rPr>
              <w:t>二级</w:t>
            </w:r>
          </w:p>
        </w:tc>
        <w:tc>
          <w:tcPr>
            <w:tcW w:w="2628" w:type="dxa"/>
            <w:gridSpan w:val="2"/>
            <w:shd w:val="clear" w:color="auto" w:fill="auto"/>
            <w:vAlign w:val="center"/>
          </w:tcPr>
          <w:p>
            <w:pPr>
              <w:pStyle w:val="24"/>
              <w:topLinePunct/>
              <w:autoSpaceDE w:val="0"/>
              <w:autoSpaceDN w:val="0"/>
              <w:adjustRightInd w:val="0"/>
              <w:jc w:val="center"/>
              <w:rPr>
                <w:sz w:val="21"/>
                <w:szCs w:val="21"/>
                <w:shd w:val="clear" w:color="auto" w:fill="FFFFFF"/>
              </w:rPr>
            </w:pPr>
            <w:r>
              <w:rPr>
                <w:sz w:val="21"/>
                <w:szCs w:val="21"/>
                <w:shd w:val="clear" w:color="auto" w:fill="FFFFFF"/>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683" w:type="dxa"/>
            <w:vMerge w:val="continue"/>
            <w:shd w:val="clear" w:color="auto" w:fill="auto"/>
            <w:vAlign w:val="center"/>
          </w:tcPr>
          <w:p>
            <w:pPr>
              <w:pStyle w:val="24"/>
              <w:topLinePunct/>
              <w:autoSpaceDE w:val="0"/>
              <w:autoSpaceDN w:val="0"/>
              <w:adjustRightInd w:val="0"/>
              <w:jc w:val="center"/>
              <w:rPr>
                <w:color w:val="000000"/>
                <w:sz w:val="21"/>
                <w:szCs w:val="21"/>
                <w:shd w:val="clear" w:color="auto" w:fill="FFFFFF"/>
              </w:rPr>
            </w:pPr>
          </w:p>
        </w:tc>
        <w:tc>
          <w:tcPr>
            <w:tcW w:w="1407"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变化速率（mm/d）</w:t>
            </w:r>
          </w:p>
        </w:tc>
        <w:tc>
          <w:tcPr>
            <w:tcW w:w="1223"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累计值（mm）</w:t>
            </w:r>
          </w:p>
        </w:tc>
        <w:tc>
          <w:tcPr>
            <w:tcW w:w="1407"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变化速率（mm/d）</w:t>
            </w:r>
          </w:p>
        </w:tc>
        <w:tc>
          <w:tcPr>
            <w:tcW w:w="1223"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累计值（mm）</w:t>
            </w:r>
          </w:p>
        </w:tc>
        <w:tc>
          <w:tcPr>
            <w:tcW w:w="1407"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变化速率（mm/d）</w:t>
            </w:r>
          </w:p>
        </w:tc>
        <w:tc>
          <w:tcPr>
            <w:tcW w:w="1221"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累计值（mm）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exact"/>
        </w:trPr>
        <w:tc>
          <w:tcPr>
            <w:tcW w:w="1683"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rFonts w:hint="eastAsia"/>
                <w:color w:val="000000"/>
                <w:sz w:val="21"/>
                <w:szCs w:val="21"/>
                <w:shd w:val="clear" w:color="auto" w:fill="FFFFFF"/>
              </w:rPr>
              <w:t>支</w:t>
            </w:r>
            <w:r>
              <w:rPr>
                <w:color w:val="000000"/>
                <w:sz w:val="21"/>
                <w:szCs w:val="21"/>
                <w:shd w:val="clear" w:color="auto" w:fill="FFFFFF"/>
              </w:rPr>
              <w:t>护</w:t>
            </w:r>
            <w:r>
              <w:rPr>
                <w:rFonts w:hint="eastAsia"/>
                <w:color w:val="000000"/>
                <w:sz w:val="21"/>
                <w:szCs w:val="21"/>
                <w:shd w:val="clear" w:color="auto" w:fill="FFFFFF"/>
              </w:rPr>
              <w:t>结构</w:t>
            </w:r>
            <w:r>
              <w:rPr>
                <w:color w:val="000000"/>
                <w:sz w:val="21"/>
                <w:szCs w:val="21"/>
                <w:shd w:val="clear" w:color="auto" w:fill="FFFFFF"/>
              </w:rPr>
              <w:t>侧向最大位移</w:t>
            </w:r>
          </w:p>
        </w:tc>
        <w:tc>
          <w:tcPr>
            <w:tcW w:w="1407" w:type="dxa"/>
            <w:vMerge w:val="restart"/>
            <w:shd w:val="clear" w:color="auto" w:fill="auto"/>
            <w:vAlign w:val="center"/>
          </w:tcPr>
          <w:p>
            <w:pPr>
              <w:pStyle w:val="24"/>
              <w:topLinePunct/>
              <w:autoSpaceDE w:val="0"/>
              <w:autoSpaceDN w:val="0"/>
              <w:adjustRightInd w:val="0"/>
              <w:jc w:val="center"/>
              <w:rPr>
                <w:color w:val="000000"/>
                <w:sz w:val="21"/>
                <w:szCs w:val="21"/>
                <w:shd w:val="clear" w:color="auto" w:fill="FFFFFF"/>
              </w:rPr>
            </w:pPr>
            <w:r>
              <w:rPr>
                <w:rFonts w:hint="eastAsia"/>
                <w:color w:val="000000"/>
                <w:sz w:val="21"/>
                <w:szCs w:val="21"/>
                <w:shd w:val="clear" w:color="auto" w:fill="FFFFFF"/>
              </w:rPr>
              <w:t>3</w:t>
            </w:r>
            <w:r>
              <w:rPr>
                <w:sz w:val="21"/>
                <w:szCs w:val="21"/>
              </w:rPr>
              <w:t>～</w:t>
            </w:r>
            <w:r>
              <w:rPr>
                <w:rFonts w:hint="eastAsia"/>
                <w:sz w:val="21"/>
                <w:szCs w:val="21"/>
              </w:rPr>
              <w:t>5</w:t>
            </w:r>
          </w:p>
        </w:tc>
        <w:tc>
          <w:tcPr>
            <w:tcW w:w="1223"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0.</w:t>
            </w:r>
            <w:r>
              <w:rPr>
                <w:rFonts w:hint="eastAsia"/>
                <w:color w:val="000000"/>
                <w:sz w:val="21"/>
                <w:szCs w:val="21"/>
                <w:shd w:val="clear" w:color="auto" w:fill="FFFFFF"/>
              </w:rPr>
              <w:t>30</w:t>
            </w:r>
            <w:r>
              <w:rPr>
                <w:color w:val="000000"/>
                <w:sz w:val="21"/>
                <w:szCs w:val="21"/>
                <w:shd w:val="clear" w:color="auto" w:fill="FFFFFF"/>
              </w:rPr>
              <w:t>%H</w:t>
            </w:r>
          </w:p>
        </w:tc>
        <w:tc>
          <w:tcPr>
            <w:tcW w:w="1407" w:type="dxa"/>
            <w:vMerge w:val="restart"/>
            <w:shd w:val="clear" w:color="auto" w:fill="auto"/>
            <w:vAlign w:val="center"/>
          </w:tcPr>
          <w:p>
            <w:pPr>
              <w:pStyle w:val="24"/>
              <w:topLinePunct/>
              <w:autoSpaceDE w:val="0"/>
              <w:autoSpaceDN w:val="0"/>
              <w:adjustRightInd w:val="0"/>
              <w:jc w:val="center"/>
              <w:rPr>
                <w:color w:val="000000"/>
                <w:sz w:val="21"/>
                <w:szCs w:val="21"/>
                <w:shd w:val="clear" w:color="auto" w:fill="FFFFFF"/>
              </w:rPr>
            </w:pPr>
            <w:r>
              <w:rPr>
                <w:rFonts w:hint="eastAsia"/>
                <w:color w:val="000000"/>
                <w:sz w:val="21"/>
                <w:szCs w:val="21"/>
                <w:shd w:val="clear" w:color="auto" w:fill="FFFFFF"/>
              </w:rPr>
              <w:t>5~8</w:t>
            </w:r>
          </w:p>
        </w:tc>
        <w:tc>
          <w:tcPr>
            <w:tcW w:w="1223"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0.</w:t>
            </w:r>
            <w:r>
              <w:rPr>
                <w:rFonts w:hint="eastAsia"/>
                <w:color w:val="000000"/>
                <w:sz w:val="21"/>
                <w:szCs w:val="21"/>
                <w:shd w:val="clear" w:color="auto" w:fill="FFFFFF"/>
              </w:rPr>
              <w:t>50</w:t>
            </w:r>
            <w:r>
              <w:rPr>
                <w:color w:val="000000"/>
                <w:sz w:val="21"/>
                <w:szCs w:val="21"/>
                <w:shd w:val="clear" w:color="auto" w:fill="FFFFFF"/>
              </w:rPr>
              <w:t>%H</w:t>
            </w:r>
          </w:p>
        </w:tc>
        <w:tc>
          <w:tcPr>
            <w:tcW w:w="1407" w:type="dxa"/>
            <w:vMerge w:val="restart"/>
            <w:shd w:val="clear" w:color="auto" w:fill="auto"/>
            <w:vAlign w:val="center"/>
          </w:tcPr>
          <w:p>
            <w:pPr>
              <w:pStyle w:val="24"/>
              <w:topLinePunct/>
              <w:autoSpaceDE w:val="0"/>
              <w:autoSpaceDN w:val="0"/>
              <w:adjustRightInd w:val="0"/>
              <w:jc w:val="center"/>
              <w:rPr>
                <w:color w:val="000000"/>
                <w:sz w:val="21"/>
                <w:szCs w:val="21"/>
                <w:shd w:val="clear" w:color="auto" w:fill="FFFFFF"/>
              </w:rPr>
            </w:pPr>
            <w:r>
              <w:rPr>
                <w:rFonts w:hint="eastAsia"/>
                <w:color w:val="000000"/>
                <w:sz w:val="21"/>
                <w:szCs w:val="21"/>
                <w:shd w:val="clear" w:color="auto" w:fill="FFFFFF"/>
              </w:rPr>
              <w:t>8~12</w:t>
            </w:r>
          </w:p>
        </w:tc>
        <w:tc>
          <w:tcPr>
            <w:tcW w:w="1221"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0.7%H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683"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地面最大沉降</w:t>
            </w:r>
          </w:p>
        </w:tc>
        <w:tc>
          <w:tcPr>
            <w:tcW w:w="1407" w:type="dxa"/>
            <w:vMerge w:val="continue"/>
            <w:shd w:val="clear" w:color="auto" w:fill="auto"/>
            <w:vAlign w:val="center"/>
          </w:tcPr>
          <w:p>
            <w:pPr>
              <w:pStyle w:val="24"/>
              <w:topLinePunct/>
              <w:autoSpaceDE w:val="0"/>
              <w:autoSpaceDN w:val="0"/>
              <w:adjustRightInd w:val="0"/>
              <w:jc w:val="center"/>
              <w:rPr>
                <w:color w:val="000000"/>
                <w:sz w:val="21"/>
                <w:szCs w:val="21"/>
                <w:shd w:val="clear" w:color="auto" w:fill="FFFFFF"/>
              </w:rPr>
            </w:pPr>
          </w:p>
        </w:tc>
        <w:tc>
          <w:tcPr>
            <w:tcW w:w="1223" w:type="dxa"/>
            <w:shd w:val="clear" w:color="auto" w:fill="auto"/>
            <w:vAlign w:val="center"/>
          </w:tcPr>
          <w:p>
            <w:pPr>
              <w:pStyle w:val="24"/>
              <w:topLinePunct/>
              <w:autoSpaceDE w:val="0"/>
              <w:autoSpaceDN w:val="0"/>
              <w:adjustRightInd w:val="0"/>
              <w:snapToGrid w:val="0"/>
              <w:jc w:val="center"/>
              <w:rPr>
                <w:color w:val="000000"/>
                <w:sz w:val="21"/>
                <w:szCs w:val="21"/>
                <w:shd w:val="clear" w:color="auto" w:fill="FFFFFF"/>
              </w:rPr>
            </w:pPr>
            <w:r>
              <w:rPr>
                <w:color w:val="000000"/>
                <w:sz w:val="21"/>
                <w:szCs w:val="21"/>
                <w:shd w:val="clear" w:color="auto" w:fill="FFFFFF"/>
              </w:rPr>
              <w:t>0.</w:t>
            </w:r>
            <w:r>
              <w:rPr>
                <w:rFonts w:hint="eastAsia"/>
                <w:color w:val="000000"/>
                <w:sz w:val="21"/>
                <w:szCs w:val="21"/>
                <w:shd w:val="clear" w:color="auto" w:fill="FFFFFF"/>
              </w:rPr>
              <w:t>25</w:t>
            </w:r>
            <w:r>
              <w:rPr>
                <w:color w:val="000000"/>
                <w:sz w:val="21"/>
                <w:szCs w:val="21"/>
                <w:shd w:val="clear" w:color="auto" w:fill="FFFFFF"/>
              </w:rPr>
              <w:t>%H</w:t>
            </w:r>
          </w:p>
        </w:tc>
        <w:tc>
          <w:tcPr>
            <w:tcW w:w="1407" w:type="dxa"/>
            <w:vMerge w:val="continue"/>
            <w:shd w:val="clear" w:color="auto" w:fill="auto"/>
            <w:vAlign w:val="center"/>
          </w:tcPr>
          <w:p>
            <w:pPr>
              <w:pStyle w:val="24"/>
              <w:topLinePunct/>
              <w:autoSpaceDE w:val="0"/>
              <w:autoSpaceDN w:val="0"/>
              <w:adjustRightInd w:val="0"/>
              <w:jc w:val="center"/>
              <w:rPr>
                <w:color w:val="000000"/>
                <w:sz w:val="21"/>
                <w:szCs w:val="21"/>
                <w:shd w:val="clear" w:color="auto" w:fill="FFFFFF"/>
              </w:rPr>
            </w:pPr>
          </w:p>
        </w:tc>
        <w:tc>
          <w:tcPr>
            <w:tcW w:w="1223"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0.</w:t>
            </w:r>
            <w:r>
              <w:rPr>
                <w:rFonts w:hint="eastAsia"/>
                <w:color w:val="000000"/>
                <w:sz w:val="21"/>
                <w:szCs w:val="21"/>
                <w:shd w:val="clear" w:color="auto" w:fill="FFFFFF"/>
              </w:rPr>
              <w:t>40</w:t>
            </w:r>
            <w:r>
              <w:rPr>
                <w:color w:val="000000"/>
                <w:sz w:val="21"/>
                <w:szCs w:val="21"/>
                <w:shd w:val="clear" w:color="auto" w:fill="FFFFFF"/>
              </w:rPr>
              <w:t>%H</w:t>
            </w:r>
          </w:p>
        </w:tc>
        <w:tc>
          <w:tcPr>
            <w:tcW w:w="1407" w:type="dxa"/>
            <w:vMerge w:val="continue"/>
            <w:shd w:val="clear" w:color="auto" w:fill="auto"/>
            <w:vAlign w:val="center"/>
          </w:tcPr>
          <w:p>
            <w:pPr>
              <w:pStyle w:val="24"/>
              <w:topLinePunct/>
              <w:autoSpaceDE w:val="0"/>
              <w:autoSpaceDN w:val="0"/>
              <w:adjustRightInd w:val="0"/>
              <w:jc w:val="center"/>
              <w:rPr>
                <w:color w:val="000000"/>
                <w:sz w:val="21"/>
                <w:szCs w:val="21"/>
                <w:shd w:val="clear" w:color="auto" w:fill="FFFFFF"/>
              </w:rPr>
            </w:pPr>
          </w:p>
        </w:tc>
        <w:tc>
          <w:tcPr>
            <w:tcW w:w="1221"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0.55%H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683" w:type="dxa"/>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地下水位变化</w:t>
            </w:r>
          </w:p>
        </w:tc>
        <w:tc>
          <w:tcPr>
            <w:tcW w:w="7888" w:type="dxa"/>
            <w:gridSpan w:val="6"/>
            <w:shd w:val="clear" w:color="auto" w:fill="auto"/>
            <w:vAlign w:val="center"/>
          </w:tcPr>
          <w:p>
            <w:pPr>
              <w:pStyle w:val="24"/>
              <w:topLinePunct/>
              <w:autoSpaceDE w:val="0"/>
              <w:autoSpaceDN w:val="0"/>
              <w:adjustRightInd w:val="0"/>
              <w:jc w:val="center"/>
              <w:rPr>
                <w:color w:val="000000"/>
                <w:sz w:val="21"/>
                <w:szCs w:val="21"/>
                <w:shd w:val="clear" w:color="auto" w:fill="FFFFFF"/>
              </w:rPr>
            </w:pPr>
            <w:r>
              <w:rPr>
                <w:color w:val="000000"/>
                <w:sz w:val="21"/>
                <w:szCs w:val="21"/>
                <w:shd w:val="clear" w:color="auto" w:fill="FFFFFF"/>
              </w:rPr>
              <w:t>变化速率（mm/d）：300，累计值（mm）：1000</w:t>
            </w:r>
          </w:p>
        </w:tc>
      </w:tr>
    </w:tbl>
    <w:p>
      <w:pPr>
        <w:pStyle w:val="24"/>
        <w:shd w:val="clear" w:color="auto" w:fill="FFFFFF"/>
        <w:topLinePunct/>
        <w:autoSpaceDE w:val="0"/>
        <w:autoSpaceDN w:val="0"/>
        <w:adjustRightInd w:val="0"/>
        <w:rPr>
          <w:color w:val="000000"/>
          <w:sz w:val="21"/>
          <w:szCs w:val="21"/>
          <w:shd w:val="clear" w:color="auto" w:fill="FFFFFF"/>
        </w:rPr>
      </w:pPr>
      <w:r>
        <w:rPr>
          <w:color w:val="000000"/>
          <w:sz w:val="21"/>
          <w:szCs w:val="21"/>
          <w:shd w:val="clear" w:color="auto" w:fill="FFFFFF"/>
        </w:rPr>
        <w:t>注：1  H 为基坑开挖深度（m）；</w:t>
      </w:r>
    </w:p>
    <w:p>
      <w:pPr>
        <w:pStyle w:val="24"/>
        <w:shd w:val="clear" w:color="auto" w:fill="FFFFFF"/>
        <w:topLinePunct/>
        <w:autoSpaceDE w:val="0"/>
        <w:autoSpaceDN w:val="0"/>
        <w:adjustRightInd w:val="0"/>
        <w:ind w:firstLine="420" w:firstLineChars="200"/>
        <w:rPr>
          <w:color w:val="000000"/>
          <w:sz w:val="21"/>
          <w:szCs w:val="21"/>
          <w:shd w:val="clear" w:color="auto" w:fill="FFFFFF"/>
        </w:rPr>
      </w:pPr>
      <w:r>
        <w:rPr>
          <w:color w:val="000000"/>
          <w:sz w:val="21"/>
          <w:szCs w:val="21"/>
          <w:shd w:val="clear" w:color="auto" w:fill="FFFFFF"/>
        </w:rPr>
        <w:t>2  变形控制标准可按基坑各边、各段情况分别确定</w:t>
      </w:r>
      <w:r>
        <w:rPr>
          <w:rFonts w:hint="eastAsia"/>
          <w:color w:val="000000"/>
          <w:sz w:val="21"/>
          <w:szCs w:val="21"/>
          <w:shd w:val="clear" w:color="auto" w:fill="FFFFFF"/>
        </w:rPr>
        <w:t>；</w:t>
      </w:r>
    </w:p>
    <w:p>
      <w:pPr>
        <w:pStyle w:val="24"/>
        <w:shd w:val="clear" w:color="auto" w:fill="FFFFFF"/>
        <w:topLinePunct/>
        <w:autoSpaceDE w:val="0"/>
        <w:autoSpaceDN w:val="0"/>
        <w:adjustRightInd w:val="0"/>
        <w:ind w:firstLine="420" w:firstLineChars="200"/>
        <w:rPr>
          <w:color w:val="000000"/>
          <w:sz w:val="21"/>
          <w:szCs w:val="21"/>
          <w:shd w:val="clear" w:color="auto" w:fill="FFFFFF"/>
        </w:rPr>
      </w:pPr>
      <w:r>
        <w:rPr>
          <w:color w:val="000000"/>
          <w:sz w:val="21"/>
          <w:szCs w:val="21"/>
          <w:shd w:val="clear" w:color="auto" w:fill="FFFFFF"/>
        </w:rPr>
        <w:t xml:space="preserve">3  </w:t>
      </w:r>
      <w:r>
        <w:rPr>
          <w:rFonts w:hint="eastAsia"/>
          <w:color w:val="000000"/>
          <w:sz w:val="21"/>
          <w:szCs w:val="21"/>
          <w:shd w:val="clear" w:color="auto" w:fill="FFFFFF"/>
        </w:rPr>
        <w:t>变形要求严格的</w:t>
      </w:r>
      <w:r>
        <w:rPr>
          <w:color w:val="000000"/>
          <w:sz w:val="21"/>
          <w:szCs w:val="21"/>
          <w:shd w:val="clear" w:color="auto" w:fill="FFFFFF"/>
        </w:rPr>
        <w:t>取小值。</w:t>
      </w:r>
    </w:p>
    <w:p>
      <w:pPr>
        <w:pStyle w:val="24"/>
        <w:shd w:val="clear" w:color="auto" w:fill="FFFFFF"/>
        <w:topLinePunct/>
        <w:autoSpaceDE w:val="0"/>
        <w:autoSpaceDN w:val="0"/>
        <w:adjustRightInd w:val="0"/>
        <w:snapToGrid w:val="0"/>
        <w:spacing w:line="360" w:lineRule="auto"/>
        <w:rPr>
          <w:color w:val="FF0000"/>
          <w:shd w:val="clear" w:color="auto" w:fill="FFFFFF"/>
        </w:rPr>
      </w:pPr>
      <w:r>
        <w:rPr>
          <w:b/>
          <w:color w:val="000000"/>
          <w:shd w:val="clear" w:color="auto" w:fill="FFFFFF"/>
        </w:rPr>
        <w:t>3.2.1</w:t>
      </w:r>
      <w:r>
        <w:rPr>
          <w:rFonts w:hint="eastAsia"/>
          <w:b/>
          <w:color w:val="000000"/>
          <w:shd w:val="clear" w:color="auto" w:fill="FFFFFF"/>
        </w:rPr>
        <w:t>4</w:t>
      </w:r>
      <w:r>
        <w:rPr>
          <w:color w:val="000000"/>
          <w:shd w:val="clear" w:color="auto" w:fill="FFFFFF"/>
        </w:rPr>
        <w:t xml:space="preserve">  当设计有指标时，</w:t>
      </w:r>
      <w:r>
        <w:rPr>
          <w:rFonts w:hint="eastAsia"/>
          <w:color w:val="000000"/>
          <w:shd w:val="clear" w:color="auto" w:fill="FFFFFF"/>
        </w:rPr>
        <w:t>基坑变形控制值</w:t>
      </w:r>
      <w:r>
        <w:rPr>
          <w:color w:val="000000"/>
          <w:shd w:val="clear" w:color="auto" w:fill="FFFFFF"/>
        </w:rPr>
        <w:t>以设计要求为依据，无设计指标时</w:t>
      </w:r>
      <w:r>
        <w:rPr>
          <w:rFonts w:hint="eastAsia"/>
          <w:color w:val="000000"/>
          <w:shd w:val="clear" w:color="auto" w:fill="FFFFFF"/>
        </w:rPr>
        <w:t>可参照</w:t>
      </w:r>
      <w:r>
        <w:rPr>
          <w:color w:val="000000"/>
          <w:shd w:val="clear" w:color="auto" w:fill="FFFFFF"/>
        </w:rPr>
        <w:t>表3.2.1</w:t>
      </w:r>
      <w:r>
        <w:rPr>
          <w:rFonts w:hint="eastAsia"/>
          <w:color w:val="000000"/>
          <w:shd w:val="clear" w:color="auto" w:fill="FFFFFF"/>
        </w:rPr>
        <w:t>4</w:t>
      </w:r>
      <w:r>
        <w:rPr>
          <w:color w:val="000000"/>
          <w:shd w:val="clear" w:color="auto" w:fill="FFFFFF"/>
        </w:rPr>
        <w:t>执行。</w:t>
      </w:r>
    </w:p>
    <w:p>
      <w:pPr>
        <w:pStyle w:val="24"/>
        <w:shd w:val="clear" w:color="auto" w:fill="FFFFFF"/>
        <w:topLinePunct/>
        <w:autoSpaceDE w:val="0"/>
        <w:autoSpaceDN w:val="0"/>
        <w:adjustRightInd w:val="0"/>
        <w:snapToGrid w:val="0"/>
        <w:spacing w:line="360" w:lineRule="auto"/>
        <w:jc w:val="center"/>
        <w:rPr>
          <w:b/>
          <w:bCs/>
          <w:color w:val="FF0000"/>
          <w:shd w:val="clear" w:color="auto" w:fill="FFFFFF"/>
        </w:rPr>
      </w:pPr>
      <w:r>
        <w:rPr>
          <w:b/>
          <w:bCs/>
          <w:color w:val="000000"/>
          <w:shd w:val="clear" w:color="auto" w:fill="FFFFFF"/>
        </w:rPr>
        <w:t>表3.2.1</w:t>
      </w:r>
      <w:r>
        <w:rPr>
          <w:rFonts w:hint="eastAsia"/>
          <w:b/>
          <w:bCs/>
          <w:color w:val="000000"/>
          <w:shd w:val="clear" w:color="auto" w:fill="FFFFFF"/>
        </w:rPr>
        <w:t>4</w:t>
      </w:r>
      <w:r>
        <w:rPr>
          <w:b/>
          <w:bCs/>
          <w:color w:val="000000"/>
          <w:shd w:val="clear" w:color="auto" w:fill="FFFFFF"/>
        </w:rPr>
        <w:t xml:space="preserve">  基坑变形控</w:t>
      </w:r>
      <w:r>
        <w:rPr>
          <w:rFonts w:hint="eastAsia"/>
          <w:b/>
          <w:bCs/>
          <w:color w:val="000000"/>
          <w:shd w:val="clear" w:color="auto" w:fill="FFFFFF"/>
        </w:rPr>
        <w:t>制参考</w:t>
      </w:r>
      <w:r>
        <w:rPr>
          <w:b/>
          <w:bCs/>
          <w:color w:val="000000"/>
          <w:shd w:val="clear" w:color="auto" w:fill="FFFFFF"/>
        </w:rPr>
        <w:t>值</w:t>
      </w:r>
    </w:p>
    <w:tbl>
      <w:tblPr>
        <w:tblStyle w:val="26"/>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2617"/>
        <w:gridCol w:w="2896"/>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897"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基坑安全等级</w:t>
            </w:r>
          </w:p>
        </w:tc>
        <w:tc>
          <w:tcPr>
            <w:tcW w:w="2617"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rFonts w:hint="eastAsia"/>
                <w:sz w:val="21"/>
                <w:szCs w:val="21"/>
                <w:shd w:val="clear" w:color="auto" w:fill="FFFFFF"/>
              </w:rPr>
              <w:t>支</w:t>
            </w:r>
            <w:r>
              <w:rPr>
                <w:sz w:val="21"/>
                <w:szCs w:val="21"/>
                <w:shd w:val="clear" w:color="auto" w:fill="FFFFFF"/>
              </w:rPr>
              <w:t>护结构墙顶位移</w:t>
            </w:r>
          </w:p>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控</w:t>
            </w:r>
            <w:r>
              <w:rPr>
                <w:rFonts w:hint="eastAsia"/>
                <w:sz w:val="21"/>
                <w:szCs w:val="21"/>
                <w:shd w:val="clear" w:color="auto" w:fill="FFFFFF"/>
              </w:rPr>
              <w:t>制</w:t>
            </w:r>
            <w:r>
              <w:rPr>
                <w:sz w:val="21"/>
                <w:szCs w:val="21"/>
                <w:shd w:val="clear" w:color="auto" w:fill="FFFFFF"/>
              </w:rPr>
              <w:t>值</w:t>
            </w:r>
            <w:r>
              <w:rPr>
                <w:rFonts w:hint="eastAsia"/>
                <w:sz w:val="21"/>
                <w:szCs w:val="21"/>
                <w:shd w:val="clear" w:color="auto" w:fill="FFFFFF"/>
              </w:rPr>
              <w:t>（mm）</w:t>
            </w:r>
          </w:p>
        </w:tc>
        <w:tc>
          <w:tcPr>
            <w:tcW w:w="2896"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rFonts w:hint="eastAsia"/>
                <w:sz w:val="21"/>
                <w:szCs w:val="21"/>
                <w:shd w:val="clear" w:color="auto" w:fill="FFFFFF"/>
              </w:rPr>
              <w:t>支</w:t>
            </w:r>
            <w:r>
              <w:rPr>
                <w:sz w:val="21"/>
                <w:szCs w:val="21"/>
                <w:shd w:val="clear" w:color="auto" w:fill="FFFFFF"/>
              </w:rPr>
              <w:t>护结构墙体最大位移</w:t>
            </w:r>
          </w:p>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控</w:t>
            </w:r>
            <w:r>
              <w:rPr>
                <w:rFonts w:hint="eastAsia"/>
                <w:sz w:val="21"/>
                <w:szCs w:val="21"/>
                <w:shd w:val="clear" w:color="auto" w:fill="FFFFFF"/>
              </w:rPr>
              <w:t>制</w:t>
            </w:r>
            <w:r>
              <w:rPr>
                <w:sz w:val="21"/>
                <w:szCs w:val="21"/>
                <w:shd w:val="clear" w:color="auto" w:fill="FFFFFF"/>
              </w:rPr>
              <w:t>值</w:t>
            </w:r>
            <w:r>
              <w:rPr>
                <w:rFonts w:hint="eastAsia"/>
                <w:sz w:val="21"/>
                <w:szCs w:val="21"/>
                <w:shd w:val="clear" w:color="auto" w:fill="FFFFFF"/>
              </w:rPr>
              <w:t>（mm）</w:t>
            </w:r>
          </w:p>
        </w:tc>
        <w:tc>
          <w:tcPr>
            <w:tcW w:w="2161"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地面最大沉降</w:t>
            </w:r>
          </w:p>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控</w:t>
            </w:r>
            <w:r>
              <w:rPr>
                <w:rFonts w:hint="eastAsia"/>
                <w:sz w:val="21"/>
                <w:szCs w:val="21"/>
                <w:shd w:val="clear" w:color="auto" w:fill="FFFFFF"/>
              </w:rPr>
              <w:t>制</w:t>
            </w:r>
            <w:r>
              <w:rPr>
                <w:sz w:val="21"/>
                <w:szCs w:val="21"/>
                <w:shd w:val="clear" w:color="auto" w:fill="FFFFFF"/>
              </w:rPr>
              <w:t>值</w:t>
            </w:r>
            <w:r>
              <w:rPr>
                <w:rFonts w:hint="eastAsia"/>
                <w:sz w:val="21"/>
                <w:szCs w:val="21"/>
                <w:shd w:val="clear" w:color="auto" w:fill="FFFFFF"/>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97"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一级</w:t>
            </w:r>
          </w:p>
        </w:tc>
        <w:tc>
          <w:tcPr>
            <w:tcW w:w="2617"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30</w:t>
            </w:r>
          </w:p>
        </w:tc>
        <w:tc>
          <w:tcPr>
            <w:tcW w:w="2896"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50</w:t>
            </w:r>
          </w:p>
        </w:tc>
        <w:tc>
          <w:tcPr>
            <w:tcW w:w="2161"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rFonts w:hint="eastAsia"/>
                <w:sz w:val="21"/>
                <w:szCs w:val="21"/>
                <w:shd w:val="clear" w:color="auto" w:fill="FFFFFF"/>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97"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二级</w:t>
            </w:r>
          </w:p>
        </w:tc>
        <w:tc>
          <w:tcPr>
            <w:tcW w:w="2617"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rFonts w:hint="eastAsia"/>
                <w:sz w:val="21"/>
                <w:szCs w:val="21"/>
                <w:shd w:val="clear" w:color="auto" w:fill="FFFFFF"/>
              </w:rPr>
              <w:t>50</w:t>
            </w:r>
          </w:p>
        </w:tc>
        <w:tc>
          <w:tcPr>
            <w:tcW w:w="2896"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80</w:t>
            </w:r>
          </w:p>
        </w:tc>
        <w:tc>
          <w:tcPr>
            <w:tcW w:w="2161"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897"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三级</w:t>
            </w:r>
          </w:p>
        </w:tc>
        <w:tc>
          <w:tcPr>
            <w:tcW w:w="2617"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80</w:t>
            </w:r>
          </w:p>
        </w:tc>
        <w:tc>
          <w:tcPr>
            <w:tcW w:w="2896"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sz w:val="21"/>
                <w:szCs w:val="21"/>
                <w:shd w:val="clear" w:color="auto" w:fill="FFFFFF"/>
              </w:rPr>
              <w:t>100</w:t>
            </w:r>
          </w:p>
        </w:tc>
        <w:tc>
          <w:tcPr>
            <w:tcW w:w="2161" w:type="dxa"/>
            <w:vAlign w:val="center"/>
          </w:tcPr>
          <w:p>
            <w:pPr>
              <w:pStyle w:val="24"/>
              <w:topLinePunct/>
              <w:autoSpaceDE w:val="0"/>
              <w:autoSpaceDN w:val="0"/>
              <w:adjustRightInd w:val="0"/>
              <w:snapToGrid w:val="0"/>
              <w:spacing w:line="360" w:lineRule="auto"/>
              <w:jc w:val="center"/>
              <w:rPr>
                <w:sz w:val="21"/>
                <w:szCs w:val="21"/>
                <w:shd w:val="clear" w:color="auto" w:fill="FFFFFF"/>
              </w:rPr>
            </w:pPr>
            <w:r>
              <w:rPr>
                <w:rFonts w:hint="eastAsia"/>
                <w:sz w:val="21"/>
                <w:szCs w:val="21"/>
                <w:shd w:val="clear" w:color="auto" w:fill="FFFFFF"/>
              </w:rPr>
              <w:t>8</w:t>
            </w:r>
            <w:r>
              <w:rPr>
                <w:sz w:val="21"/>
                <w:szCs w:val="21"/>
                <w:shd w:val="clear" w:color="auto" w:fill="FFFFFF"/>
              </w:rPr>
              <w:t>0</w:t>
            </w:r>
          </w:p>
        </w:tc>
      </w:tr>
    </w:tbl>
    <w:p>
      <w:pPr>
        <w:topLinePunct/>
        <w:autoSpaceDE w:val="0"/>
        <w:autoSpaceDN w:val="0"/>
        <w:adjustRightInd w:val="0"/>
        <w:snapToGrid w:val="0"/>
        <w:spacing w:line="360" w:lineRule="auto"/>
        <w:rPr>
          <w:i/>
          <w:color w:val="0000CC"/>
          <w:sz w:val="24"/>
        </w:rPr>
      </w:pPr>
    </w:p>
    <w:p>
      <w:pPr>
        <w:widowControl/>
        <w:adjustRightInd w:val="0"/>
        <w:snapToGrid w:val="0"/>
        <w:spacing w:line="360" w:lineRule="auto"/>
        <w:ind w:firstLine="562" w:firstLineChars="200"/>
        <w:jc w:val="left"/>
        <w:rPr>
          <w:b/>
          <w:color w:val="0000CC"/>
          <w:sz w:val="28"/>
          <w:szCs w:val="28"/>
        </w:rPr>
        <w:sectPr>
          <w:pgSz w:w="11907" w:h="16840"/>
          <w:pgMar w:top="1418" w:right="1134" w:bottom="1134" w:left="1418" w:header="851" w:footer="851" w:gutter="0"/>
          <w:cols w:space="720" w:num="1"/>
          <w:docGrid w:linePitch="312" w:charSpace="0"/>
        </w:sectPr>
      </w:pPr>
    </w:p>
    <w:p>
      <w:pPr>
        <w:spacing w:line="360" w:lineRule="auto"/>
        <w:jc w:val="center"/>
        <w:outlineLvl w:val="0"/>
        <w:rPr>
          <w:b/>
          <w:sz w:val="28"/>
          <w:szCs w:val="28"/>
        </w:rPr>
      </w:pPr>
      <w:bookmarkStart w:id="17" w:name="_Toc87018253"/>
      <w:bookmarkStart w:id="18" w:name="_Toc87018322"/>
      <w:r>
        <w:rPr>
          <w:b/>
          <w:sz w:val="28"/>
          <w:szCs w:val="28"/>
        </w:rPr>
        <w:t>4  基坑工程勘察与</w:t>
      </w:r>
      <w:r>
        <w:rPr>
          <w:rFonts w:hint="eastAsia"/>
          <w:b/>
          <w:sz w:val="28"/>
          <w:szCs w:val="28"/>
        </w:rPr>
        <w:t>周边</w:t>
      </w:r>
      <w:r>
        <w:rPr>
          <w:b/>
          <w:sz w:val="28"/>
          <w:szCs w:val="28"/>
        </w:rPr>
        <w:t>环境调查</w:t>
      </w:r>
      <w:bookmarkEnd w:id="17"/>
      <w:bookmarkEnd w:id="18"/>
    </w:p>
    <w:p>
      <w:pPr>
        <w:spacing w:line="360" w:lineRule="auto"/>
        <w:jc w:val="center"/>
        <w:outlineLvl w:val="1"/>
        <w:rPr>
          <w:b/>
          <w:sz w:val="24"/>
        </w:rPr>
      </w:pPr>
      <w:bookmarkStart w:id="19" w:name="_Toc87018323"/>
      <w:bookmarkStart w:id="20" w:name="_Toc87018254"/>
      <w:r>
        <w:rPr>
          <w:b/>
          <w:sz w:val="24"/>
        </w:rPr>
        <w:t>4.1  一般规定</w:t>
      </w:r>
      <w:bookmarkEnd w:id="19"/>
      <w:bookmarkEnd w:id="20"/>
    </w:p>
    <w:p>
      <w:pPr>
        <w:topLinePunct/>
        <w:autoSpaceDE w:val="0"/>
        <w:autoSpaceDN w:val="0"/>
        <w:adjustRightInd w:val="0"/>
        <w:snapToGrid w:val="0"/>
        <w:spacing w:line="360" w:lineRule="auto"/>
        <w:rPr>
          <w:sz w:val="24"/>
        </w:rPr>
      </w:pPr>
      <w:r>
        <w:rPr>
          <w:rFonts w:hint="eastAsia"/>
          <w:b/>
          <w:sz w:val="24"/>
        </w:rPr>
        <w:t>4</w:t>
      </w:r>
      <w:r>
        <w:rPr>
          <w:b/>
          <w:sz w:val="24"/>
        </w:rPr>
        <w:t>.1.1</w:t>
      </w:r>
      <w:r>
        <w:rPr>
          <w:rFonts w:hint="eastAsia"/>
          <w:b/>
          <w:sz w:val="24"/>
        </w:rPr>
        <w:t xml:space="preserve">  </w:t>
      </w:r>
      <w:r>
        <w:rPr>
          <w:rFonts w:hint="eastAsia"/>
          <w:sz w:val="24"/>
        </w:rPr>
        <w:t>工程勘察应采取工程地质水文地质测绘、勘探、取样、原位测试、室内试验等综合手段。</w:t>
      </w:r>
    </w:p>
    <w:p>
      <w:pPr>
        <w:topLinePunct/>
        <w:autoSpaceDE w:val="0"/>
        <w:autoSpaceDN w:val="0"/>
        <w:adjustRightInd w:val="0"/>
        <w:snapToGrid w:val="0"/>
        <w:spacing w:line="360" w:lineRule="auto"/>
        <w:rPr>
          <w:sz w:val="24"/>
        </w:rPr>
      </w:pPr>
      <w:r>
        <w:rPr>
          <w:rFonts w:hint="eastAsia"/>
          <w:b/>
          <w:sz w:val="24"/>
        </w:rPr>
        <w:t>4</w:t>
      </w:r>
      <w:r>
        <w:rPr>
          <w:b/>
          <w:sz w:val="24"/>
        </w:rPr>
        <w:t>.1.</w:t>
      </w:r>
      <w:r>
        <w:rPr>
          <w:rFonts w:hint="eastAsia"/>
          <w:b/>
          <w:sz w:val="24"/>
        </w:rPr>
        <w:t xml:space="preserve">2  </w:t>
      </w:r>
      <w:r>
        <w:rPr>
          <w:rFonts w:hint="eastAsia"/>
          <w:sz w:val="24"/>
        </w:rPr>
        <w:t>环境调查应充分收集已有资料，当已有资料不能满足要求时，尚应采取必要手段予以查明。</w:t>
      </w:r>
    </w:p>
    <w:p>
      <w:pPr>
        <w:spacing w:line="360" w:lineRule="auto"/>
        <w:jc w:val="left"/>
        <w:rPr>
          <w:bCs/>
          <w:sz w:val="24"/>
        </w:rPr>
      </w:pPr>
      <w:r>
        <w:rPr>
          <w:b/>
          <w:sz w:val="24"/>
        </w:rPr>
        <w:t>4.</w:t>
      </w:r>
      <w:r>
        <w:rPr>
          <w:rFonts w:hint="eastAsia"/>
          <w:b/>
          <w:sz w:val="24"/>
        </w:rPr>
        <w:t>1</w:t>
      </w:r>
      <w:r>
        <w:rPr>
          <w:b/>
          <w:sz w:val="24"/>
        </w:rPr>
        <w:t>.</w:t>
      </w:r>
      <w:r>
        <w:rPr>
          <w:rFonts w:hint="eastAsia"/>
          <w:b/>
          <w:sz w:val="24"/>
        </w:rPr>
        <w:t>3</w:t>
      </w:r>
      <w:r>
        <w:rPr>
          <w:b/>
          <w:sz w:val="24"/>
        </w:rPr>
        <w:t xml:space="preserve">  </w:t>
      </w:r>
      <w:r>
        <w:rPr>
          <w:bCs/>
          <w:sz w:val="24"/>
        </w:rPr>
        <w:t>当基坑周边存</w:t>
      </w:r>
      <w:r>
        <w:rPr>
          <w:rFonts w:hint="eastAsia"/>
          <w:bCs/>
          <w:sz w:val="24"/>
        </w:rPr>
        <w:t>上边坡时</w:t>
      </w:r>
      <w:r>
        <w:rPr>
          <w:bCs/>
          <w:sz w:val="24"/>
        </w:rPr>
        <w:t>，</w:t>
      </w:r>
      <w:r>
        <w:rPr>
          <w:rFonts w:hint="eastAsia"/>
          <w:bCs/>
          <w:sz w:val="24"/>
        </w:rPr>
        <w:t>应同时对上边</w:t>
      </w:r>
      <w:r>
        <w:rPr>
          <w:bCs/>
          <w:sz w:val="24"/>
        </w:rPr>
        <w:t>坡进行</w:t>
      </w:r>
      <w:r>
        <w:rPr>
          <w:rFonts w:hint="eastAsia"/>
          <w:bCs/>
          <w:sz w:val="24"/>
        </w:rPr>
        <w:t>勘察</w:t>
      </w:r>
      <w:r>
        <w:rPr>
          <w:bCs/>
          <w:sz w:val="24"/>
        </w:rPr>
        <w:t>，勘察成果应符合国家标准《建筑边坡工程技术规范》GB50330的相关要求。</w:t>
      </w:r>
    </w:p>
    <w:p>
      <w:pPr>
        <w:spacing w:line="360" w:lineRule="auto"/>
        <w:jc w:val="left"/>
        <w:rPr>
          <w:sz w:val="24"/>
        </w:rPr>
      </w:pPr>
      <w:r>
        <w:rPr>
          <w:b/>
          <w:sz w:val="24"/>
        </w:rPr>
        <w:t>4.</w:t>
      </w:r>
      <w:r>
        <w:rPr>
          <w:rFonts w:hint="eastAsia"/>
          <w:b/>
          <w:sz w:val="24"/>
        </w:rPr>
        <w:t>1</w:t>
      </w:r>
      <w:r>
        <w:rPr>
          <w:b/>
          <w:sz w:val="24"/>
        </w:rPr>
        <w:t>.</w:t>
      </w:r>
      <w:r>
        <w:rPr>
          <w:rFonts w:hint="eastAsia"/>
          <w:b/>
          <w:sz w:val="24"/>
        </w:rPr>
        <w:t>4</w:t>
      </w:r>
      <w:r>
        <w:rPr>
          <w:b/>
          <w:sz w:val="24"/>
        </w:rPr>
        <w:t xml:space="preserve">  </w:t>
      </w:r>
      <w:r>
        <w:rPr>
          <w:rFonts w:hint="eastAsia"/>
          <w:sz w:val="24"/>
        </w:rPr>
        <w:t>填土较厚的场地，应采取适当的方法获得物理力学性质指标。</w:t>
      </w:r>
    </w:p>
    <w:p>
      <w:pPr>
        <w:spacing w:line="360" w:lineRule="auto"/>
        <w:jc w:val="center"/>
        <w:outlineLvl w:val="1"/>
        <w:rPr>
          <w:b/>
          <w:sz w:val="24"/>
        </w:rPr>
      </w:pPr>
      <w:bookmarkStart w:id="21" w:name="_Toc87018255"/>
      <w:bookmarkStart w:id="22" w:name="_Toc87018324"/>
      <w:r>
        <w:rPr>
          <w:b/>
          <w:sz w:val="24"/>
        </w:rPr>
        <w:t xml:space="preserve">4.2  </w:t>
      </w:r>
      <w:r>
        <w:rPr>
          <w:rFonts w:hint="eastAsia"/>
          <w:b/>
          <w:sz w:val="24"/>
        </w:rPr>
        <w:t>周边</w:t>
      </w:r>
      <w:r>
        <w:rPr>
          <w:b/>
          <w:sz w:val="24"/>
        </w:rPr>
        <w:t>环境调查</w:t>
      </w:r>
      <w:bookmarkEnd w:id="21"/>
      <w:bookmarkEnd w:id="22"/>
    </w:p>
    <w:p>
      <w:pPr>
        <w:topLinePunct/>
        <w:autoSpaceDE w:val="0"/>
        <w:autoSpaceDN w:val="0"/>
        <w:adjustRightInd w:val="0"/>
        <w:snapToGrid w:val="0"/>
        <w:spacing w:line="360" w:lineRule="auto"/>
        <w:rPr>
          <w:sz w:val="24"/>
        </w:rPr>
      </w:pPr>
      <w:r>
        <w:rPr>
          <w:rFonts w:hint="eastAsia"/>
          <w:b/>
          <w:sz w:val="24"/>
        </w:rPr>
        <w:t>4</w:t>
      </w:r>
      <w:r>
        <w:rPr>
          <w:b/>
          <w:sz w:val="24"/>
        </w:rPr>
        <w:t>.</w:t>
      </w:r>
      <w:r>
        <w:rPr>
          <w:rFonts w:hint="eastAsia"/>
          <w:b/>
          <w:sz w:val="24"/>
        </w:rPr>
        <w:t>2</w:t>
      </w:r>
      <w:r>
        <w:rPr>
          <w:b/>
          <w:sz w:val="24"/>
        </w:rPr>
        <w:t>.</w:t>
      </w:r>
      <w:r>
        <w:rPr>
          <w:rFonts w:hint="eastAsia"/>
          <w:b/>
          <w:sz w:val="24"/>
        </w:rPr>
        <w:t>1</w:t>
      </w:r>
      <w:r>
        <w:rPr>
          <w:sz w:val="24"/>
        </w:rPr>
        <w:t xml:space="preserve">  基坑支护设计前，应查明下列周边环境条件：</w:t>
      </w:r>
    </w:p>
    <w:p>
      <w:pPr>
        <w:topLinePunct/>
        <w:autoSpaceDE w:val="0"/>
        <w:autoSpaceDN w:val="0"/>
        <w:adjustRightInd w:val="0"/>
        <w:snapToGrid w:val="0"/>
        <w:spacing w:line="360" w:lineRule="auto"/>
        <w:ind w:firstLine="480" w:firstLineChars="200"/>
        <w:rPr>
          <w:sz w:val="24"/>
        </w:rPr>
      </w:pPr>
      <w:r>
        <w:rPr>
          <w:sz w:val="24"/>
        </w:rPr>
        <w:t>1  基坑周边3倍（软土地区4倍）开挖深度范围内的既有建筑物的结构类型、层数、位置、基础形式和尺寸、埋深、</w:t>
      </w:r>
      <w:r>
        <w:rPr>
          <w:rFonts w:hint="eastAsia"/>
          <w:sz w:val="24"/>
        </w:rPr>
        <w:t>用途及</w:t>
      </w:r>
      <w:r>
        <w:rPr>
          <w:sz w:val="24"/>
        </w:rPr>
        <w:t>使用年限等；</w:t>
      </w:r>
    </w:p>
    <w:p>
      <w:pPr>
        <w:topLinePunct/>
        <w:autoSpaceDE w:val="0"/>
        <w:autoSpaceDN w:val="0"/>
        <w:adjustRightInd w:val="0"/>
        <w:snapToGrid w:val="0"/>
        <w:spacing w:line="360" w:lineRule="auto"/>
        <w:ind w:firstLine="480" w:firstLineChars="200"/>
        <w:rPr>
          <w:sz w:val="24"/>
        </w:rPr>
      </w:pPr>
      <w:r>
        <w:rPr>
          <w:sz w:val="24"/>
        </w:rPr>
        <w:t>2  地下管线、地下构筑物的类型、位置、尺寸和埋深等；对供水、污水和雨水等地下管线，尚应包括其使用状况及渗漏状况；</w:t>
      </w:r>
    </w:p>
    <w:p>
      <w:pPr>
        <w:topLinePunct/>
        <w:autoSpaceDE w:val="0"/>
        <w:autoSpaceDN w:val="0"/>
        <w:adjustRightInd w:val="0"/>
        <w:snapToGrid w:val="0"/>
        <w:spacing w:line="360" w:lineRule="auto"/>
        <w:ind w:firstLine="480" w:firstLineChars="200"/>
        <w:rPr>
          <w:sz w:val="24"/>
        </w:rPr>
      </w:pPr>
      <w:r>
        <w:rPr>
          <w:sz w:val="24"/>
        </w:rPr>
        <w:t>3  基坑周边道路的类型、位置、宽度、道路行驶情况及最大车辆荷载等；</w:t>
      </w:r>
    </w:p>
    <w:p>
      <w:pPr>
        <w:topLinePunct/>
        <w:autoSpaceDE w:val="0"/>
        <w:autoSpaceDN w:val="0"/>
        <w:adjustRightInd w:val="0"/>
        <w:snapToGrid w:val="0"/>
        <w:spacing w:line="360" w:lineRule="auto"/>
        <w:ind w:firstLine="480" w:firstLineChars="200"/>
        <w:rPr>
          <w:sz w:val="24"/>
        </w:rPr>
      </w:pPr>
      <w:r>
        <w:rPr>
          <w:sz w:val="24"/>
        </w:rPr>
        <w:t>4  基坑周边地铁车站、隧道区间的位置、宽度、埋深及地铁的运行情况等</w:t>
      </w:r>
      <w:r>
        <w:rPr>
          <w:rFonts w:hint="eastAsia"/>
          <w:sz w:val="24"/>
        </w:rPr>
        <w:t>；</w:t>
      </w:r>
    </w:p>
    <w:p>
      <w:pPr>
        <w:topLinePunct/>
        <w:autoSpaceDE w:val="0"/>
        <w:autoSpaceDN w:val="0"/>
        <w:adjustRightInd w:val="0"/>
        <w:snapToGrid w:val="0"/>
        <w:spacing w:line="360" w:lineRule="auto"/>
        <w:ind w:firstLine="480" w:firstLineChars="200"/>
        <w:rPr>
          <w:sz w:val="24"/>
        </w:rPr>
      </w:pPr>
      <w:r>
        <w:rPr>
          <w:sz w:val="24"/>
        </w:rPr>
        <w:t>5  邻近基坑的支护形式、截水及回填情况</w:t>
      </w:r>
      <w:r>
        <w:rPr>
          <w:rFonts w:hint="eastAsia"/>
          <w:sz w:val="24"/>
        </w:rPr>
        <w:t>；</w:t>
      </w:r>
    </w:p>
    <w:p>
      <w:pPr>
        <w:adjustRightInd w:val="0"/>
        <w:snapToGrid w:val="0"/>
        <w:spacing w:line="360" w:lineRule="auto"/>
        <w:ind w:firstLine="480" w:firstLineChars="200"/>
        <w:jc w:val="left"/>
        <w:rPr>
          <w:sz w:val="24"/>
        </w:rPr>
      </w:pPr>
      <w:r>
        <w:rPr>
          <w:sz w:val="24"/>
        </w:rPr>
        <w:t>6  场地周围地表水汇流和排泄条件</w:t>
      </w:r>
      <w:r>
        <w:rPr>
          <w:rFonts w:hint="eastAsia"/>
          <w:sz w:val="24"/>
        </w:rPr>
        <w:t>；</w:t>
      </w:r>
    </w:p>
    <w:p>
      <w:pPr>
        <w:adjustRightInd w:val="0"/>
        <w:snapToGrid w:val="0"/>
        <w:spacing w:line="360" w:lineRule="auto"/>
        <w:ind w:firstLine="480" w:firstLineChars="200"/>
        <w:jc w:val="left"/>
        <w:rPr>
          <w:sz w:val="24"/>
        </w:rPr>
      </w:pPr>
      <w:r>
        <w:rPr>
          <w:rFonts w:hint="eastAsia"/>
          <w:sz w:val="24"/>
        </w:rPr>
        <w:t xml:space="preserve">7  </w:t>
      </w:r>
      <w:r>
        <w:rPr>
          <w:sz w:val="24"/>
        </w:rPr>
        <w:t>周边环境存在不良地质作用和地质灾害时，调查的范围尚应包括第一斜坡带、潜在安全影响的区域。</w:t>
      </w:r>
    </w:p>
    <w:p>
      <w:pPr>
        <w:spacing w:line="360" w:lineRule="auto"/>
        <w:jc w:val="left"/>
        <w:rPr>
          <w:sz w:val="24"/>
        </w:rPr>
      </w:pPr>
      <w:r>
        <w:rPr>
          <w:b/>
          <w:sz w:val="24"/>
        </w:rPr>
        <w:t xml:space="preserve">4.2.2  </w:t>
      </w:r>
      <w:r>
        <w:rPr>
          <w:rFonts w:hint="eastAsia"/>
          <w:sz w:val="24"/>
        </w:rPr>
        <w:t>周边</w:t>
      </w:r>
      <w:r>
        <w:rPr>
          <w:sz w:val="24"/>
        </w:rPr>
        <w:t>环境调查的方法和手段应采用以搜集资料、地面和地下管线调查、工程测量等方法为主，必要时可结合人工开挖揭示、地球物理勘探等手段进行。</w:t>
      </w:r>
    </w:p>
    <w:p>
      <w:pPr>
        <w:spacing w:line="360" w:lineRule="auto"/>
        <w:jc w:val="left"/>
        <w:rPr>
          <w:sz w:val="24"/>
        </w:rPr>
      </w:pPr>
      <w:r>
        <w:rPr>
          <w:b/>
          <w:sz w:val="24"/>
        </w:rPr>
        <w:t xml:space="preserve">4.2.3  </w:t>
      </w:r>
      <w:r>
        <w:rPr>
          <w:sz w:val="24"/>
        </w:rPr>
        <w:t>山地基坑工程的</w:t>
      </w:r>
      <w:r>
        <w:rPr>
          <w:rFonts w:hint="eastAsia"/>
          <w:sz w:val="24"/>
        </w:rPr>
        <w:t>周边</w:t>
      </w:r>
      <w:r>
        <w:rPr>
          <w:sz w:val="24"/>
        </w:rPr>
        <w:t>环境调查除查明基坑周边的环境条件外，还应对与基坑安全密切相关的外围</w:t>
      </w:r>
      <w:r>
        <w:rPr>
          <w:rFonts w:hint="eastAsia"/>
          <w:sz w:val="24"/>
        </w:rPr>
        <w:t>地质灾害</w:t>
      </w:r>
      <w:r>
        <w:rPr>
          <w:sz w:val="24"/>
        </w:rPr>
        <w:t>进行详细调查，分析评价存在的</w:t>
      </w:r>
      <w:r>
        <w:rPr>
          <w:rFonts w:hint="eastAsia"/>
          <w:sz w:val="24"/>
        </w:rPr>
        <w:t>地质灾害</w:t>
      </w:r>
      <w:r>
        <w:rPr>
          <w:sz w:val="24"/>
        </w:rPr>
        <w:t>对基坑安全的影响程度，提出处理建议。</w:t>
      </w:r>
    </w:p>
    <w:p>
      <w:pPr>
        <w:spacing w:line="360" w:lineRule="auto"/>
        <w:rPr>
          <w:sz w:val="24"/>
        </w:rPr>
      </w:pPr>
      <w:r>
        <w:rPr>
          <w:b/>
          <w:sz w:val="24"/>
        </w:rPr>
        <w:t>4.2.</w:t>
      </w:r>
      <w:r>
        <w:rPr>
          <w:rFonts w:hint="eastAsia"/>
          <w:b/>
          <w:sz w:val="24"/>
        </w:rPr>
        <w:t>4</w:t>
      </w:r>
      <w:r>
        <w:rPr>
          <w:b/>
          <w:sz w:val="24"/>
        </w:rPr>
        <w:t xml:space="preserve">  </w:t>
      </w:r>
      <w:r>
        <w:rPr>
          <w:sz w:val="24"/>
        </w:rPr>
        <w:t>周边环境对基坑工程影响分析与评价应考虑下列因素：</w:t>
      </w:r>
    </w:p>
    <w:p>
      <w:pPr>
        <w:spacing w:line="360" w:lineRule="auto"/>
        <w:ind w:firstLine="480" w:firstLineChars="200"/>
        <w:rPr>
          <w:sz w:val="24"/>
        </w:rPr>
      </w:pPr>
      <w:r>
        <w:rPr>
          <w:sz w:val="24"/>
        </w:rPr>
        <w:t>1  建筑基础</w:t>
      </w:r>
      <w:r>
        <w:rPr>
          <w:rFonts w:hint="eastAsia"/>
          <w:sz w:val="24"/>
        </w:rPr>
        <w:t>型式及埋深；</w:t>
      </w:r>
    </w:p>
    <w:p>
      <w:pPr>
        <w:spacing w:line="360" w:lineRule="auto"/>
        <w:ind w:firstLine="480" w:firstLineChars="200"/>
        <w:rPr>
          <w:color w:val="000000"/>
          <w:sz w:val="24"/>
        </w:rPr>
      </w:pPr>
      <w:r>
        <w:rPr>
          <w:rFonts w:hint="eastAsia"/>
          <w:color w:val="000000"/>
          <w:sz w:val="24"/>
        </w:rPr>
        <w:t>2</w:t>
      </w:r>
      <w:r>
        <w:rPr>
          <w:color w:val="000000"/>
          <w:sz w:val="24"/>
        </w:rPr>
        <w:t xml:space="preserve">  暗埋管线、地下构筑物；</w:t>
      </w:r>
    </w:p>
    <w:p>
      <w:pPr>
        <w:spacing w:line="360" w:lineRule="auto"/>
        <w:ind w:firstLine="480" w:firstLineChars="200"/>
        <w:rPr>
          <w:color w:val="000000"/>
          <w:sz w:val="24"/>
        </w:rPr>
      </w:pPr>
      <w:r>
        <w:rPr>
          <w:rFonts w:hint="eastAsia"/>
          <w:color w:val="000000"/>
          <w:sz w:val="24"/>
        </w:rPr>
        <w:t>3</w:t>
      </w:r>
      <w:r>
        <w:rPr>
          <w:color w:val="000000"/>
          <w:sz w:val="24"/>
        </w:rPr>
        <w:t xml:space="preserve">  管道渗漏</w:t>
      </w:r>
      <w:r>
        <w:rPr>
          <w:rFonts w:hint="eastAsia"/>
          <w:color w:val="000000"/>
          <w:sz w:val="24"/>
        </w:rPr>
        <w:t>及地表水体</w:t>
      </w:r>
      <w:r>
        <w:rPr>
          <w:color w:val="000000"/>
          <w:sz w:val="24"/>
        </w:rPr>
        <w:t>；</w:t>
      </w:r>
    </w:p>
    <w:p>
      <w:pPr>
        <w:spacing w:line="360" w:lineRule="auto"/>
        <w:ind w:firstLine="480" w:firstLineChars="200"/>
        <w:rPr>
          <w:color w:val="000000"/>
          <w:sz w:val="24"/>
        </w:rPr>
      </w:pPr>
      <w:r>
        <w:rPr>
          <w:rFonts w:hint="eastAsia"/>
          <w:color w:val="000000"/>
          <w:sz w:val="24"/>
        </w:rPr>
        <w:t>4</w:t>
      </w:r>
      <w:r>
        <w:rPr>
          <w:color w:val="000000"/>
          <w:sz w:val="24"/>
        </w:rPr>
        <w:t xml:space="preserve">  </w:t>
      </w:r>
      <w:r>
        <w:rPr>
          <w:rFonts w:hint="eastAsia"/>
          <w:color w:val="000000"/>
          <w:sz w:val="24"/>
        </w:rPr>
        <w:t>周边环境的附加荷载。</w:t>
      </w:r>
    </w:p>
    <w:p>
      <w:pPr>
        <w:spacing w:line="360" w:lineRule="auto"/>
        <w:rPr>
          <w:sz w:val="24"/>
        </w:rPr>
      </w:pPr>
      <w:r>
        <w:rPr>
          <w:b/>
          <w:sz w:val="24"/>
        </w:rPr>
        <w:t>4.2.</w:t>
      </w:r>
      <w:r>
        <w:rPr>
          <w:rFonts w:hint="eastAsia"/>
          <w:b/>
          <w:sz w:val="24"/>
        </w:rPr>
        <w:t>5</w:t>
      </w:r>
      <w:r>
        <w:rPr>
          <w:b/>
          <w:sz w:val="24"/>
        </w:rPr>
        <w:t xml:space="preserve">  </w:t>
      </w:r>
      <w:r>
        <w:rPr>
          <w:sz w:val="24"/>
        </w:rPr>
        <w:t>基坑工程对周边环境影响分析与评价应考虑下列因素：</w:t>
      </w:r>
    </w:p>
    <w:p>
      <w:pPr>
        <w:autoSpaceDE w:val="0"/>
        <w:autoSpaceDN w:val="0"/>
        <w:adjustRightInd w:val="0"/>
        <w:spacing w:line="360" w:lineRule="auto"/>
        <w:ind w:firstLine="480" w:firstLineChars="200"/>
        <w:jc w:val="left"/>
        <w:rPr>
          <w:sz w:val="24"/>
        </w:rPr>
      </w:pPr>
      <w:r>
        <w:rPr>
          <w:bCs/>
          <w:sz w:val="24"/>
        </w:rPr>
        <w:t>1</w:t>
      </w:r>
      <w:r>
        <w:rPr>
          <w:b/>
          <w:bCs/>
          <w:sz w:val="24"/>
        </w:rPr>
        <w:t xml:space="preserve">  </w:t>
      </w:r>
      <w:r>
        <w:rPr>
          <w:sz w:val="24"/>
        </w:rPr>
        <w:t>土方开挖</w:t>
      </w:r>
      <w:r>
        <w:rPr>
          <w:rFonts w:hint="eastAsia"/>
          <w:sz w:val="24"/>
        </w:rPr>
        <w:t>及弃土</w:t>
      </w:r>
      <w:r>
        <w:rPr>
          <w:sz w:val="24"/>
        </w:rPr>
        <w:t>；</w:t>
      </w:r>
    </w:p>
    <w:p>
      <w:pPr>
        <w:autoSpaceDE w:val="0"/>
        <w:autoSpaceDN w:val="0"/>
        <w:adjustRightInd w:val="0"/>
        <w:spacing w:line="360" w:lineRule="auto"/>
        <w:ind w:firstLine="480" w:firstLineChars="200"/>
        <w:jc w:val="left"/>
        <w:rPr>
          <w:color w:val="000000"/>
          <w:sz w:val="24"/>
        </w:rPr>
      </w:pPr>
      <w:r>
        <w:rPr>
          <w:bCs/>
          <w:sz w:val="24"/>
        </w:rPr>
        <w:t>2</w:t>
      </w:r>
      <w:r>
        <w:rPr>
          <w:b/>
          <w:bCs/>
          <w:sz w:val="24"/>
        </w:rPr>
        <w:t xml:space="preserve">  </w:t>
      </w:r>
      <w:r>
        <w:rPr>
          <w:rFonts w:hint="eastAsia"/>
          <w:sz w:val="24"/>
        </w:rPr>
        <w:t>基坑变形</w:t>
      </w:r>
      <w:r>
        <w:rPr>
          <w:color w:val="000000"/>
          <w:sz w:val="24"/>
        </w:rPr>
        <w:t>；</w:t>
      </w:r>
    </w:p>
    <w:p>
      <w:pPr>
        <w:autoSpaceDE w:val="0"/>
        <w:autoSpaceDN w:val="0"/>
        <w:adjustRightInd w:val="0"/>
        <w:spacing w:line="360" w:lineRule="auto"/>
        <w:ind w:firstLine="480" w:firstLineChars="200"/>
        <w:jc w:val="left"/>
        <w:rPr>
          <w:color w:val="000000"/>
          <w:sz w:val="24"/>
        </w:rPr>
      </w:pPr>
      <w:r>
        <w:rPr>
          <w:rFonts w:hint="eastAsia"/>
          <w:bCs/>
          <w:color w:val="000000"/>
          <w:sz w:val="24"/>
        </w:rPr>
        <w:t>3</w:t>
      </w:r>
      <w:r>
        <w:rPr>
          <w:b/>
          <w:bCs/>
          <w:color w:val="000000"/>
          <w:sz w:val="24"/>
        </w:rPr>
        <w:t xml:space="preserve">  </w:t>
      </w:r>
      <w:r>
        <w:rPr>
          <w:color w:val="000000"/>
          <w:sz w:val="24"/>
        </w:rPr>
        <w:t>支护结构</w:t>
      </w:r>
      <w:r>
        <w:rPr>
          <w:rFonts w:hint="eastAsia"/>
          <w:color w:val="000000"/>
          <w:sz w:val="24"/>
        </w:rPr>
        <w:t>失效；</w:t>
      </w:r>
    </w:p>
    <w:p>
      <w:pPr>
        <w:autoSpaceDE w:val="0"/>
        <w:autoSpaceDN w:val="0"/>
        <w:adjustRightInd w:val="0"/>
        <w:spacing w:line="360" w:lineRule="auto"/>
        <w:ind w:firstLine="480" w:firstLineChars="200"/>
        <w:jc w:val="left"/>
        <w:rPr>
          <w:color w:val="000000"/>
          <w:sz w:val="24"/>
        </w:rPr>
      </w:pPr>
      <w:r>
        <w:rPr>
          <w:rFonts w:hint="eastAsia"/>
          <w:bCs/>
          <w:color w:val="000000"/>
          <w:sz w:val="24"/>
        </w:rPr>
        <w:t>4  地下水位变化</w:t>
      </w:r>
      <w:r>
        <w:rPr>
          <w:color w:val="000000"/>
          <w:sz w:val="24"/>
        </w:rPr>
        <w:t>；</w:t>
      </w:r>
    </w:p>
    <w:p>
      <w:pPr>
        <w:autoSpaceDE w:val="0"/>
        <w:autoSpaceDN w:val="0"/>
        <w:adjustRightInd w:val="0"/>
        <w:spacing w:line="360" w:lineRule="auto"/>
        <w:ind w:firstLine="480" w:firstLineChars="200"/>
        <w:jc w:val="left"/>
        <w:rPr>
          <w:bCs/>
          <w:color w:val="000000"/>
          <w:sz w:val="24"/>
        </w:rPr>
      </w:pPr>
      <w:r>
        <w:rPr>
          <w:rFonts w:hint="eastAsia"/>
          <w:bCs/>
          <w:color w:val="000000"/>
          <w:sz w:val="24"/>
        </w:rPr>
        <w:t>5</w:t>
      </w:r>
      <w:r>
        <w:rPr>
          <w:bCs/>
          <w:color w:val="000000"/>
          <w:sz w:val="24"/>
        </w:rPr>
        <w:t xml:space="preserve">  </w:t>
      </w:r>
      <w:r>
        <w:rPr>
          <w:rFonts w:hint="eastAsia"/>
          <w:bCs/>
          <w:color w:val="000000"/>
          <w:sz w:val="24"/>
        </w:rPr>
        <w:t>地表水排放不畅；</w:t>
      </w:r>
    </w:p>
    <w:p>
      <w:pPr>
        <w:autoSpaceDE w:val="0"/>
        <w:autoSpaceDN w:val="0"/>
        <w:adjustRightInd w:val="0"/>
        <w:spacing w:line="360" w:lineRule="auto"/>
        <w:ind w:firstLine="480" w:firstLineChars="200"/>
        <w:jc w:val="left"/>
        <w:rPr>
          <w:bCs/>
          <w:color w:val="000000"/>
          <w:sz w:val="24"/>
        </w:rPr>
      </w:pPr>
      <w:r>
        <w:rPr>
          <w:rFonts w:hint="eastAsia"/>
          <w:bCs/>
          <w:color w:val="000000"/>
          <w:sz w:val="24"/>
        </w:rPr>
        <w:t>6</w:t>
      </w:r>
      <w:r>
        <w:rPr>
          <w:bCs/>
          <w:color w:val="000000"/>
          <w:sz w:val="24"/>
        </w:rPr>
        <w:t xml:space="preserve">  </w:t>
      </w:r>
      <w:r>
        <w:rPr>
          <w:rFonts w:hint="eastAsia"/>
          <w:bCs/>
          <w:color w:val="000000"/>
          <w:sz w:val="24"/>
        </w:rPr>
        <w:t>环境污染。</w:t>
      </w:r>
    </w:p>
    <w:p>
      <w:pPr>
        <w:spacing w:line="360" w:lineRule="auto"/>
        <w:jc w:val="center"/>
        <w:outlineLvl w:val="1"/>
        <w:rPr>
          <w:b/>
          <w:sz w:val="24"/>
        </w:rPr>
      </w:pPr>
      <w:bookmarkStart w:id="23" w:name="_Toc87018325"/>
      <w:bookmarkStart w:id="24" w:name="_Toc87018256"/>
      <w:r>
        <w:rPr>
          <w:b/>
          <w:sz w:val="24"/>
        </w:rPr>
        <w:t>4.3  勘</w:t>
      </w:r>
      <w:r>
        <w:rPr>
          <w:rFonts w:hint="eastAsia"/>
          <w:b/>
          <w:sz w:val="24"/>
        </w:rPr>
        <w:t>察</w:t>
      </w:r>
      <w:bookmarkEnd w:id="23"/>
      <w:bookmarkEnd w:id="24"/>
    </w:p>
    <w:p>
      <w:pPr>
        <w:topLinePunct/>
        <w:autoSpaceDE w:val="0"/>
        <w:autoSpaceDN w:val="0"/>
        <w:adjustRightInd w:val="0"/>
        <w:snapToGrid w:val="0"/>
        <w:spacing w:line="360" w:lineRule="auto"/>
        <w:rPr>
          <w:sz w:val="24"/>
        </w:rPr>
      </w:pPr>
      <w:r>
        <w:rPr>
          <w:rFonts w:hint="eastAsia"/>
          <w:b/>
          <w:sz w:val="24"/>
        </w:rPr>
        <w:t>4</w:t>
      </w:r>
      <w:r>
        <w:rPr>
          <w:b/>
          <w:sz w:val="24"/>
        </w:rPr>
        <w:t>.</w:t>
      </w:r>
      <w:r>
        <w:rPr>
          <w:rFonts w:hint="eastAsia"/>
          <w:b/>
          <w:sz w:val="24"/>
        </w:rPr>
        <w:t>3</w:t>
      </w:r>
      <w:r>
        <w:rPr>
          <w:b/>
          <w:sz w:val="24"/>
        </w:rPr>
        <w:t xml:space="preserve">.1  </w:t>
      </w:r>
      <w:r>
        <w:rPr>
          <w:sz w:val="24"/>
        </w:rPr>
        <w:t>勘察应包括以下内容：</w:t>
      </w:r>
    </w:p>
    <w:p>
      <w:pPr>
        <w:adjustRightInd w:val="0"/>
        <w:snapToGrid w:val="0"/>
        <w:spacing w:line="360" w:lineRule="auto"/>
        <w:ind w:firstLine="480" w:firstLineChars="200"/>
        <w:jc w:val="left"/>
        <w:rPr>
          <w:sz w:val="24"/>
        </w:rPr>
      </w:pPr>
      <w:r>
        <w:rPr>
          <w:sz w:val="24"/>
        </w:rPr>
        <w:t>1  查明基坑及</w:t>
      </w:r>
      <w:r>
        <w:rPr>
          <w:rFonts w:hint="eastAsia"/>
          <w:sz w:val="24"/>
        </w:rPr>
        <w:t>其影响范围内</w:t>
      </w:r>
      <w:r>
        <w:rPr>
          <w:sz w:val="24"/>
        </w:rPr>
        <w:t>不良地质作用的类型、成因、分布范围、发展趋势和危害程度，提出整治方案的建议；</w:t>
      </w:r>
    </w:p>
    <w:p>
      <w:pPr>
        <w:topLinePunct/>
        <w:autoSpaceDE w:val="0"/>
        <w:autoSpaceDN w:val="0"/>
        <w:adjustRightInd w:val="0"/>
        <w:snapToGrid w:val="0"/>
        <w:spacing w:line="360" w:lineRule="auto"/>
        <w:ind w:firstLine="480" w:firstLineChars="200"/>
        <w:rPr>
          <w:sz w:val="24"/>
        </w:rPr>
      </w:pPr>
      <w:r>
        <w:rPr>
          <w:sz w:val="24"/>
        </w:rPr>
        <w:t>2  查明场地地层</w:t>
      </w:r>
      <w:r>
        <w:rPr>
          <w:rFonts w:hint="eastAsia"/>
          <w:sz w:val="24"/>
        </w:rPr>
        <w:t>时代、物质组成、</w:t>
      </w:r>
      <w:r>
        <w:rPr>
          <w:sz w:val="24"/>
        </w:rPr>
        <w:t>成因类型、分布规律和工程特性，提供基坑支护设计所需的有关参数</w:t>
      </w:r>
      <w:r>
        <w:rPr>
          <w:rFonts w:hint="eastAsia"/>
          <w:sz w:val="24"/>
        </w:rPr>
        <w:t>，岩质基坑尚应查明</w:t>
      </w:r>
      <w:r>
        <w:rPr>
          <w:bCs/>
          <w:sz w:val="24"/>
        </w:rPr>
        <w:t>岩石地质年代、主要矿物、风化程度、结构及构造，岩体主要结构面的类型、产状、发育程度、延伸程度、结合程度、充填状况、充水状况、组合关系、力学属性与临空面的关系</w:t>
      </w:r>
      <w:r>
        <w:rPr>
          <w:sz w:val="24"/>
        </w:rPr>
        <w:t>；</w:t>
      </w:r>
    </w:p>
    <w:p>
      <w:pPr>
        <w:topLinePunct/>
        <w:autoSpaceDE w:val="0"/>
        <w:autoSpaceDN w:val="0"/>
        <w:adjustRightInd w:val="0"/>
        <w:snapToGrid w:val="0"/>
        <w:spacing w:line="360" w:lineRule="auto"/>
        <w:ind w:firstLine="480" w:firstLineChars="200"/>
        <w:rPr>
          <w:sz w:val="24"/>
        </w:rPr>
      </w:pPr>
      <w:r>
        <w:rPr>
          <w:rFonts w:hint="eastAsia"/>
          <w:sz w:val="24"/>
        </w:rPr>
        <w:t xml:space="preserve">3  </w:t>
      </w:r>
      <w:r>
        <w:rPr>
          <w:sz w:val="24"/>
        </w:rPr>
        <w:t>对特殊性土、</w:t>
      </w:r>
      <w:r>
        <w:rPr>
          <w:rFonts w:hint="eastAsia"/>
          <w:sz w:val="24"/>
        </w:rPr>
        <w:t>暗</w:t>
      </w:r>
      <w:r>
        <w:rPr>
          <w:sz w:val="24"/>
        </w:rPr>
        <w:t>埋的</w:t>
      </w:r>
      <w:r>
        <w:rPr>
          <w:rFonts w:hint="eastAsia"/>
          <w:sz w:val="24"/>
        </w:rPr>
        <w:t>古</w:t>
      </w:r>
      <w:r>
        <w:rPr>
          <w:sz w:val="24"/>
        </w:rPr>
        <w:t>河道、</w:t>
      </w:r>
      <w:r>
        <w:rPr>
          <w:rFonts w:hint="eastAsia"/>
          <w:sz w:val="24"/>
        </w:rPr>
        <w:t>沟</w:t>
      </w:r>
      <w:r>
        <w:rPr>
          <w:sz w:val="24"/>
        </w:rPr>
        <w:t>浜、地下工程等，</w:t>
      </w:r>
      <w:r>
        <w:rPr>
          <w:rFonts w:hint="eastAsia"/>
          <w:sz w:val="24"/>
        </w:rPr>
        <w:t>应</w:t>
      </w:r>
      <w:r>
        <w:rPr>
          <w:sz w:val="24"/>
        </w:rPr>
        <w:t>评价其对基坑工程的影响；</w:t>
      </w:r>
    </w:p>
    <w:p>
      <w:pPr>
        <w:topLinePunct/>
        <w:autoSpaceDE w:val="0"/>
        <w:autoSpaceDN w:val="0"/>
        <w:adjustRightInd w:val="0"/>
        <w:snapToGrid w:val="0"/>
        <w:spacing w:line="360" w:lineRule="auto"/>
        <w:ind w:firstLine="480" w:firstLineChars="200"/>
        <w:rPr>
          <w:sz w:val="24"/>
        </w:rPr>
      </w:pPr>
      <w:r>
        <w:rPr>
          <w:rFonts w:hint="eastAsia"/>
          <w:sz w:val="24"/>
        </w:rPr>
        <w:t>4</w:t>
      </w:r>
      <w:r>
        <w:rPr>
          <w:sz w:val="24"/>
        </w:rPr>
        <w:t xml:space="preserve">  查明地表水体的分布及</w:t>
      </w:r>
      <w:r>
        <w:rPr>
          <w:rFonts w:hint="eastAsia"/>
          <w:sz w:val="24"/>
        </w:rPr>
        <w:t>变化规律，</w:t>
      </w:r>
      <w:r>
        <w:rPr>
          <w:sz w:val="24"/>
        </w:rPr>
        <w:t>地下水类型、埋藏条件、水位、</w:t>
      </w:r>
      <w:r>
        <w:rPr>
          <w:bCs/>
          <w:sz w:val="24"/>
        </w:rPr>
        <w:t>水量、腐蚀性、</w:t>
      </w:r>
      <w:r>
        <w:rPr>
          <w:sz w:val="24"/>
        </w:rPr>
        <w:t>补</w:t>
      </w:r>
      <w:r>
        <w:rPr>
          <w:rFonts w:hint="eastAsia"/>
          <w:sz w:val="24"/>
        </w:rPr>
        <w:t>径排</w:t>
      </w:r>
      <w:r>
        <w:rPr>
          <w:sz w:val="24"/>
        </w:rPr>
        <w:t>关系，土层的渗透性；</w:t>
      </w:r>
    </w:p>
    <w:p>
      <w:pPr>
        <w:topLinePunct/>
        <w:autoSpaceDE w:val="0"/>
        <w:autoSpaceDN w:val="0"/>
        <w:adjustRightInd w:val="0"/>
        <w:snapToGrid w:val="0"/>
        <w:spacing w:line="360" w:lineRule="auto"/>
        <w:ind w:firstLine="480" w:firstLineChars="200"/>
        <w:rPr>
          <w:sz w:val="24"/>
        </w:rPr>
      </w:pPr>
      <w:r>
        <w:rPr>
          <w:rFonts w:hint="eastAsia"/>
          <w:sz w:val="24"/>
        </w:rPr>
        <w:t>5</w:t>
      </w:r>
      <w:r>
        <w:rPr>
          <w:sz w:val="24"/>
        </w:rPr>
        <w:t xml:space="preserve">  对基坑支护</w:t>
      </w:r>
      <w:r>
        <w:rPr>
          <w:rFonts w:hint="eastAsia"/>
          <w:sz w:val="24"/>
        </w:rPr>
        <w:t>结构</w:t>
      </w:r>
      <w:r>
        <w:rPr>
          <w:sz w:val="24"/>
        </w:rPr>
        <w:t>选型、地下水的控制提出建议。</w:t>
      </w:r>
    </w:p>
    <w:p>
      <w:pPr>
        <w:topLinePunct/>
        <w:autoSpaceDE w:val="0"/>
        <w:autoSpaceDN w:val="0"/>
        <w:adjustRightInd w:val="0"/>
        <w:snapToGrid w:val="0"/>
        <w:spacing w:line="360" w:lineRule="auto"/>
        <w:rPr>
          <w:sz w:val="24"/>
        </w:rPr>
      </w:pPr>
      <w:r>
        <w:rPr>
          <w:rFonts w:hint="eastAsia"/>
          <w:b/>
          <w:sz w:val="24"/>
        </w:rPr>
        <w:t>4</w:t>
      </w:r>
      <w:r>
        <w:rPr>
          <w:b/>
          <w:sz w:val="24"/>
        </w:rPr>
        <w:t>.</w:t>
      </w:r>
      <w:r>
        <w:rPr>
          <w:rFonts w:hint="eastAsia"/>
          <w:b/>
          <w:sz w:val="24"/>
        </w:rPr>
        <w:t>3</w:t>
      </w:r>
      <w:r>
        <w:rPr>
          <w:b/>
          <w:sz w:val="24"/>
        </w:rPr>
        <w:t>.2</w:t>
      </w:r>
      <w:r>
        <w:rPr>
          <w:sz w:val="24"/>
        </w:rPr>
        <w:t xml:space="preserve">  勘察范围应根据基坑开挖深度及场地的岩土工程条件确定，勘察的平面范围</w:t>
      </w:r>
      <w:r>
        <w:rPr>
          <w:rFonts w:hint="eastAsia"/>
          <w:sz w:val="24"/>
        </w:rPr>
        <w:t>宜大于</w:t>
      </w:r>
      <w:r>
        <w:rPr>
          <w:sz w:val="24"/>
        </w:rPr>
        <w:t>基坑</w:t>
      </w:r>
      <w:r>
        <w:rPr>
          <w:rFonts w:hint="eastAsia"/>
          <w:sz w:val="24"/>
        </w:rPr>
        <w:t>深度</w:t>
      </w:r>
      <w:r>
        <w:rPr>
          <w:sz w:val="24"/>
        </w:rPr>
        <w:t>的</w:t>
      </w:r>
      <w:r>
        <w:rPr>
          <w:rFonts w:hint="eastAsia"/>
          <w:sz w:val="24"/>
        </w:rPr>
        <w:t>2</w:t>
      </w:r>
      <w:r>
        <w:rPr>
          <w:sz w:val="24"/>
        </w:rPr>
        <w:t>倍，在深厚软土区，勘察范围尚应适当扩大；</w:t>
      </w:r>
    </w:p>
    <w:p>
      <w:pPr>
        <w:adjustRightInd w:val="0"/>
        <w:snapToGrid w:val="0"/>
        <w:spacing w:line="360" w:lineRule="auto"/>
        <w:jc w:val="left"/>
        <w:rPr>
          <w:bCs/>
          <w:sz w:val="24"/>
        </w:rPr>
      </w:pPr>
      <w:r>
        <w:rPr>
          <w:b/>
          <w:sz w:val="24"/>
        </w:rPr>
        <w:t>4.</w:t>
      </w:r>
      <w:r>
        <w:rPr>
          <w:rFonts w:hint="eastAsia"/>
          <w:b/>
          <w:sz w:val="24"/>
        </w:rPr>
        <w:t>3</w:t>
      </w:r>
      <w:r>
        <w:rPr>
          <w:b/>
          <w:sz w:val="24"/>
        </w:rPr>
        <w:t>.</w:t>
      </w:r>
      <w:r>
        <w:rPr>
          <w:rFonts w:hint="eastAsia"/>
          <w:b/>
          <w:sz w:val="24"/>
        </w:rPr>
        <w:t>3</w:t>
      </w:r>
      <w:r>
        <w:rPr>
          <w:b/>
          <w:sz w:val="24"/>
        </w:rPr>
        <w:t xml:space="preserve">  </w:t>
      </w:r>
      <w:r>
        <w:rPr>
          <w:bCs/>
          <w:sz w:val="24"/>
        </w:rPr>
        <w:t>应按照国家标准《岩土工程勘察规范》GB 50021 的规定进行原位测试和室内试验并提出各</w:t>
      </w:r>
      <w:r>
        <w:rPr>
          <w:rFonts w:hint="eastAsia"/>
          <w:bCs/>
          <w:sz w:val="24"/>
        </w:rPr>
        <w:t>岩土层</w:t>
      </w:r>
      <w:r>
        <w:rPr>
          <w:bCs/>
          <w:sz w:val="24"/>
        </w:rPr>
        <w:t>的物理性质指标和力学指标；对于软弱土层，应提供土的灵敏度，对膨胀性岩土，</w:t>
      </w:r>
      <w:r>
        <w:rPr>
          <w:rFonts w:hint="eastAsia"/>
          <w:bCs/>
          <w:sz w:val="24"/>
        </w:rPr>
        <w:t>宜</w:t>
      </w:r>
      <w:r>
        <w:rPr>
          <w:bCs/>
          <w:sz w:val="24"/>
        </w:rPr>
        <w:t>测定其膨胀性指标。</w:t>
      </w:r>
    </w:p>
    <w:p>
      <w:pPr>
        <w:spacing w:line="360" w:lineRule="auto"/>
        <w:jc w:val="left"/>
        <w:rPr>
          <w:bCs/>
          <w:sz w:val="24"/>
        </w:rPr>
      </w:pPr>
      <w:r>
        <w:rPr>
          <w:b/>
          <w:sz w:val="24"/>
        </w:rPr>
        <w:t>4.</w:t>
      </w:r>
      <w:r>
        <w:rPr>
          <w:rFonts w:hint="eastAsia"/>
          <w:b/>
          <w:sz w:val="24"/>
        </w:rPr>
        <w:t>3</w:t>
      </w:r>
      <w:r>
        <w:rPr>
          <w:b/>
          <w:sz w:val="24"/>
        </w:rPr>
        <w:t>.</w:t>
      </w:r>
      <w:r>
        <w:rPr>
          <w:rFonts w:hint="eastAsia"/>
          <w:b/>
          <w:sz w:val="24"/>
        </w:rPr>
        <w:t>4</w:t>
      </w:r>
      <w:r>
        <w:rPr>
          <w:b/>
          <w:sz w:val="24"/>
        </w:rPr>
        <w:t xml:space="preserve">  </w:t>
      </w:r>
      <w:r>
        <w:rPr>
          <w:bCs/>
          <w:sz w:val="24"/>
        </w:rPr>
        <w:t>工程地质调查与测绘要求：</w:t>
      </w:r>
    </w:p>
    <w:p>
      <w:pPr>
        <w:spacing w:line="360" w:lineRule="auto"/>
        <w:ind w:firstLine="480" w:firstLineChars="200"/>
        <w:jc w:val="left"/>
        <w:rPr>
          <w:bCs/>
          <w:sz w:val="24"/>
        </w:rPr>
      </w:pPr>
      <w:r>
        <w:rPr>
          <w:rFonts w:hint="eastAsia"/>
          <w:bCs/>
          <w:sz w:val="24"/>
        </w:rPr>
        <w:t>1</w:t>
      </w:r>
      <w:r>
        <w:rPr>
          <w:bCs/>
          <w:sz w:val="24"/>
        </w:rPr>
        <w:t xml:space="preserve">  调查与测绘应包括基坑及周边地形地貌、地质构造、地层岩性、工程地质条件、不良地质作用、特殊性岩土分布等；</w:t>
      </w:r>
    </w:p>
    <w:p>
      <w:pPr>
        <w:spacing w:line="360" w:lineRule="auto"/>
        <w:ind w:firstLine="480" w:firstLineChars="200"/>
        <w:jc w:val="left"/>
        <w:rPr>
          <w:bCs/>
          <w:sz w:val="24"/>
        </w:rPr>
      </w:pPr>
      <w:r>
        <w:rPr>
          <w:rFonts w:hint="eastAsia"/>
          <w:bCs/>
          <w:sz w:val="24"/>
        </w:rPr>
        <w:t>2</w:t>
      </w:r>
      <w:r>
        <w:rPr>
          <w:bCs/>
          <w:sz w:val="24"/>
        </w:rPr>
        <w:t xml:space="preserve">  调查</w:t>
      </w:r>
      <w:r>
        <w:rPr>
          <w:rFonts w:hint="eastAsia"/>
          <w:bCs/>
          <w:sz w:val="24"/>
        </w:rPr>
        <w:t>深</w:t>
      </w:r>
      <w:r>
        <w:rPr>
          <w:bCs/>
          <w:sz w:val="24"/>
        </w:rPr>
        <w:t>度应满足基坑评价要求。</w:t>
      </w:r>
    </w:p>
    <w:p>
      <w:pPr>
        <w:spacing w:line="360" w:lineRule="auto"/>
        <w:jc w:val="left"/>
        <w:rPr>
          <w:bCs/>
          <w:sz w:val="24"/>
        </w:rPr>
      </w:pPr>
      <w:r>
        <w:rPr>
          <w:b/>
          <w:sz w:val="24"/>
        </w:rPr>
        <w:t>4.</w:t>
      </w:r>
      <w:r>
        <w:rPr>
          <w:rFonts w:hint="eastAsia"/>
          <w:b/>
          <w:sz w:val="24"/>
        </w:rPr>
        <w:t>3</w:t>
      </w:r>
      <w:r>
        <w:rPr>
          <w:b/>
          <w:sz w:val="24"/>
        </w:rPr>
        <w:t>.</w:t>
      </w:r>
      <w:r>
        <w:rPr>
          <w:rFonts w:hint="eastAsia"/>
          <w:b/>
          <w:sz w:val="24"/>
        </w:rPr>
        <w:t>5</w:t>
      </w:r>
      <w:r>
        <w:rPr>
          <w:b/>
          <w:sz w:val="24"/>
        </w:rPr>
        <w:t xml:space="preserve">  </w:t>
      </w:r>
      <w:r>
        <w:rPr>
          <w:bCs/>
          <w:sz w:val="24"/>
        </w:rPr>
        <w:t>碎石土、混合土</w:t>
      </w:r>
      <w:r>
        <w:rPr>
          <w:rFonts w:hint="eastAsia"/>
          <w:bCs/>
          <w:sz w:val="24"/>
        </w:rPr>
        <w:t>、软岩、碎裂岩体</w:t>
      </w:r>
      <w:r>
        <w:rPr>
          <w:bCs/>
          <w:sz w:val="24"/>
        </w:rPr>
        <w:t>基坑，</w:t>
      </w:r>
      <w:r>
        <w:rPr>
          <w:rFonts w:hint="eastAsia"/>
          <w:bCs/>
          <w:sz w:val="24"/>
        </w:rPr>
        <w:t>难以通过</w:t>
      </w:r>
      <w:r>
        <w:rPr>
          <w:bCs/>
          <w:sz w:val="24"/>
        </w:rPr>
        <w:t>室内试验获得强度参数时，宜在探井、探槽和试坑中进行现场剪切试验，</w:t>
      </w:r>
      <w:r>
        <w:rPr>
          <w:rFonts w:hint="eastAsia"/>
          <w:bCs/>
          <w:sz w:val="24"/>
        </w:rPr>
        <w:t>或通过反分析及</w:t>
      </w:r>
      <w:r>
        <w:rPr>
          <w:bCs/>
          <w:sz w:val="24"/>
        </w:rPr>
        <w:t>地区经验</w:t>
      </w:r>
      <w:r>
        <w:rPr>
          <w:rFonts w:hint="eastAsia"/>
          <w:bCs/>
          <w:sz w:val="24"/>
        </w:rPr>
        <w:t>等综合确定</w:t>
      </w:r>
      <w:r>
        <w:rPr>
          <w:bCs/>
          <w:sz w:val="24"/>
        </w:rPr>
        <w:t>。</w:t>
      </w:r>
    </w:p>
    <w:p>
      <w:pPr>
        <w:spacing w:line="360" w:lineRule="auto"/>
        <w:jc w:val="left"/>
        <w:rPr>
          <w:color w:val="FF0000"/>
          <w:sz w:val="24"/>
        </w:rPr>
      </w:pPr>
      <w:r>
        <w:rPr>
          <w:rFonts w:hint="eastAsia"/>
          <w:b/>
          <w:sz w:val="24"/>
        </w:rPr>
        <w:t>4</w:t>
      </w:r>
      <w:r>
        <w:rPr>
          <w:b/>
          <w:sz w:val="24"/>
        </w:rPr>
        <w:t>.</w:t>
      </w:r>
      <w:r>
        <w:rPr>
          <w:rFonts w:hint="eastAsia"/>
          <w:b/>
          <w:sz w:val="24"/>
        </w:rPr>
        <w:t>3</w:t>
      </w:r>
      <w:r>
        <w:rPr>
          <w:b/>
          <w:sz w:val="24"/>
        </w:rPr>
        <w:t>.</w:t>
      </w:r>
      <w:r>
        <w:rPr>
          <w:rFonts w:hint="eastAsia"/>
          <w:b/>
          <w:sz w:val="24"/>
        </w:rPr>
        <w:t>6</w:t>
      </w:r>
      <w:r>
        <w:rPr>
          <w:b/>
          <w:sz w:val="24"/>
        </w:rPr>
        <w:t xml:space="preserve">  </w:t>
      </w:r>
      <w:r>
        <w:rPr>
          <w:sz w:val="24"/>
        </w:rPr>
        <w:t>软土基坑的勘察尚应满足以下</w:t>
      </w:r>
      <w:r>
        <w:rPr>
          <w:rFonts w:hint="eastAsia"/>
          <w:sz w:val="24"/>
        </w:rPr>
        <w:t>要求</w:t>
      </w:r>
      <w:r>
        <w:rPr>
          <w:sz w:val="24"/>
        </w:rPr>
        <w:t>：</w:t>
      </w:r>
    </w:p>
    <w:p>
      <w:pPr>
        <w:spacing w:line="360" w:lineRule="auto"/>
        <w:ind w:firstLine="480" w:firstLineChars="200"/>
        <w:jc w:val="left"/>
        <w:rPr>
          <w:sz w:val="24"/>
        </w:rPr>
      </w:pPr>
      <w:r>
        <w:rPr>
          <w:sz w:val="24"/>
        </w:rPr>
        <w:t>1  勘探点</w:t>
      </w:r>
      <w:r>
        <w:rPr>
          <w:rFonts w:hint="eastAsia"/>
          <w:sz w:val="24"/>
        </w:rPr>
        <w:t>间距宜</w:t>
      </w:r>
      <w:r>
        <w:rPr>
          <w:sz w:val="24"/>
        </w:rPr>
        <w:t>适当加密</w:t>
      </w:r>
      <w:r>
        <w:rPr>
          <w:rFonts w:hint="eastAsia"/>
          <w:sz w:val="24"/>
        </w:rPr>
        <w:t>；</w:t>
      </w:r>
    </w:p>
    <w:p>
      <w:pPr>
        <w:spacing w:line="360" w:lineRule="auto"/>
        <w:ind w:firstLine="480" w:firstLineChars="200"/>
        <w:jc w:val="left"/>
        <w:rPr>
          <w:sz w:val="24"/>
        </w:rPr>
      </w:pPr>
      <w:r>
        <w:rPr>
          <w:sz w:val="24"/>
        </w:rPr>
        <w:t xml:space="preserve">2  </w:t>
      </w:r>
      <w:r>
        <w:rPr>
          <w:rFonts w:hint="eastAsia"/>
          <w:sz w:val="24"/>
        </w:rPr>
        <w:t>勘探孔深度应穿透对基坑支护设计有影响的软土深度；</w:t>
      </w:r>
    </w:p>
    <w:p>
      <w:pPr>
        <w:spacing w:line="360" w:lineRule="auto"/>
        <w:ind w:firstLine="480" w:firstLineChars="200"/>
        <w:jc w:val="left"/>
        <w:rPr>
          <w:sz w:val="24"/>
        </w:rPr>
      </w:pPr>
      <w:r>
        <w:rPr>
          <w:color w:val="000000"/>
          <w:sz w:val="24"/>
        </w:rPr>
        <w:t>3  软土抗剪强度宜采用有效自重压力下预固结的三轴不固结不排水抗剪强度指标或直剪快剪强度指标</w:t>
      </w:r>
      <w:r>
        <w:rPr>
          <w:rFonts w:hint="eastAsia"/>
          <w:sz w:val="24"/>
        </w:rPr>
        <w:t>；</w:t>
      </w:r>
    </w:p>
    <w:p>
      <w:pPr>
        <w:spacing w:line="360" w:lineRule="auto"/>
        <w:ind w:firstLine="480" w:firstLineChars="200"/>
        <w:jc w:val="left"/>
        <w:rPr>
          <w:sz w:val="24"/>
        </w:rPr>
      </w:pPr>
      <w:r>
        <w:rPr>
          <w:sz w:val="24"/>
        </w:rPr>
        <w:t>4  查明软土</w:t>
      </w:r>
      <w:r>
        <w:rPr>
          <w:rFonts w:hint="eastAsia"/>
          <w:sz w:val="24"/>
        </w:rPr>
        <w:t>成层条件、应力历史、结构性、灵敏度等力学特性和排水条件。</w:t>
      </w:r>
    </w:p>
    <w:p>
      <w:pPr>
        <w:spacing w:line="360" w:lineRule="auto"/>
        <w:jc w:val="left"/>
        <w:rPr>
          <w:sz w:val="24"/>
        </w:rPr>
      </w:pPr>
      <w:r>
        <w:rPr>
          <w:rFonts w:hint="eastAsia"/>
          <w:b/>
          <w:sz w:val="24"/>
        </w:rPr>
        <w:t>4</w:t>
      </w:r>
      <w:r>
        <w:rPr>
          <w:b/>
          <w:sz w:val="24"/>
        </w:rPr>
        <w:t>.</w:t>
      </w:r>
      <w:r>
        <w:rPr>
          <w:rFonts w:hint="eastAsia"/>
          <w:b/>
          <w:sz w:val="24"/>
        </w:rPr>
        <w:t>3</w:t>
      </w:r>
      <w:r>
        <w:rPr>
          <w:b/>
          <w:sz w:val="24"/>
        </w:rPr>
        <w:t>.</w:t>
      </w:r>
      <w:r>
        <w:rPr>
          <w:rFonts w:hint="eastAsia"/>
          <w:b/>
          <w:sz w:val="24"/>
        </w:rPr>
        <w:t>7</w:t>
      </w:r>
      <w:r>
        <w:rPr>
          <w:b/>
          <w:sz w:val="24"/>
        </w:rPr>
        <w:t xml:space="preserve">  </w:t>
      </w:r>
      <w:r>
        <w:rPr>
          <w:sz w:val="24"/>
        </w:rPr>
        <w:t>回填土基坑的勘察尚应满足以下</w:t>
      </w:r>
      <w:r>
        <w:rPr>
          <w:rFonts w:hint="eastAsia"/>
          <w:sz w:val="24"/>
        </w:rPr>
        <w:t>要求</w:t>
      </w:r>
      <w:r>
        <w:rPr>
          <w:sz w:val="24"/>
        </w:rPr>
        <w:t>：</w:t>
      </w:r>
    </w:p>
    <w:p>
      <w:pPr>
        <w:spacing w:line="360" w:lineRule="auto"/>
        <w:ind w:firstLine="480" w:firstLineChars="200"/>
        <w:jc w:val="left"/>
        <w:rPr>
          <w:sz w:val="24"/>
        </w:rPr>
      </w:pPr>
      <w:r>
        <w:rPr>
          <w:sz w:val="24"/>
        </w:rPr>
        <w:t xml:space="preserve">1  </w:t>
      </w:r>
      <w:r>
        <w:rPr>
          <w:rFonts w:hint="eastAsia"/>
          <w:sz w:val="24"/>
        </w:rPr>
        <w:t>原始地形条件复杂的填土区勘探点应适当加密；</w:t>
      </w:r>
    </w:p>
    <w:p>
      <w:pPr>
        <w:spacing w:line="360" w:lineRule="auto"/>
        <w:ind w:firstLine="480" w:firstLineChars="200"/>
        <w:jc w:val="left"/>
        <w:rPr>
          <w:color w:val="000000"/>
          <w:sz w:val="24"/>
        </w:rPr>
      </w:pPr>
      <w:r>
        <w:rPr>
          <w:rFonts w:hint="eastAsia"/>
          <w:sz w:val="24"/>
        </w:rPr>
        <w:t xml:space="preserve">2  </w:t>
      </w:r>
      <w:r>
        <w:rPr>
          <w:sz w:val="24"/>
        </w:rPr>
        <w:t>勘探</w:t>
      </w:r>
      <w:r>
        <w:rPr>
          <w:rFonts w:hint="eastAsia"/>
          <w:sz w:val="24"/>
        </w:rPr>
        <w:t>孔深度应</w:t>
      </w:r>
      <w:r>
        <w:rPr>
          <w:sz w:val="24"/>
        </w:rPr>
        <w:t>穿透</w:t>
      </w:r>
      <w:r>
        <w:rPr>
          <w:rFonts w:hint="eastAsia"/>
          <w:sz w:val="24"/>
        </w:rPr>
        <w:t>对基坑支护设计有影响的</w:t>
      </w:r>
      <w:r>
        <w:rPr>
          <w:sz w:val="24"/>
        </w:rPr>
        <w:t>填土</w:t>
      </w:r>
      <w:r>
        <w:rPr>
          <w:rFonts w:hint="eastAsia"/>
          <w:sz w:val="24"/>
        </w:rPr>
        <w:t>深度；</w:t>
      </w:r>
    </w:p>
    <w:p>
      <w:pPr>
        <w:spacing w:line="360" w:lineRule="auto"/>
        <w:ind w:firstLine="480" w:firstLineChars="200"/>
        <w:jc w:val="left"/>
        <w:rPr>
          <w:color w:val="000000"/>
          <w:sz w:val="24"/>
        </w:rPr>
      </w:pPr>
      <w:r>
        <w:rPr>
          <w:rFonts w:hint="eastAsia"/>
          <w:color w:val="000000"/>
          <w:sz w:val="24"/>
        </w:rPr>
        <w:t>3</w:t>
      </w:r>
      <w:r>
        <w:rPr>
          <w:color w:val="000000"/>
          <w:sz w:val="24"/>
        </w:rPr>
        <w:t xml:space="preserve">  勘察中对暗埋的塘、浜、沟、坑，应予追索并圈定范围</w:t>
      </w:r>
      <w:r>
        <w:rPr>
          <w:rFonts w:hint="eastAsia"/>
          <w:color w:val="000000"/>
          <w:sz w:val="24"/>
        </w:rPr>
        <w:t>；</w:t>
      </w:r>
    </w:p>
    <w:p>
      <w:pPr>
        <w:spacing w:line="360" w:lineRule="auto"/>
        <w:ind w:firstLine="480" w:firstLineChars="200"/>
        <w:jc w:val="left"/>
        <w:rPr>
          <w:color w:val="000000"/>
          <w:sz w:val="24"/>
        </w:rPr>
      </w:pPr>
      <w:r>
        <w:rPr>
          <w:rFonts w:hint="eastAsia"/>
          <w:color w:val="000000"/>
          <w:sz w:val="24"/>
        </w:rPr>
        <w:t>4</w:t>
      </w:r>
      <w:r>
        <w:rPr>
          <w:color w:val="000000"/>
          <w:sz w:val="24"/>
        </w:rPr>
        <w:t xml:space="preserve">  查明填土的来源、堆积年限和堆积方式、分布、物质成分、颗粒级配，评价填土的均匀性、密实性、压缩性和湿陷性，必要时可按厚度、强度和变形特性分层或分区</w:t>
      </w:r>
      <w:r>
        <w:rPr>
          <w:rFonts w:hint="eastAsia"/>
          <w:color w:val="000000"/>
          <w:sz w:val="24"/>
        </w:rPr>
        <w:t>；</w:t>
      </w:r>
    </w:p>
    <w:p>
      <w:pPr>
        <w:spacing w:line="360" w:lineRule="auto"/>
        <w:ind w:firstLine="480" w:firstLineChars="200"/>
        <w:jc w:val="left"/>
        <w:rPr>
          <w:color w:val="000000"/>
          <w:sz w:val="24"/>
        </w:rPr>
      </w:pPr>
      <w:r>
        <w:rPr>
          <w:rFonts w:hint="eastAsia"/>
          <w:color w:val="000000"/>
          <w:sz w:val="24"/>
        </w:rPr>
        <w:t>5</w:t>
      </w:r>
      <w:r>
        <w:rPr>
          <w:color w:val="000000"/>
          <w:sz w:val="24"/>
        </w:rPr>
        <w:t xml:space="preserve">  回填土的抗剪强度指标可根据室内、原位试验的相关参数指标综合确定。</w:t>
      </w:r>
    </w:p>
    <w:p>
      <w:pPr>
        <w:spacing w:line="360" w:lineRule="auto"/>
        <w:jc w:val="left"/>
        <w:rPr>
          <w:sz w:val="24"/>
        </w:rPr>
      </w:pPr>
      <w:r>
        <w:rPr>
          <w:rFonts w:hint="eastAsia"/>
          <w:b/>
          <w:sz w:val="24"/>
        </w:rPr>
        <w:t>4</w:t>
      </w:r>
      <w:r>
        <w:rPr>
          <w:b/>
          <w:sz w:val="24"/>
        </w:rPr>
        <w:t>.3.</w:t>
      </w:r>
      <w:r>
        <w:rPr>
          <w:rFonts w:hint="eastAsia"/>
          <w:b/>
          <w:sz w:val="24"/>
        </w:rPr>
        <w:t>8</w:t>
      </w:r>
      <w:r>
        <w:rPr>
          <w:b/>
          <w:sz w:val="24"/>
        </w:rPr>
        <w:t xml:space="preserve">  </w:t>
      </w:r>
      <w:r>
        <w:rPr>
          <w:sz w:val="24"/>
        </w:rPr>
        <w:t>土岩组合基坑的勘察尚应满足以下</w:t>
      </w:r>
      <w:r>
        <w:rPr>
          <w:rFonts w:hint="eastAsia"/>
          <w:sz w:val="24"/>
        </w:rPr>
        <w:t>要求</w:t>
      </w:r>
      <w:r>
        <w:rPr>
          <w:sz w:val="24"/>
        </w:rPr>
        <w:t>：</w:t>
      </w:r>
    </w:p>
    <w:p>
      <w:pPr>
        <w:spacing w:line="360" w:lineRule="auto"/>
        <w:ind w:firstLine="480" w:firstLineChars="200"/>
        <w:jc w:val="left"/>
        <w:rPr>
          <w:sz w:val="24"/>
        </w:rPr>
      </w:pPr>
      <w:r>
        <w:rPr>
          <w:rFonts w:hint="eastAsia"/>
          <w:sz w:val="24"/>
        </w:rPr>
        <w:t>1</w:t>
      </w:r>
      <w:r>
        <w:rPr>
          <w:sz w:val="24"/>
        </w:rPr>
        <w:t xml:space="preserve">  查明岩土的分布、均匀性、破碎带和软弱夹层的分布、岩体结构面的发育情况及其产状与基坑边坡的</w:t>
      </w:r>
      <w:r>
        <w:rPr>
          <w:rFonts w:hint="eastAsia"/>
          <w:sz w:val="24"/>
        </w:rPr>
        <w:t>组合</w:t>
      </w:r>
      <w:r>
        <w:rPr>
          <w:sz w:val="24"/>
        </w:rPr>
        <w:t>关系</w:t>
      </w:r>
      <w:r>
        <w:rPr>
          <w:rFonts w:hint="eastAsia"/>
          <w:sz w:val="24"/>
        </w:rPr>
        <w:t>；</w:t>
      </w:r>
    </w:p>
    <w:p>
      <w:pPr>
        <w:spacing w:line="360" w:lineRule="auto"/>
        <w:ind w:firstLine="480" w:firstLineChars="200"/>
        <w:jc w:val="left"/>
        <w:rPr>
          <w:sz w:val="24"/>
        </w:rPr>
      </w:pPr>
      <w:r>
        <w:rPr>
          <w:rFonts w:hint="eastAsia"/>
          <w:sz w:val="24"/>
        </w:rPr>
        <w:t>2</w:t>
      </w:r>
      <w:r>
        <w:rPr>
          <w:sz w:val="24"/>
        </w:rPr>
        <w:t xml:space="preserve">  查明岩</w:t>
      </w:r>
      <w:r>
        <w:rPr>
          <w:rFonts w:hint="eastAsia"/>
          <w:sz w:val="24"/>
        </w:rPr>
        <w:t>体</w:t>
      </w:r>
      <w:r>
        <w:rPr>
          <w:sz w:val="24"/>
        </w:rPr>
        <w:t>的风化程度，风化的</w:t>
      </w:r>
      <w:r>
        <w:rPr>
          <w:rFonts w:hint="eastAsia"/>
          <w:sz w:val="24"/>
        </w:rPr>
        <w:t>差异性</w:t>
      </w:r>
      <w:r>
        <w:rPr>
          <w:sz w:val="24"/>
        </w:rPr>
        <w:t>，评价其开挖暴露后的抗风化能力</w:t>
      </w:r>
      <w:r>
        <w:rPr>
          <w:rFonts w:hint="eastAsia"/>
          <w:sz w:val="24"/>
        </w:rPr>
        <w:t>；</w:t>
      </w:r>
    </w:p>
    <w:p>
      <w:pPr>
        <w:spacing w:line="360" w:lineRule="auto"/>
        <w:ind w:firstLine="480" w:firstLineChars="200"/>
        <w:jc w:val="left"/>
        <w:rPr>
          <w:sz w:val="24"/>
        </w:rPr>
      </w:pPr>
      <w:r>
        <w:rPr>
          <w:rFonts w:hint="eastAsia"/>
          <w:sz w:val="24"/>
        </w:rPr>
        <w:t>3</w:t>
      </w:r>
      <w:r>
        <w:rPr>
          <w:sz w:val="24"/>
        </w:rPr>
        <w:t xml:space="preserve">  查明残积土、风化岩是否具有膨胀性</w:t>
      </w:r>
      <w:r>
        <w:rPr>
          <w:rFonts w:hint="eastAsia"/>
          <w:sz w:val="24"/>
        </w:rPr>
        <w:t>。</w:t>
      </w:r>
    </w:p>
    <w:p>
      <w:pPr>
        <w:spacing w:line="360" w:lineRule="auto"/>
        <w:jc w:val="left"/>
        <w:rPr>
          <w:bCs/>
          <w:sz w:val="24"/>
        </w:rPr>
      </w:pPr>
      <w:r>
        <w:rPr>
          <w:b/>
          <w:sz w:val="24"/>
        </w:rPr>
        <w:t>4.3.</w:t>
      </w:r>
      <w:r>
        <w:rPr>
          <w:rFonts w:hint="eastAsia"/>
          <w:b/>
          <w:sz w:val="24"/>
        </w:rPr>
        <w:t>9</w:t>
      </w:r>
      <w:r>
        <w:rPr>
          <w:b/>
          <w:sz w:val="24"/>
        </w:rPr>
        <w:t xml:space="preserve">  </w:t>
      </w:r>
      <w:r>
        <w:rPr>
          <w:bCs/>
          <w:sz w:val="24"/>
        </w:rPr>
        <w:t>勘探方法</w:t>
      </w:r>
      <w:r>
        <w:rPr>
          <w:rFonts w:hint="eastAsia"/>
          <w:bCs/>
          <w:sz w:val="24"/>
        </w:rPr>
        <w:t>可</w:t>
      </w:r>
      <w:r>
        <w:rPr>
          <w:bCs/>
          <w:sz w:val="24"/>
        </w:rPr>
        <w:t>采用钻探、物探、井探、槽探多种方法，勘探方法的选取应符合勘察目的和岩土特性。</w:t>
      </w:r>
    </w:p>
    <w:p>
      <w:pPr>
        <w:spacing w:line="360" w:lineRule="auto"/>
        <w:jc w:val="left"/>
        <w:rPr>
          <w:bCs/>
          <w:sz w:val="24"/>
        </w:rPr>
      </w:pPr>
      <w:r>
        <w:rPr>
          <w:b/>
          <w:sz w:val="24"/>
        </w:rPr>
        <w:t>4.3.</w:t>
      </w:r>
      <w:r>
        <w:rPr>
          <w:rFonts w:hint="eastAsia"/>
          <w:b/>
          <w:sz w:val="24"/>
        </w:rPr>
        <w:t>10</w:t>
      </w:r>
      <w:r>
        <w:rPr>
          <w:b/>
          <w:sz w:val="24"/>
        </w:rPr>
        <w:t xml:space="preserve">  </w:t>
      </w:r>
      <w:r>
        <w:rPr>
          <w:bCs/>
          <w:sz w:val="24"/>
        </w:rPr>
        <w:t>勘探点布置及勘探深度应符合下列要求：</w:t>
      </w:r>
    </w:p>
    <w:p>
      <w:pPr>
        <w:spacing w:line="360" w:lineRule="auto"/>
        <w:ind w:firstLine="480" w:firstLineChars="200"/>
        <w:jc w:val="left"/>
        <w:rPr>
          <w:bCs/>
          <w:sz w:val="24"/>
        </w:rPr>
      </w:pPr>
      <w:r>
        <w:rPr>
          <w:bCs/>
          <w:sz w:val="24"/>
        </w:rPr>
        <w:t>1  勘察平面范围应根据开挖深度及场地的岩土工程条件确定，基坑四周开挖边线及转角处位置应布置勘探点，其间距宜为</w:t>
      </w:r>
      <w:r>
        <w:rPr>
          <w:rFonts w:hint="eastAsia"/>
          <w:bCs/>
          <w:sz w:val="24"/>
        </w:rPr>
        <w:t>15</w:t>
      </w:r>
      <w:r>
        <w:rPr>
          <w:bCs/>
          <w:sz w:val="24"/>
        </w:rPr>
        <w:t>m～2</w:t>
      </w:r>
      <w:r>
        <w:rPr>
          <w:rFonts w:hint="eastAsia"/>
          <w:bCs/>
          <w:sz w:val="24"/>
        </w:rPr>
        <w:t>0</w:t>
      </w:r>
      <w:r>
        <w:rPr>
          <w:bCs/>
          <w:sz w:val="24"/>
        </w:rPr>
        <w:t>m，</w:t>
      </w:r>
      <w:r>
        <w:rPr>
          <w:rFonts w:hint="eastAsia"/>
          <w:bCs/>
          <w:sz w:val="24"/>
        </w:rPr>
        <w:t>且</w:t>
      </w:r>
      <w:r>
        <w:rPr>
          <w:bCs/>
          <w:sz w:val="24"/>
        </w:rPr>
        <w:t>每一侧边的勘探点不</w:t>
      </w:r>
      <w:r>
        <w:rPr>
          <w:rFonts w:hint="eastAsia"/>
          <w:bCs/>
          <w:sz w:val="24"/>
        </w:rPr>
        <w:t>宜</w:t>
      </w:r>
      <w:r>
        <w:rPr>
          <w:bCs/>
          <w:sz w:val="24"/>
        </w:rPr>
        <w:t>少于3个；</w:t>
      </w:r>
    </w:p>
    <w:p>
      <w:pPr>
        <w:spacing w:line="360" w:lineRule="auto"/>
        <w:ind w:firstLine="480" w:firstLineChars="200"/>
        <w:jc w:val="left"/>
        <w:rPr>
          <w:bCs/>
          <w:sz w:val="24"/>
        </w:rPr>
      </w:pPr>
      <w:r>
        <w:rPr>
          <w:bCs/>
          <w:sz w:val="24"/>
        </w:rPr>
        <w:t>2  在基坑</w:t>
      </w:r>
      <w:r>
        <w:rPr>
          <w:rFonts w:hint="eastAsia"/>
          <w:bCs/>
          <w:sz w:val="24"/>
        </w:rPr>
        <w:t>周边宜</w:t>
      </w:r>
      <w:r>
        <w:rPr>
          <w:bCs/>
          <w:sz w:val="24"/>
        </w:rPr>
        <w:t>布置适量勘探点</w:t>
      </w:r>
      <w:r>
        <w:rPr>
          <w:rFonts w:hint="eastAsia"/>
          <w:bCs/>
          <w:sz w:val="24"/>
        </w:rPr>
        <w:t>，</w:t>
      </w:r>
      <w:r>
        <w:rPr>
          <w:bCs/>
          <w:sz w:val="24"/>
        </w:rPr>
        <w:t>当开挖边线外无法布置勘探点时，</w:t>
      </w:r>
      <w:r>
        <w:rPr>
          <w:rFonts w:hint="eastAsia"/>
          <w:bCs/>
          <w:sz w:val="24"/>
        </w:rPr>
        <w:t>可</w:t>
      </w:r>
      <w:r>
        <w:rPr>
          <w:bCs/>
          <w:sz w:val="24"/>
        </w:rPr>
        <w:t>通过调查取得相应资料并结合场地内及周边地块勘察资料进行综合分析；</w:t>
      </w:r>
    </w:p>
    <w:p>
      <w:pPr>
        <w:spacing w:line="360" w:lineRule="auto"/>
        <w:ind w:firstLine="480" w:firstLineChars="200"/>
        <w:jc w:val="left"/>
        <w:rPr>
          <w:bCs/>
          <w:sz w:val="24"/>
        </w:rPr>
      </w:pPr>
      <w:r>
        <w:rPr>
          <w:bCs/>
          <w:sz w:val="24"/>
        </w:rPr>
        <w:t>3  勘探孔深度</w:t>
      </w:r>
      <w:r>
        <w:rPr>
          <w:rFonts w:hint="eastAsia"/>
          <w:bCs/>
          <w:sz w:val="24"/>
        </w:rPr>
        <w:t>宜大于</w:t>
      </w:r>
      <w:r>
        <w:rPr>
          <w:bCs/>
          <w:sz w:val="24"/>
        </w:rPr>
        <w:t>基坑开挖深度的2.5倍，此深度范围内遇到坚硬黏性土、粗粒混合土、碎石土和强风化程度以下岩层，可根据岩土类别和支护设计条件减少深度</w:t>
      </w:r>
      <w:r>
        <w:rPr>
          <w:rFonts w:hint="eastAsia"/>
          <w:bCs/>
          <w:sz w:val="24"/>
        </w:rPr>
        <w:t>；基坑</w:t>
      </w:r>
      <w:r>
        <w:rPr>
          <w:bCs/>
          <w:sz w:val="24"/>
        </w:rPr>
        <w:t>底以下存在</w:t>
      </w:r>
      <w:r>
        <w:rPr>
          <w:rFonts w:hint="eastAsia"/>
          <w:bCs/>
          <w:sz w:val="24"/>
        </w:rPr>
        <w:t>对基坑支护有影响的</w:t>
      </w:r>
      <w:r>
        <w:rPr>
          <w:bCs/>
          <w:sz w:val="24"/>
        </w:rPr>
        <w:t>软弱土层、承压含水层时，勘探孔深度</w:t>
      </w:r>
      <w:r>
        <w:rPr>
          <w:rFonts w:hint="eastAsia"/>
          <w:bCs/>
          <w:sz w:val="24"/>
        </w:rPr>
        <w:t>尚</w:t>
      </w:r>
      <w:r>
        <w:rPr>
          <w:bCs/>
          <w:sz w:val="24"/>
        </w:rPr>
        <w:t>应</w:t>
      </w:r>
      <w:r>
        <w:rPr>
          <w:rFonts w:hint="eastAsia"/>
          <w:bCs/>
          <w:sz w:val="24"/>
        </w:rPr>
        <w:t>适当加深；</w:t>
      </w:r>
    </w:p>
    <w:p>
      <w:pPr>
        <w:spacing w:line="360" w:lineRule="auto"/>
        <w:ind w:firstLine="480" w:firstLineChars="200"/>
        <w:jc w:val="left"/>
        <w:rPr>
          <w:bCs/>
          <w:sz w:val="24"/>
        </w:rPr>
      </w:pPr>
      <w:r>
        <w:rPr>
          <w:bCs/>
          <w:sz w:val="24"/>
        </w:rPr>
        <w:t>4  对岩质基坑，可采用工程地质实测剖面或探井、探槽代替钻探工作；</w:t>
      </w:r>
    </w:p>
    <w:p>
      <w:pPr>
        <w:spacing w:line="360" w:lineRule="auto"/>
        <w:ind w:firstLine="480" w:firstLineChars="200"/>
        <w:jc w:val="left"/>
        <w:rPr>
          <w:bCs/>
          <w:sz w:val="24"/>
        </w:rPr>
      </w:pPr>
      <w:r>
        <w:rPr>
          <w:bCs/>
          <w:sz w:val="24"/>
        </w:rPr>
        <w:t>5  勘探工作结束后，</w:t>
      </w:r>
      <w:r>
        <w:rPr>
          <w:rFonts w:hint="eastAsia"/>
          <w:bCs/>
          <w:sz w:val="24"/>
        </w:rPr>
        <w:t>对地下水较丰富、尤其是存在对基坑工程有影响的承压含水层时，基坑内的勘探孔应及时按要求回填封堵。</w:t>
      </w:r>
    </w:p>
    <w:p>
      <w:pPr>
        <w:spacing w:line="360" w:lineRule="auto"/>
        <w:jc w:val="center"/>
        <w:outlineLvl w:val="1"/>
        <w:rPr>
          <w:b/>
          <w:sz w:val="24"/>
        </w:rPr>
      </w:pPr>
      <w:bookmarkStart w:id="25" w:name="_Toc87018257"/>
      <w:bookmarkStart w:id="26" w:name="_Toc87018326"/>
      <w:r>
        <w:rPr>
          <w:b/>
          <w:sz w:val="24"/>
        </w:rPr>
        <w:t>4.4  样品采取与室内试验</w:t>
      </w:r>
      <w:bookmarkEnd w:id="25"/>
      <w:bookmarkEnd w:id="26"/>
    </w:p>
    <w:p>
      <w:pPr>
        <w:spacing w:line="360" w:lineRule="auto"/>
        <w:jc w:val="left"/>
        <w:rPr>
          <w:bCs/>
          <w:sz w:val="24"/>
        </w:rPr>
      </w:pPr>
      <w:r>
        <w:rPr>
          <w:b/>
          <w:bCs/>
          <w:sz w:val="24"/>
        </w:rPr>
        <w:t>4.4.1</w:t>
      </w:r>
      <w:r>
        <w:rPr>
          <w:bCs/>
          <w:sz w:val="24"/>
        </w:rPr>
        <w:t xml:space="preserve">  样品类型和数量</w:t>
      </w:r>
    </w:p>
    <w:p>
      <w:pPr>
        <w:spacing w:line="360" w:lineRule="auto"/>
        <w:ind w:firstLine="480" w:firstLineChars="200"/>
        <w:jc w:val="left"/>
        <w:rPr>
          <w:bCs/>
          <w:sz w:val="24"/>
        </w:rPr>
      </w:pPr>
      <w:r>
        <w:rPr>
          <w:bCs/>
          <w:sz w:val="24"/>
        </w:rPr>
        <w:t>1  土试样质量等级符合国家标准《岩土工程勘察规范》GB50021的规定</w:t>
      </w:r>
      <w:r>
        <w:rPr>
          <w:rFonts w:hint="eastAsia"/>
          <w:bCs/>
          <w:sz w:val="24"/>
        </w:rPr>
        <w:t>；</w:t>
      </w:r>
    </w:p>
    <w:p>
      <w:pPr>
        <w:spacing w:line="360" w:lineRule="auto"/>
        <w:ind w:firstLine="480" w:firstLineChars="200"/>
        <w:jc w:val="left"/>
        <w:rPr>
          <w:bCs/>
          <w:sz w:val="24"/>
        </w:rPr>
      </w:pPr>
      <w:r>
        <w:rPr>
          <w:bCs/>
          <w:sz w:val="24"/>
        </w:rPr>
        <w:t>2  取土钻孔的数量不少于基坑勘探孔数量的1/3，基坑每边都应均匀布置取土钻孔，基坑侧壁土层每层土样合格品数量不应少于6件（组）。</w:t>
      </w:r>
    </w:p>
    <w:p>
      <w:pPr>
        <w:spacing w:line="360" w:lineRule="auto"/>
        <w:jc w:val="left"/>
        <w:rPr>
          <w:bCs/>
          <w:sz w:val="24"/>
        </w:rPr>
      </w:pPr>
      <w:r>
        <w:rPr>
          <w:b/>
          <w:bCs/>
          <w:sz w:val="24"/>
        </w:rPr>
        <w:t xml:space="preserve">4.4.2 </w:t>
      </w:r>
      <w:r>
        <w:rPr>
          <w:bCs/>
          <w:sz w:val="24"/>
        </w:rPr>
        <w:t xml:space="preserve"> 在钻孔中采取土试样时，</w:t>
      </w:r>
      <w:r>
        <w:rPr>
          <w:rFonts w:hint="eastAsia"/>
          <w:bCs/>
          <w:sz w:val="24"/>
        </w:rPr>
        <w:t>应</w:t>
      </w:r>
      <w:r>
        <w:rPr>
          <w:bCs/>
          <w:sz w:val="24"/>
        </w:rPr>
        <w:t>符合国家标准《岩土工程勘察规范》GB50021的规定</w:t>
      </w:r>
      <w:r>
        <w:rPr>
          <w:rFonts w:hint="eastAsia"/>
          <w:bCs/>
          <w:sz w:val="24"/>
        </w:rPr>
        <w:t>。</w:t>
      </w:r>
    </w:p>
    <w:p>
      <w:pPr>
        <w:spacing w:line="360" w:lineRule="auto"/>
        <w:jc w:val="left"/>
        <w:rPr>
          <w:bCs/>
          <w:sz w:val="24"/>
        </w:rPr>
      </w:pPr>
      <w:r>
        <w:rPr>
          <w:b/>
          <w:bCs/>
          <w:sz w:val="24"/>
        </w:rPr>
        <w:t>4.4.</w:t>
      </w:r>
      <w:r>
        <w:rPr>
          <w:rFonts w:hint="eastAsia"/>
          <w:b/>
          <w:bCs/>
          <w:sz w:val="24"/>
        </w:rPr>
        <w:t>3</w:t>
      </w:r>
      <w:r>
        <w:rPr>
          <w:bCs/>
          <w:sz w:val="24"/>
        </w:rPr>
        <w:t xml:space="preserve">  岩石试样可利用钻探岩芯制作或在探井、探槽、现场试坑中刻取。采取的毛样尺寸应满足试块加工的要求。</w:t>
      </w:r>
    </w:p>
    <w:p>
      <w:pPr>
        <w:spacing w:line="360" w:lineRule="auto"/>
        <w:jc w:val="left"/>
        <w:rPr>
          <w:bCs/>
          <w:sz w:val="24"/>
        </w:rPr>
      </w:pPr>
      <w:r>
        <w:rPr>
          <w:b/>
          <w:bCs/>
          <w:sz w:val="24"/>
        </w:rPr>
        <w:t>4.4.</w:t>
      </w:r>
      <w:r>
        <w:rPr>
          <w:rFonts w:hint="eastAsia"/>
          <w:b/>
          <w:bCs/>
          <w:sz w:val="24"/>
        </w:rPr>
        <w:t>4</w:t>
      </w:r>
      <w:r>
        <w:rPr>
          <w:bCs/>
          <w:sz w:val="24"/>
        </w:rPr>
        <w:t xml:space="preserve">  样品的封存、运输、保管</w:t>
      </w:r>
      <w:r>
        <w:rPr>
          <w:rFonts w:hint="eastAsia"/>
          <w:bCs/>
          <w:sz w:val="24"/>
        </w:rPr>
        <w:t>应</w:t>
      </w:r>
      <w:r>
        <w:rPr>
          <w:bCs/>
          <w:sz w:val="24"/>
        </w:rPr>
        <w:t>符合国家标准</w:t>
      </w:r>
    </w:p>
    <w:p>
      <w:pPr>
        <w:spacing w:line="360" w:lineRule="auto"/>
        <w:jc w:val="left"/>
        <w:rPr>
          <w:bCs/>
          <w:sz w:val="24"/>
        </w:rPr>
      </w:pPr>
      <w:r>
        <w:rPr>
          <w:b/>
          <w:bCs/>
          <w:sz w:val="24"/>
        </w:rPr>
        <w:t>4.4.</w:t>
      </w:r>
      <w:r>
        <w:rPr>
          <w:rFonts w:hint="eastAsia"/>
          <w:b/>
          <w:bCs/>
          <w:sz w:val="24"/>
        </w:rPr>
        <w:t>5</w:t>
      </w:r>
      <w:r>
        <w:rPr>
          <w:bCs/>
          <w:sz w:val="24"/>
        </w:rPr>
        <w:t xml:space="preserve">  岩土室内试验项目应根据岩土性质、基坑工程类型和支护设计、施工需要确定。</w:t>
      </w:r>
    </w:p>
    <w:p>
      <w:pPr>
        <w:spacing w:line="360" w:lineRule="auto"/>
        <w:jc w:val="left"/>
        <w:rPr>
          <w:bCs/>
          <w:sz w:val="24"/>
        </w:rPr>
      </w:pPr>
      <w:r>
        <w:rPr>
          <w:b/>
          <w:bCs/>
          <w:sz w:val="24"/>
        </w:rPr>
        <w:t>4.4.</w:t>
      </w:r>
      <w:r>
        <w:rPr>
          <w:rFonts w:hint="eastAsia"/>
          <w:b/>
          <w:bCs/>
          <w:sz w:val="24"/>
        </w:rPr>
        <w:t>6</w:t>
      </w:r>
      <w:r>
        <w:rPr>
          <w:bCs/>
          <w:sz w:val="24"/>
        </w:rPr>
        <w:t xml:space="preserve">  室内试验的试验方法、操作和采用的仪器设备应符合国家标准《土工试验方法标准》GB/T</w:t>
      </w:r>
      <w:r>
        <w:rPr>
          <w:rFonts w:hint="eastAsia"/>
          <w:bCs/>
          <w:sz w:val="24"/>
        </w:rPr>
        <w:t xml:space="preserve"> </w:t>
      </w:r>
      <w:r>
        <w:rPr>
          <w:bCs/>
          <w:sz w:val="24"/>
        </w:rPr>
        <w:t>50123和《工程岩体试验方法标准》GB/T</w:t>
      </w:r>
      <w:r>
        <w:rPr>
          <w:rFonts w:hint="eastAsia"/>
          <w:bCs/>
          <w:sz w:val="24"/>
        </w:rPr>
        <w:t xml:space="preserve"> </w:t>
      </w:r>
      <w:r>
        <w:rPr>
          <w:bCs/>
          <w:sz w:val="24"/>
        </w:rPr>
        <w:t>50266的有关规定。</w:t>
      </w:r>
    </w:p>
    <w:p>
      <w:pPr>
        <w:spacing w:line="360" w:lineRule="auto"/>
        <w:jc w:val="left"/>
        <w:rPr>
          <w:bCs/>
          <w:sz w:val="24"/>
        </w:rPr>
      </w:pPr>
      <w:r>
        <w:rPr>
          <w:b/>
          <w:bCs/>
          <w:sz w:val="24"/>
        </w:rPr>
        <w:t>4.4.</w:t>
      </w:r>
      <w:r>
        <w:rPr>
          <w:rFonts w:hint="eastAsia"/>
          <w:b/>
          <w:bCs/>
          <w:sz w:val="24"/>
        </w:rPr>
        <w:t>7</w:t>
      </w:r>
      <w:r>
        <w:rPr>
          <w:bCs/>
          <w:sz w:val="24"/>
        </w:rPr>
        <w:t xml:space="preserve">  </w:t>
      </w:r>
      <w:r>
        <w:rPr>
          <w:rFonts w:hint="eastAsia"/>
          <w:bCs/>
          <w:sz w:val="24"/>
        </w:rPr>
        <w:t>抗剪强度</w:t>
      </w:r>
      <w:r>
        <w:rPr>
          <w:bCs/>
          <w:sz w:val="24"/>
        </w:rPr>
        <w:t>试验</w:t>
      </w:r>
      <w:r>
        <w:rPr>
          <w:rFonts w:hint="eastAsia"/>
          <w:bCs/>
          <w:sz w:val="24"/>
        </w:rPr>
        <w:t>要求：</w:t>
      </w:r>
    </w:p>
    <w:p>
      <w:pPr>
        <w:spacing w:line="360" w:lineRule="auto"/>
        <w:ind w:firstLine="480" w:firstLineChars="200"/>
        <w:jc w:val="left"/>
        <w:rPr>
          <w:bCs/>
          <w:sz w:val="24"/>
        </w:rPr>
      </w:pPr>
      <w:r>
        <w:rPr>
          <w:rFonts w:hint="eastAsia"/>
          <w:bCs/>
          <w:sz w:val="24"/>
        </w:rPr>
        <w:t>1</w:t>
      </w:r>
      <w:r>
        <w:rPr>
          <w:bCs/>
          <w:sz w:val="24"/>
        </w:rPr>
        <w:t xml:space="preserve">  对</w:t>
      </w:r>
      <w:r>
        <w:rPr>
          <w:rFonts w:hint="eastAsia"/>
          <w:bCs/>
          <w:sz w:val="24"/>
        </w:rPr>
        <w:t>主要</w:t>
      </w:r>
      <w:r>
        <w:rPr>
          <w:bCs/>
          <w:sz w:val="24"/>
        </w:rPr>
        <w:t>土层和厚度大于2m的素填土，土的抗剪强度指标</w:t>
      </w:r>
      <w:r>
        <w:rPr>
          <w:rFonts w:hint="eastAsia"/>
          <w:bCs/>
          <w:sz w:val="24"/>
        </w:rPr>
        <w:t>试验</w:t>
      </w:r>
      <w:r>
        <w:rPr>
          <w:bCs/>
          <w:sz w:val="24"/>
        </w:rPr>
        <w:t>应符合下列规定：</w:t>
      </w:r>
    </w:p>
    <w:p>
      <w:pPr>
        <w:spacing w:line="360" w:lineRule="auto"/>
        <w:ind w:left="990" w:leftChars="300" w:hanging="360" w:hangingChars="150"/>
        <w:jc w:val="left"/>
        <w:rPr>
          <w:bCs/>
          <w:sz w:val="24"/>
        </w:rPr>
      </w:pPr>
      <w:r>
        <w:rPr>
          <w:bCs/>
          <w:sz w:val="24"/>
        </w:rPr>
        <w:t>1）对地下水位以上的黏性土、粉质黏土</w:t>
      </w:r>
      <w:r>
        <w:rPr>
          <w:rFonts w:hint="eastAsia"/>
          <w:bCs/>
          <w:sz w:val="24"/>
        </w:rPr>
        <w:t>的抗剪强度指标</w:t>
      </w:r>
      <w:r>
        <w:rPr>
          <w:bCs/>
          <w:sz w:val="24"/>
        </w:rPr>
        <w:t>，</w:t>
      </w:r>
      <w:r>
        <w:rPr>
          <w:rFonts w:hint="eastAsia"/>
          <w:bCs/>
          <w:sz w:val="24"/>
        </w:rPr>
        <w:t>应</w:t>
      </w:r>
      <w:r>
        <w:rPr>
          <w:bCs/>
          <w:sz w:val="24"/>
        </w:rPr>
        <w:t>采用三轴固结不排水（CU）</w:t>
      </w:r>
      <w:r>
        <w:rPr>
          <w:rFonts w:hint="eastAsia"/>
          <w:bCs/>
          <w:sz w:val="24"/>
        </w:rPr>
        <w:t>或</w:t>
      </w:r>
      <w:r>
        <w:rPr>
          <w:bCs/>
          <w:sz w:val="24"/>
        </w:rPr>
        <w:t>直剪固结快剪</w:t>
      </w:r>
      <w:r>
        <w:rPr>
          <w:rFonts w:hint="eastAsia"/>
          <w:bCs/>
          <w:sz w:val="24"/>
        </w:rPr>
        <w:t>方法测定</w:t>
      </w:r>
      <w:r>
        <w:rPr>
          <w:bCs/>
          <w:sz w:val="24"/>
        </w:rPr>
        <w:t>；</w:t>
      </w:r>
    </w:p>
    <w:p>
      <w:pPr>
        <w:spacing w:line="360" w:lineRule="auto"/>
        <w:ind w:left="990" w:leftChars="300" w:hanging="360" w:hangingChars="150"/>
        <w:jc w:val="left"/>
        <w:rPr>
          <w:bCs/>
          <w:sz w:val="24"/>
        </w:rPr>
      </w:pPr>
      <w:r>
        <w:rPr>
          <w:sz w:val="24"/>
        </w:rPr>
        <w:t>2）对地下水位以</w:t>
      </w:r>
      <w:r>
        <w:rPr>
          <w:bCs/>
          <w:sz w:val="24"/>
        </w:rPr>
        <w:t>下的黏性土、粉质黏土</w:t>
      </w:r>
      <w:r>
        <w:rPr>
          <w:rFonts w:hint="eastAsia"/>
          <w:bCs/>
          <w:sz w:val="24"/>
        </w:rPr>
        <w:t>的抗剪强度指标</w:t>
      </w:r>
      <w:r>
        <w:rPr>
          <w:bCs/>
          <w:sz w:val="24"/>
        </w:rPr>
        <w:t>，为正常固结和超固结土</w:t>
      </w:r>
      <w:r>
        <w:rPr>
          <w:rFonts w:hint="eastAsia"/>
          <w:bCs/>
          <w:sz w:val="24"/>
        </w:rPr>
        <w:t>时</w:t>
      </w:r>
      <w:r>
        <w:rPr>
          <w:bCs/>
          <w:sz w:val="24"/>
        </w:rPr>
        <w:t>，宜采用三轴固结不排水</w:t>
      </w:r>
      <w:r>
        <w:rPr>
          <w:sz w:val="24"/>
        </w:rPr>
        <w:t>（CU）</w:t>
      </w:r>
      <w:r>
        <w:rPr>
          <w:bCs/>
          <w:sz w:val="24"/>
        </w:rPr>
        <w:t>或直剪固结快剪</w:t>
      </w:r>
      <w:r>
        <w:rPr>
          <w:rFonts w:hint="eastAsia"/>
          <w:bCs/>
          <w:sz w:val="24"/>
        </w:rPr>
        <w:t>方法</w:t>
      </w:r>
      <w:r>
        <w:rPr>
          <w:sz w:val="24"/>
        </w:rPr>
        <w:t>（C</w:t>
      </w:r>
      <w:r>
        <w:rPr>
          <w:rFonts w:hint="eastAsia"/>
          <w:sz w:val="24"/>
        </w:rPr>
        <w:t>Q</w:t>
      </w:r>
      <w:r>
        <w:rPr>
          <w:sz w:val="24"/>
        </w:rPr>
        <w:t>）</w:t>
      </w:r>
      <w:r>
        <w:rPr>
          <w:rFonts w:hint="eastAsia"/>
          <w:bCs/>
          <w:sz w:val="24"/>
        </w:rPr>
        <w:t>测定</w:t>
      </w:r>
      <w:r>
        <w:rPr>
          <w:bCs/>
          <w:sz w:val="24"/>
        </w:rPr>
        <w:t>；为欠固结土</w:t>
      </w:r>
      <w:r>
        <w:rPr>
          <w:rFonts w:hint="eastAsia"/>
          <w:bCs/>
          <w:sz w:val="24"/>
        </w:rPr>
        <w:t>时</w:t>
      </w:r>
      <w:r>
        <w:rPr>
          <w:bCs/>
          <w:sz w:val="24"/>
        </w:rPr>
        <w:t>，宜采用有效自重压力下预固结的三轴不固结不排水（UU）</w:t>
      </w:r>
      <w:r>
        <w:rPr>
          <w:rFonts w:hint="eastAsia"/>
          <w:bCs/>
          <w:sz w:val="24"/>
        </w:rPr>
        <w:t>方法测定；</w:t>
      </w:r>
    </w:p>
    <w:p>
      <w:pPr>
        <w:spacing w:line="360" w:lineRule="auto"/>
        <w:ind w:left="990" w:leftChars="300" w:hanging="360" w:hangingChars="150"/>
        <w:jc w:val="left"/>
        <w:rPr>
          <w:sz w:val="24"/>
        </w:rPr>
      </w:pPr>
      <w:r>
        <w:rPr>
          <w:rFonts w:hint="eastAsia"/>
          <w:sz w:val="24"/>
        </w:rPr>
        <w:t>3</w:t>
      </w:r>
      <w:r>
        <w:rPr>
          <w:sz w:val="24"/>
        </w:rPr>
        <w:t>）</w:t>
      </w:r>
      <w:r>
        <w:rPr>
          <w:bCs/>
          <w:sz w:val="24"/>
        </w:rPr>
        <w:t>对粉土、砂土和碎石土</w:t>
      </w:r>
      <w:r>
        <w:rPr>
          <w:rFonts w:hint="eastAsia"/>
          <w:bCs/>
          <w:sz w:val="24"/>
        </w:rPr>
        <w:t>的抗剪强度指标</w:t>
      </w:r>
      <w:r>
        <w:rPr>
          <w:bCs/>
          <w:sz w:val="24"/>
        </w:rPr>
        <w:t>，</w:t>
      </w:r>
      <w:r>
        <w:rPr>
          <w:rFonts w:hint="eastAsia"/>
          <w:bCs/>
          <w:sz w:val="24"/>
        </w:rPr>
        <w:t>可</w:t>
      </w:r>
      <w:r>
        <w:rPr>
          <w:bCs/>
          <w:sz w:val="24"/>
        </w:rPr>
        <w:t>采用有效应力</w:t>
      </w:r>
      <w:r>
        <w:rPr>
          <w:rFonts w:hint="eastAsia"/>
          <w:bCs/>
          <w:sz w:val="24"/>
        </w:rPr>
        <w:t>法测定，</w:t>
      </w:r>
      <w:r>
        <w:rPr>
          <w:sz w:val="24"/>
        </w:rPr>
        <w:t>对粉土</w:t>
      </w:r>
      <w:r>
        <w:rPr>
          <w:rFonts w:hint="eastAsia"/>
          <w:bCs/>
          <w:sz w:val="24"/>
        </w:rPr>
        <w:t>的抗剪强度指标</w:t>
      </w:r>
      <w:r>
        <w:rPr>
          <w:sz w:val="24"/>
        </w:rPr>
        <w:t>，也可采用三轴固结不排水（CU）或直剪固结快剪</w:t>
      </w:r>
      <w:r>
        <w:rPr>
          <w:rFonts w:hint="eastAsia"/>
          <w:sz w:val="24"/>
        </w:rPr>
        <w:t>方法测定</w:t>
      </w:r>
      <w:r>
        <w:rPr>
          <w:sz w:val="24"/>
        </w:rPr>
        <w:t>；</w:t>
      </w:r>
    </w:p>
    <w:p>
      <w:pPr>
        <w:spacing w:line="360" w:lineRule="auto"/>
        <w:ind w:left="990" w:leftChars="300" w:hanging="360" w:hangingChars="150"/>
        <w:jc w:val="left"/>
        <w:rPr>
          <w:sz w:val="24"/>
        </w:rPr>
      </w:pPr>
      <w:r>
        <w:rPr>
          <w:rFonts w:hint="eastAsia"/>
          <w:sz w:val="24"/>
        </w:rPr>
        <w:t>4</w:t>
      </w:r>
      <w:r>
        <w:rPr>
          <w:sz w:val="24"/>
        </w:rPr>
        <w:t>）对软土</w:t>
      </w:r>
      <w:r>
        <w:rPr>
          <w:rFonts w:hint="eastAsia"/>
          <w:bCs/>
          <w:sz w:val="24"/>
        </w:rPr>
        <w:t>的抗剪强度指标</w:t>
      </w:r>
      <w:r>
        <w:rPr>
          <w:sz w:val="24"/>
        </w:rPr>
        <w:t>宜采用直剪快剪</w:t>
      </w:r>
      <w:r>
        <w:rPr>
          <w:rFonts w:hint="eastAsia"/>
          <w:sz w:val="24"/>
        </w:rPr>
        <w:t>方法测定。</w:t>
      </w:r>
    </w:p>
    <w:p>
      <w:pPr>
        <w:spacing w:line="360" w:lineRule="auto"/>
        <w:ind w:firstLine="480" w:firstLineChars="200"/>
        <w:jc w:val="left"/>
        <w:rPr>
          <w:bCs/>
          <w:sz w:val="24"/>
        </w:rPr>
      </w:pPr>
      <w:r>
        <w:rPr>
          <w:rFonts w:hint="eastAsia"/>
          <w:bCs/>
          <w:sz w:val="24"/>
        </w:rPr>
        <w:t>2</w:t>
      </w:r>
      <w:r>
        <w:rPr>
          <w:bCs/>
          <w:sz w:val="24"/>
        </w:rPr>
        <w:t xml:space="preserve"> 对全风化岩及软岩、碎石土的抗剪强度指标，宜采用现场直剪试验确定。</w:t>
      </w:r>
    </w:p>
    <w:p>
      <w:pPr>
        <w:spacing w:line="360" w:lineRule="auto"/>
        <w:jc w:val="center"/>
        <w:outlineLvl w:val="1"/>
        <w:rPr>
          <w:b/>
          <w:sz w:val="24"/>
        </w:rPr>
      </w:pPr>
      <w:bookmarkStart w:id="27" w:name="_Toc87018327"/>
      <w:bookmarkStart w:id="28" w:name="_Toc87018258"/>
      <w:r>
        <w:rPr>
          <w:b/>
          <w:sz w:val="24"/>
        </w:rPr>
        <w:t>4.5  原位测试</w:t>
      </w:r>
      <w:bookmarkEnd w:id="27"/>
      <w:bookmarkEnd w:id="28"/>
    </w:p>
    <w:p>
      <w:pPr>
        <w:spacing w:line="360" w:lineRule="auto"/>
        <w:jc w:val="left"/>
        <w:rPr>
          <w:bCs/>
          <w:sz w:val="24"/>
        </w:rPr>
      </w:pPr>
      <w:r>
        <w:rPr>
          <w:b/>
          <w:bCs/>
          <w:sz w:val="24"/>
        </w:rPr>
        <w:t>4.5.1</w:t>
      </w:r>
      <w:r>
        <w:rPr>
          <w:bCs/>
          <w:sz w:val="24"/>
        </w:rPr>
        <w:t xml:space="preserve">  原位测试应根据岩土条件</w:t>
      </w:r>
      <w:r>
        <w:rPr>
          <w:rFonts w:hint="eastAsia"/>
          <w:bCs/>
          <w:sz w:val="24"/>
        </w:rPr>
        <w:t>、设计要求、地区经验和测试方法的</w:t>
      </w:r>
      <w:r>
        <w:rPr>
          <w:bCs/>
          <w:sz w:val="24"/>
        </w:rPr>
        <w:t>适用</w:t>
      </w:r>
      <w:r>
        <w:rPr>
          <w:rFonts w:hint="eastAsia"/>
          <w:bCs/>
          <w:sz w:val="24"/>
        </w:rPr>
        <w:t>性</w:t>
      </w:r>
      <w:r>
        <w:rPr>
          <w:bCs/>
          <w:sz w:val="24"/>
        </w:rPr>
        <w:t>等因素选用</w:t>
      </w:r>
      <w:r>
        <w:rPr>
          <w:rFonts w:hint="eastAsia"/>
          <w:bCs/>
          <w:sz w:val="24"/>
        </w:rPr>
        <w:t>。</w:t>
      </w:r>
    </w:p>
    <w:p>
      <w:pPr>
        <w:spacing w:line="360" w:lineRule="auto"/>
        <w:jc w:val="left"/>
        <w:rPr>
          <w:bCs/>
          <w:sz w:val="24"/>
        </w:rPr>
      </w:pPr>
      <w:r>
        <w:rPr>
          <w:b/>
          <w:bCs/>
          <w:sz w:val="24"/>
        </w:rPr>
        <w:t>4.5.</w:t>
      </w:r>
      <w:r>
        <w:rPr>
          <w:rFonts w:hint="eastAsia"/>
          <w:b/>
          <w:bCs/>
          <w:sz w:val="24"/>
        </w:rPr>
        <w:t>2</w:t>
      </w:r>
      <w:r>
        <w:rPr>
          <w:bCs/>
          <w:sz w:val="24"/>
        </w:rPr>
        <w:t xml:space="preserve">  原位测试</w:t>
      </w:r>
      <w:r>
        <w:rPr>
          <w:rFonts w:hint="eastAsia"/>
          <w:bCs/>
          <w:sz w:val="24"/>
        </w:rPr>
        <w:t>方法及成果整理应符合</w:t>
      </w:r>
      <w:r>
        <w:rPr>
          <w:bCs/>
          <w:sz w:val="24"/>
        </w:rPr>
        <w:t>《岩土工程勘察规范》GB</w:t>
      </w:r>
      <w:r>
        <w:rPr>
          <w:rFonts w:hint="eastAsia"/>
          <w:bCs/>
          <w:sz w:val="24"/>
        </w:rPr>
        <w:t xml:space="preserve"> </w:t>
      </w:r>
      <w:r>
        <w:rPr>
          <w:bCs/>
          <w:sz w:val="24"/>
        </w:rPr>
        <w:t>50021的规定</w:t>
      </w:r>
      <w:r>
        <w:rPr>
          <w:rFonts w:hint="eastAsia"/>
          <w:bCs/>
          <w:sz w:val="24"/>
        </w:rPr>
        <w:t>。</w:t>
      </w:r>
    </w:p>
    <w:p>
      <w:pPr>
        <w:spacing w:line="360" w:lineRule="auto"/>
        <w:jc w:val="left"/>
        <w:rPr>
          <w:bCs/>
          <w:sz w:val="24"/>
        </w:rPr>
      </w:pPr>
      <w:r>
        <w:rPr>
          <w:b/>
          <w:bCs/>
          <w:sz w:val="24"/>
        </w:rPr>
        <w:t>4.5.</w:t>
      </w:r>
      <w:r>
        <w:rPr>
          <w:rFonts w:hint="eastAsia"/>
          <w:b/>
          <w:bCs/>
          <w:sz w:val="24"/>
        </w:rPr>
        <w:t>3</w:t>
      </w:r>
      <w:r>
        <w:rPr>
          <w:bCs/>
          <w:sz w:val="24"/>
        </w:rPr>
        <w:t xml:space="preserve">  </w:t>
      </w:r>
      <w:r>
        <w:rPr>
          <w:rFonts w:hint="eastAsia"/>
          <w:bCs/>
          <w:sz w:val="24"/>
        </w:rPr>
        <w:t>当有经验时，可根据原位测试成果确定抗剪强度指标。</w:t>
      </w:r>
    </w:p>
    <w:p>
      <w:pPr>
        <w:spacing w:line="360" w:lineRule="auto"/>
        <w:jc w:val="left"/>
        <w:rPr>
          <w:bCs/>
          <w:sz w:val="24"/>
        </w:rPr>
      </w:pPr>
    </w:p>
    <w:p>
      <w:pPr>
        <w:spacing w:line="360" w:lineRule="auto"/>
        <w:jc w:val="center"/>
        <w:outlineLvl w:val="1"/>
        <w:rPr>
          <w:b/>
          <w:sz w:val="24"/>
        </w:rPr>
      </w:pPr>
      <w:bookmarkStart w:id="29" w:name="_Toc87018328"/>
      <w:bookmarkStart w:id="30" w:name="_Toc87018259"/>
      <w:r>
        <w:rPr>
          <w:b/>
          <w:sz w:val="24"/>
        </w:rPr>
        <w:t>4.6  水文地质</w:t>
      </w:r>
      <w:bookmarkEnd w:id="29"/>
      <w:bookmarkEnd w:id="30"/>
    </w:p>
    <w:p>
      <w:pPr>
        <w:adjustRightInd w:val="0"/>
        <w:snapToGrid w:val="0"/>
        <w:spacing w:line="360" w:lineRule="auto"/>
        <w:jc w:val="left"/>
        <w:rPr>
          <w:b/>
          <w:sz w:val="24"/>
        </w:rPr>
      </w:pPr>
      <w:r>
        <w:rPr>
          <w:b/>
          <w:sz w:val="24"/>
        </w:rPr>
        <w:t>4.</w:t>
      </w:r>
      <w:r>
        <w:rPr>
          <w:rFonts w:hint="eastAsia"/>
          <w:b/>
          <w:sz w:val="24"/>
        </w:rPr>
        <w:t>6</w:t>
      </w:r>
      <w:r>
        <w:rPr>
          <w:b/>
          <w:sz w:val="24"/>
        </w:rPr>
        <w:t>.</w:t>
      </w:r>
      <w:r>
        <w:rPr>
          <w:rFonts w:hint="eastAsia"/>
          <w:b/>
          <w:sz w:val="24"/>
        </w:rPr>
        <w:t>1</w:t>
      </w:r>
      <w:r>
        <w:rPr>
          <w:b/>
          <w:sz w:val="24"/>
        </w:rPr>
        <w:t xml:space="preserve">  </w:t>
      </w:r>
      <w:r>
        <w:rPr>
          <w:bCs/>
          <w:sz w:val="24"/>
        </w:rPr>
        <w:t>水文地质调查与测绘</w:t>
      </w:r>
      <w:r>
        <w:rPr>
          <w:rFonts w:hint="eastAsia"/>
          <w:bCs/>
          <w:sz w:val="24"/>
        </w:rPr>
        <w:t>应满足下列</w:t>
      </w:r>
      <w:r>
        <w:rPr>
          <w:bCs/>
          <w:sz w:val="24"/>
        </w:rPr>
        <w:t>要求：</w:t>
      </w:r>
    </w:p>
    <w:p>
      <w:pPr>
        <w:spacing w:line="360" w:lineRule="auto"/>
        <w:ind w:firstLine="480" w:firstLineChars="200"/>
        <w:jc w:val="left"/>
        <w:rPr>
          <w:bCs/>
          <w:sz w:val="24"/>
        </w:rPr>
      </w:pPr>
      <w:r>
        <w:rPr>
          <w:rFonts w:hint="eastAsia"/>
          <w:bCs/>
          <w:sz w:val="24"/>
        </w:rPr>
        <w:t>1</w:t>
      </w:r>
      <w:r>
        <w:rPr>
          <w:bCs/>
          <w:sz w:val="24"/>
        </w:rPr>
        <w:t xml:space="preserve">  调查与测绘内容包括对基坑支护有影响的地表水和地下水；</w:t>
      </w:r>
    </w:p>
    <w:p>
      <w:pPr>
        <w:spacing w:line="360" w:lineRule="auto"/>
        <w:ind w:firstLine="480" w:firstLineChars="200"/>
        <w:jc w:val="left"/>
        <w:rPr>
          <w:bCs/>
          <w:sz w:val="24"/>
        </w:rPr>
      </w:pPr>
      <w:r>
        <w:rPr>
          <w:rFonts w:hint="eastAsia"/>
          <w:bCs/>
          <w:sz w:val="24"/>
        </w:rPr>
        <w:t>2</w:t>
      </w:r>
      <w:r>
        <w:rPr>
          <w:bCs/>
          <w:sz w:val="24"/>
        </w:rPr>
        <w:t xml:space="preserve">  调查</w:t>
      </w:r>
      <w:r>
        <w:rPr>
          <w:rFonts w:hint="eastAsia"/>
          <w:bCs/>
          <w:sz w:val="24"/>
        </w:rPr>
        <w:t>深</w:t>
      </w:r>
      <w:r>
        <w:rPr>
          <w:bCs/>
          <w:sz w:val="24"/>
        </w:rPr>
        <w:t>度应满足基坑评价要求。</w:t>
      </w:r>
    </w:p>
    <w:p>
      <w:pPr>
        <w:spacing w:line="360" w:lineRule="auto"/>
        <w:jc w:val="left"/>
        <w:rPr>
          <w:bCs/>
          <w:sz w:val="24"/>
        </w:rPr>
      </w:pPr>
      <w:r>
        <w:rPr>
          <w:b/>
          <w:sz w:val="24"/>
        </w:rPr>
        <w:t>4.</w:t>
      </w:r>
      <w:r>
        <w:rPr>
          <w:rFonts w:hint="eastAsia"/>
          <w:b/>
          <w:sz w:val="24"/>
        </w:rPr>
        <w:t>6</w:t>
      </w:r>
      <w:r>
        <w:rPr>
          <w:b/>
          <w:sz w:val="24"/>
        </w:rPr>
        <w:t>.</w:t>
      </w:r>
      <w:r>
        <w:rPr>
          <w:rFonts w:hint="eastAsia"/>
          <w:b/>
          <w:sz w:val="24"/>
        </w:rPr>
        <w:t>2</w:t>
      </w:r>
      <w:r>
        <w:rPr>
          <w:b/>
          <w:sz w:val="24"/>
        </w:rPr>
        <w:t xml:space="preserve">  </w:t>
      </w:r>
      <w:r>
        <w:rPr>
          <w:bCs/>
          <w:sz w:val="24"/>
        </w:rPr>
        <w:t>水文地质勘察应满足下列要求：</w:t>
      </w:r>
    </w:p>
    <w:p>
      <w:pPr>
        <w:spacing w:line="360" w:lineRule="auto"/>
        <w:ind w:firstLine="480" w:firstLineChars="200"/>
        <w:jc w:val="left"/>
        <w:rPr>
          <w:bCs/>
          <w:sz w:val="24"/>
        </w:rPr>
      </w:pPr>
      <w:r>
        <w:rPr>
          <w:bCs/>
          <w:sz w:val="24"/>
        </w:rPr>
        <w:t>1  查明基坑及周边地下水含水层和隔水层的层位、类型、埋深、厚度、承压性、水位及变幅、渗透系数，相互补给关系和水力联系；</w:t>
      </w:r>
    </w:p>
    <w:p>
      <w:pPr>
        <w:spacing w:line="360" w:lineRule="auto"/>
        <w:ind w:firstLine="480" w:firstLineChars="200"/>
        <w:jc w:val="left"/>
        <w:rPr>
          <w:bCs/>
          <w:sz w:val="24"/>
        </w:rPr>
      </w:pPr>
      <w:r>
        <w:rPr>
          <w:bCs/>
          <w:sz w:val="24"/>
        </w:rPr>
        <w:t>2  当勘察范围内存在多层地下水时，应分层量测含水层的水位并分析相互之间的补给关系；</w:t>
      </w:r>
      <w:r>
        <w:rPr>
          <w:rFonts w:hint="eastAsia"/>
          <w:bCs/>
          <w:sz w:val="24"/>
        </w:rPr>
        <w:t>对可能</w:t>
      </w:r>
      <w:r>
        <w:rPr>
          <w:bCs/>
          <w:sz w:val="24"/>
        </w:rPr>
        <w:t>引起基坑流砂、管涌和突涌的承压水，应测量其水头高度；</w:t>
      </w:r>
    </w:p>
    <w:p>
      <w:pPr>
        <w:spacing w:line="360" w:lineRule="auto"/>
        <w:ind w:firstLine="480" w:firstLineChars="200"/>
        <w:jc w:val="left"/>
        <w:rPr>
          <w:bCs/>
          <w:sz w:val="24"/>
        </w:rPr>
      </w:pPr>
      <w:r>
        <w:rPr>
          <w:bCs/>
          <w:sz w:val="24"/>
        </w:rPr>
        <w:t xml:space="preserve">3 </w:t>
      </w:r>
      <w:r>
        <w:rPr>
          <w:rFonts w:hint="eastAsia"/>
          <w:bCs/>
          <w:sz w:val="24"/>
        </w:rPr>
        <w:t xml:space="preserve"> </w:t>
      </w:r>
      <w:r>
        <w:rPr>
          <w:bCs/>
          <w:sz w:val="24"/>
        </w:rPr>
        <w:t>对安全等级为一级、二级的基坑工程，宜采用抽（注）水试验综合测定含水层的渗透系数和影响半径，预估基坑涌水量；对安全等级为三级的基坑工程，土的渗透系数可采用室内渗透试验确定；</w:t>
      </w:r>
    </w:p>
    <w:p>
      <w:pPr>
        <w:spacing w:line="360" w:lineRule="auto"/>
        <w:ind w:firstLine="480" w:firstLineChars="200"/>
        <w:jc w:val="left"/>
        <w:rPr>
          <w:bCs/>
          <w:sz w:val="24"/>
        </w:rPr>
      </w:pPr>
      <w:r>
        <w:rPr>
          <w:bCs/>
          <w:sz w:val="24"/>
        </w:rPr>
        <w:t xml:space="preserve">4 </w:t>
      </w:r>
      <w:r>
        <w:rPr>
          <w:rFonts w:hint="eastAsia"/>
          <w:bCs/>
          <w:sz w:val="24"/>
        </w:rPr>
        <w:t xml:space="preserve"> </w:t>
      </w:r>
      <w:r>
        <w:rPr>
          <w:bCs/>
          <w:sz w:val="24"/>
        </w:rPr>
        <w:t>当基坑周边环境保护要求高或工程降水</w:t>
      </w:r>
      <w:r>
        <w:rPr>
          <w:rFonts w:hint="eastAsia"/>
          <w:bCs/>
          <w:sz w:val="24"/>
        </w:rPr>
        <w:t>影响大</w:t>
      </w:r>
      <w:r>
        <w:rPr>
          <w:bCs/>
          <w:sz w:val="24"/>
        </w:rPr>
        <w:t>时，须进行专门的水文地质勘察。</w:t>
      </w:r>
    </w:p>
    <w:p>
      <w:pPr>
        <w:spacing w:line="360" w:lineRule="auto"/>
        <w:jc w:val="left"/>
        <w:rPr>
          <w:bCs/>
          <w:sz w:val="24"/>
        </w:rPr>
      </w:pPr>
      <w:r>
        <w:rPr>
          <w:b/>
          <w:sz w:val="24"/>
        </w:rPr>
        <w:t xml:space="preserve">4.6.3  </w:t>
      </w:r>
      <w:r>
        <w:rPr>
          <w:sz w:val="24"/>
        </w:rPr>
        <w:t>水文地质试验</w:t>
      </w:r>
      <w:r>
        <w:rPr>
          <w:rFonts w:hint="eastAsia"/>
          <w:sz w:val="24"/>
        </w:rPr>
        <w:t>及成果整理应符合</w:t>
      </w:r>
      <w:r>
        <w:rPr>
          <w:bCs/>
          <w:sz w:val="24"/>
        </w:rPr>
        <w:t>《岩土工程勘察规范》GB</w:t>
      </w:r>
      <w:r>
        <w:rPr>
          <w:rFonts w:hint="eastAsia"/>
          <w:bCs/>
          <w:sz w:val="24"/>
        </w:rPr>
        <w:t xml:space="preserve"> </w:t>
      </w:r>
      <w:r>
        <w:rPr>
          <w:bCs/>
          <w:sz w:val="24"/>
        </w:rPr>
        <w:t>50021的规定</w:t>
      </w:r>
      <w:r>
        <w:rPr>
          <w:rFonts w:hint="eastAsia"/>
          <w:bCs/>
          <w:sz w:val="24"/>
        </w:rPr>
        <w:t>。</w:t>
      </w:r>
    </w:p>
    <w:p>
      <w:pPr>
        <w:spacing w:line="360" w:lineRule="auto"/>
        <w:jc w:val="left"/>
        <w:rPr>
          <w:bCs/>
          <w:sz w:val="24"/>
        </w:rPr>
      </w:pPr>
      <w:r>
        <w:rPr>
          <w:b/>
          <w:bCs/>
          <w:sz w:val="24"/>
        </w:rPr>
        <w:t>4.</w:t>
      </w:r>
      <w:r>
        <w:rPr>
          <w:rFonts w:hint="eastAsia"/>
          <w:b/>
          <w:bCs/>
          <w:sz w:val="24"/>
        </w:rPr>
        <w:t>6</w:t>
      </w:r>
      <w:r>
        <w:rPr>
          <w:b/>
          <w:bCs/>
          <w:sz w:val="24"/>
        </w:rPr>
        <w:t>.</w:t>
      </w:r>
      <w:r>
        <w:rPr>
          <w:rFonts w:hint="eastAsia"/>
          <w:b/>
          <w:bCs/>
          <w:sz w:val="24"/>
        </w:rPr>
        <w:t>4</w:t>
      </w:r>
      <w:r>
        <w:rPr>
          <w:bCs/>
          <w:sz w:val="24"/>
        </w:rPr>
        <w:t xml:space="preserve">  土的渗透系数</w:t>
      </w:r>
      <w:r>
        <w:rPr>
          <w:rFonts w:hint="eastAsia"/>
          <w:bCs/>
          <w:sz w:val="24"/>
        </w:rPr>
        <w:t>可根据室内试验</w:t>
      </w:r>
      <w:r>
        <w:rPr>
          <w:bCs/>
          <w:sz w:val="24"/>
        </w:rPr>
        <w:t>与现场</w:t>
      </w:r>
      <w:r>
        <w:rPr>
          <w:rFonts w:hint="eastAsia"/>
          <w:bCs/>
          <w:sz w:val="24"/>
        </w:rPr>
        <w:t>水文地质试</w:t>
      </w:r>
      <w:r>
        <w:rPr>
          <w:bCs/>
          <w:sz w:val="24"/>
        </w:rPr>
        <w:t>验的成果比较后综合确定。</w:t>
      </w:r>
    </w:p>
    <w:p>
      <w:pPr>
        <w:spacing w:line="360" w:lineRule="auto"/>
        <w:jc w:val="center"/>
        <w:outlineLvl w:val="1"/>
        <w:rPr>
          <w:b/>
          <w:sz w:val="24"/>
        </w:rPr>
      </w:pPr>
      <w:bookmarkStart w:id="31" w:name="_Toc87018329"/>
      <w:bookmarkStart w:id="32" w:name="_Toc87018260"/>
      <w:r>
        <w:rPr>
          <w:b/>
          <w:sz w:val="24"/>
        </w:rPr>
        <w:t>4.7  基坑稳定性分析评价</w:t>
      </w:r>
      <w:bookmarkEnd w:id="31"/>
      <w:bookmarkEnd w:id="32"/>
    </w:p>
    <w:p>
      <w:pPr>
        <w:spacing w:line="360" w:lineRule="auto"/>
        <w:jc w:val="left"/>
        <w:rPr>
          <w:sz w:val="24"/>
        </w:rPr>
      </w:pPr>
      <w:r>
        <w:rPr>
          <w:b/>
          <w:sz w:val="24"/>
        </w:rPr>
        <w:t xml:space="preserve">4.7.1  </w:t>
      </w:r>
      <w:r>
        <w:rPr>
          <w:sz w:val="24"/>
        </w:rPr>
        <w:t>单一黏性土层</w:t>
      </w:r>
      <w:r>
        <w:rPr>
          <w:rFonts w:hint="eastAsia"/>
          <w:sz w:val="24"/>
        </w:rPr>
        <w:t>在</w:t>
      </w:r>
      <w:r>
        <w:rPr>
          <w:sz w:val="24"/>
        </w:rPr>
        <w:t>不考虑地下水位和坑周荷载影响时，侧壁自立高度可用</w:t>
      </w:r>
      <w:r>
        <w:rPr>
          <w:rFonts w:hint="eastAsia"/>
          <w:sz w:val="24"/>
        </w:rPr>
        <w:t>下式</w:t>
      </w:r>
      <w:r>
        <w:rPr>
          <w:sz w:val="24"/>
        </w:rPr>
        <w:t>进行</w:t>
      </w:r>
      <w:r>
        <w:rPr>
          <w:rFonts w:hint="eastAsia"/>
          <w:sz w:val="24"/>
        </w:rPr>
        <w:t>计</w:t>
      </w:r>
      <w:r>
        <w:rPr>
          <w:sz w:val="24"/>
        </w:rPr>
        <w:t>算：</w:t>
      </w:r>
    </w:p>
    <w:p>
      <w:pPr>
        <w:jc w:val="right"/>
        <w:rPr>
          <w:sz w:val="24"/>
        </w:rPr>
      </w:pPr>
      <w:r>
        <w:rPr>
          <w:position w:val="-28"/>
        </w:rPr>
        <w:object>
          <v:shape id="_x0000_i1032" o:spt="75" type="#_x0000_t75" style="height:34.45pt;width:119.1pt;" o:ole="t" filled="f" coordsize="21600,21600">
            <v:path/>
            <v:fill on="f" focussize="0,0"/>
            <v:stroke/>
            <v:imagedata r:id="rId31" o:title=""/>
            <o:lock v:ext="edit" aspectratio="t"/>
            <w10:wrap type="none"/>
            <w10:anchorlock/>
          </v:shape>
          <o:OLEObject Type="Embed" ProgID="Equation.DSMT4" ShapeID="_x0000_i1032" DrawAspect="Content" ObjectID="_1468075732" r:id="rId30">
            <o:LockedField>false</o:LockedField>
          </o:OLEObject>
        </w:object>
      </w:r>
      <w:r>
        <w:rPr>
          <w:position w:val="-28"/>
          <w:sz w:val="24"/>
        </w:rPr>
        <w:t xml:space="preserve">                      </w:t>
      </w:r>
      <w:r>
        <w:rPr>
          <w:sz w:val="24"/>
        </w:rPr>
        <w:t>（4.7.1）</w:t>
      </w:r>
    </w:p>
    <w:p>
      <w:pPr>
        <w:spacing w:line="360" w:lineRule="auto"/>
        <w:rPr>
          <w:sz w:val="24"/>
        </w:rPr>
      </w:pPr>
      <w:r>
        <w:rPr>
          <w:sz w:val="24"/>
        </w:rPr>
        <w:t>式中：</w:t>
      </w:r>
      <w:r>
        <w:rPr>
          <w:i/>
          <w:sz w:val="24"/>
        </w:rPr>
        <w:t>Z</w:t>
      </w:r>
      <w:r>
        <w:rPr>
          <w:sz w:val="24"/>
          <w:vertAlign w:val="subscript"/>
        </w:rPr>
        <w:t>0</w:t>
      </w:r>
      <w:r>
        <w:rPr>
          <w:sz w:val="24"/>
        </w:rPr>
        <w:t>—自立高度（m）；</w:t>
      </w:r>
    </w:p>
    <w:p>
      <w:pPr>
        <w:spacing w:line="360" w:lineRule="auto"/>
        <w:ind w:firstLine="720" w:firstLineChars="300"/>
        <w:rPr>
          <w:sz w:val="24"/>
        </w:rPr>
      </w:pPr>
      <w:r>
        <w:rPr>
          <w:i/>
          <w:sz w:val="24"/>
        </w:rPr>
        <w:t>c</w:t>
      </w:r>
      <w:r>
        <w:rPr>
          <w:sz w:val="24"/>
        </w:rPr>
        <w:t>— 侧壁土体的黏聚力（kPa）；</w:t>
      </w:r>
    </w:p>
    <w:p>
      <w:pPr>
        <w:spacing w:line="360" w:lineRule="auto"/>
        <w:ind w:firstLine="720" w:firstLineChars="300"/>
        <w:rPr>
          <w:sz w:val="24"/>
        </w:rPr>
      </w:pPr>
      <w:r>
        <w:rPr>
          <w:i/>
          <w:sz w:val="24"/>
        </w:rPr>
        <w:t>γ</w:t>
      </w:r>
      <w:r>
        <w:rPr>
          <w:sz w:val="24"/>
        </w:rPr>
        <w:t>— 侧壁土体的天然重度（kN/m</w:t>
      </w:r>
      <w:r>
        <w:rPr>
          <w:sz w:val="24"/>
          <w:vertAlign w:val="superscript"/>
        </w:rPr>
        <w:t>3</w:t>
      </w:r>
      <w:r>
        <w:rPr>
          <w:sz w:val="24"/>
        </w:rPr>
        <w:t>）；</w:t>
      </w:r>
    </w:p>
    <w:p>
      <w:pPr>
        <w:spacing w:line="360" w:lineRule="auto"/>
        <w:ind w:firstLine="720" w:firstLineChars="300"/>
        <w:rPr>
          <w:sz w:val="24"/>
        </w:rPr>
      </w:pPr>
      <w:r>
        <w:rPr>
          <w:i/>
          <w:sz w:val="24"/>
        </w:rPr>
        <w:t>φ</w:t>
      </w:r>
      <w:r>
        <w:rPr>
          <w:sz w:val="24"/>
        </w:rPr>
        <w:t>— 侧壁土体的内摩擦角（°）</w:t>
      </w:r>
      <w:r>
        <w:rPr>
          <w:rFonts w:hint="eastAsia"/>
          <w:sz w:val="24"/>
        </w:rPr>
        <w:t>。</w:t>
      </w:r>
    </w:p>
    <w:p>
      <w:pPr>
        <w:spacing w:line="360" w:lineRule="auto"/>
        <w:jc w:val="left"/>
        <w:rPr>
          <w:sz w:val="24"/>
        </w:rPr>
      </w:pPr>
      <w:r>
        <w:rPr>
          <w:b/>
          <w:sz w:val="24"/>
        </w:rPr>
        <w:t xml:space="preserve">4.7.2  </w:t>
      </w:r>
      <w:r>
        <w:rPr>
          <w:rFonts w:hint="eastAsia"/>
          <w:sz w:val="24"/>
        </w:rPr>
        <w:t>应结合基坑工程地质、水文地质条件进行</w:t>
      </w:r>
      <w:r>
        <w:rPr>
          <w:sz w:val="24"/>
        </w:rPr>
        <w:t>基坑破坏模式分</w:t>
      </w:r>
      <w:r>
        <w:rPr>
          <w:rFonts w:hint="eastAsia"/>
          <w:sz w:val="24"/>
        </w:rPr>
        <w:t>析</w:t>
      </w:r>
      <w:r>
        <w:rPr>
          <w:sz w:val="24"/>
        </w:rPr>
        <w:t>。</w:t>
      </w:r>
    </w:p>
    <w:p>
      <w:pPr>
        <w:spacing w:line="360" w:lineRule="auto"/>
        <w:jc w:val="left"/>
        <w:rPr>
          <w:sz w:val="24"/>
        </w:rPr>
      </w:pPr>
      <w:r>
        <w:rPr>
          <w:b/>
          <w:sz w:val="24"/>
        </w:rPr>
        <w:t>4.7.</w:t>
      </w:r>
      <w:r>
        <w:rPr>
          <w:rFonts w:hint="eastAsia"/>
          <w:b/>
          <w:sz w:val="24"/>
        </w:rPr>
        <w:t>3</w:t>
      </w:r>
      <w:r>
        <w:rPr>
          <w:b/>
          <w:sz w:val="24"/>
        </w:rPr>
        <w:t xml:space="preserve">  </w:t>
      </w:r>
      <w:r>
        <w:rPr>
          <w:sz w:val="24"/>
        </w:rPr>
        <w:t>基坑与边坡组合情形</w:t>
      </w:r>
      <w:r>
        <w:rPr>
          <w:rFonts w:hint="eastAsia"/>
          <w:sz w:val="24"/>
        </w:rPr>
        <w:t>下，</w:t>
      </w:r>
      <w:r>
        <w:rPr>
          <w:sz w:val="24"/>
        </w:rPr>
        <w:t>应</w:t>
      </w:r>
      <w:r>
        <w:rPr>
          <w:rFonts w:hint="eastAsia"/>
          <w:sz w:val="24"/>
        </w:rPr>
        <w:t>进行</w:t>
      </w:r>
      <w:r>
        <w:rPr>
          <w:sz w:val="24"/>
        </w:rPr>
        <w:t>上边坡</w:t>
      </w:r>
      <w:r>
        <w:rPr>
          <w:rFonts w:hint="eastAsia"/>
          <w:sz w:val="24"/>
        </w:rPr>
        <w:t>及</w:t>
      </w:r>
      <w:r>
        <w:rPr>
          <w:sz w:val="24"/>
        </w:rPr>
        <w:t>基坑与边坡组合时的稳定性分析评价。</w:t>
      </w:r>
    </w:p>
    <w:p>
      <w:pPr>
        <w:spacing w:line="360" w:lineRule="auto"/>
        <w:jc w:val="center"/>
        <w:outlineLvl w:val="1"/>
        <w:rPr>
          <w:b/>
          <w:sz w:val="24"/>
        </w:rPr>
      </w:pPr>
      <w:bookmarkStart w:id="33" w:name="_Toc87018330"/>
      <w:bookmarkStart w:id="34" w:name="_Toc87018261"/>
      <w:r>
        <w:rPr>
          <w:b/>
          <w:sz w:val="24"/>
        </w:rPr>
        <w:t>4.8  勘察成果</w:t>
      </w:r>
      <w:bookmarkEnd w:id="33"/>
      <w:bookmarkEnd w:id="34"/>
    </w:p>
    <w:p>
      <w:pPr>
        <w:spacing w:line="360" w:lineRule="auto"/>
        <w:rPr>
          <w:bCs/>
          <w:sz w:val="24"/>
        </w:rPr>
      </w:pPr>
      <w:r>
        <w:rPr>
          <w:b/>
          <w:bCs/>
          <w:sz w:val="24"/>
        </w:rPr>
        <w:t xml:space="preserve">4.8.1  </w:t>
      </w:r>
      <w:r>
        <w:rPr>
          <w:bCs/>
          <w:sz w:val="24"/>
        </w:rPr>
        <w:t>勘察报告应包括以下主要内容：</w:t>
      </w:r>
    </w:p>
    <w:p>
      <w:pPr>
        <w:spacing w:line="360" w:lineRule="auto"/>
        <w:ind w:firstLine="480" w:firstLineChars="200"/>
        <w:rPr>
          <w:bCs/>
          <w:sz w:val="24"/>
        </w:rPr>
      </w:pPr>
      <w:r>
        <w:rPr>
          <w:bCs/>
          <w:sz w:val="24"/>
        </w:rPr>
        <w:t>1  基坑工程概况及设计</w:t>
      </w:r>
      <w:r>
        <w:rPr>
          <w:rFonts w:hint="eastAsia"/>
          <w:bCs/>
          <w:sz w:val="24"/>
        </w:rPr>
        <w:t>要求</w:t>
      </w:r>
      <w:r>
        <w:rPr>
          <w:bCs/>
          <w:sz w:val="24"/>
        </w:rPr>
        <w:t xml:space="preserve">； </w:t>
      </w:r>
    </w:p>
    <w:p>
      <w:pPr>
        <w:spacing w:line="360" w:lineRule="auto"/>
        <w:ind w:firstLine="480" w:firstLineChars="200"/>
        <w:rPr>
          <w:bCs/>
          <w:sz w:val="24"/>
        </w:rPr>
      </w:pPr>
      <w:r>
        <w:rPr>
          <w:bCs/>
          <w:sz w:val="24"/>
        </w:rPr>
        <w:t>2  勘察目的、要求和任务</w:t>
      </w:r>
      <w:r>
        <w:rPr>
          <w:rFonts w:hint="eastAsia"/>
          <w:bCs/>
          <w:sz w:val="24"/>
        </w:rPr>
        <w:t>，</w:t>
      </w:r>
      <w:r>
        <w:rPr>
          <w:bCs/>
          <w:sz w:val="24"/>
        </w:rPr>
        <w:t>勘察工作</w:t>
      </w:r>
      <w:r>
        <w:rPr>
          <w:rFonts w:hint="eastAsia"/>
          <w:bCs/>
          <w:sz w:val="24"/>
        </w:rPr>
        <w:t>布置及完</w:t>
      </w:r>
      <w:r>
        <w:rPr>
          <w:bCs/>
          <w:sz w:val="24"/>
        </w:rPr>
        <w:t>成</w:t>
      </w:r>
      <w:r>
        <w:rPr>
          <w:rFonts w:hint="eastAsia"/>
          <w:bCs/>
          <w:sz w:val="24"/>
        </w:rPr>
        <w:t>工作</w:t>
      </w:r>
      <w:r>
        <w:rPr>
          <w:bCs/>
          <w:sz w:val="24"/>
        </w:rPr>
        <w:t>量；</w:t>
      </w:r>
    </w:p>
    <w:p>
      <w:pPr>
        <w:spacing w:line="360" w:lineRule="auto"/>
        <w:ind w:firstLine="480" w:firstLineChars="200"/>
        <w:rPr>
          <w:bCs/>
          <w:sz w:val="24"/>
        </w:rPr>
      </w:pPr>
      <w:r>
        <w:rPr>
          <w:bCs/>
          <w:sz w:val="24"/>
        </w:rPr>
        <w:t>3</w:t>
      </w:r>
      <w:r>
        <w:rPr>
          <w:rFonts w:hint="eastAsia"/>
          <w:bCs/>
          <w:sz w:val="24"/>
        </w:rPr>
        <w:t xml:space="preserve">  周边环境条件； </w:t>
      </w:r>
    </w:p>
    <w:p>
      <w:pPr>
        <w:spacing w:line="360" w:lineRule="auto"/>
        <w:ind w:firstLine="480" w:firstLineChars="200"/>
        <w:rPr>
          <w:bCs/>
          <w:sz w:val="24"/>
        </w:rPr>
      </w:pPr>
      <w:r>
        <w:rPr>
          <w:rFonts w:hint="eastAsia"/>
          <w:bCs/>
          <w:sz w:val="24"/>
        </w:rPr>
        <w:t>4  地形地貌、地质构造、地层、岩土性质；</w:t>
      </w:r>
    </w:p>
    <w:p>
      <w:pPr>
        <w:spacing w:line="360" w:lineRule="auto"/>
        <w:ind w:firstLine="480" w:firstLineChars="200"/>
        <w:rPr>
          <w:bCs/>
          <w:sz w:val="24"/>
        </w:rPr>
      </w:pPr>
      <w:r>
        <w:rPr>
          <w:rFonts w:hint="eastAsia"/>
          <w:bCs/>
          <w:sz w:val="24"/>
        </w:rPr>
        <w:t>5  不良地质作用和特殊性岩土体；</w:t>
      </w:r>
    </w:p>
    <w:p>
      <w:pPr>
        <w:spacing w:line="360" w:lineRule="auto"/>
        <w:ind w:firstLine="480" w:firstLineChars="200"/>
        <w:rPr>
          <w:bCs/>
          <w:sz w:val="24"/>
        </w:rPr>
      </w:pPr>
      <w:r>
        <w:rPr>
          <w:rFonts w:hint="eastAsia"/>
          <w:bCs/>
          <w:sz w:val="24"/>
        </w:rPr>
        <w:t>6  地下水埋藏情况、类型、腐蚀性、水位及其变化；</w:t>
      </w:r>
    </w:p>
    <w:p>
      <w:pPr>
        <w:spacing w:line="360" w:lineRule="auto"/>
        <w:ind w:firstLine="480" w:firstLineChars="200"/>
        <w:rPr>
          <w:bCs/>
          <w:sz w:val="24"/>
        </w:rPr>
      </w:pPr>
      <w:r>
        <w:rPr>
          <w:rFonts w:hint="eastAsia"/>
          <w:bCs/>
          <w:sz w:val="24"/>
        </w:rPr>
        <w:t>7  成果分析及参数选取；</w:t>
      </w:r>
    </w:p>
    <w:p>
      <w:pPr>
        <w:spacing w:line="360" w:lineRule="auto"/>
        <w:ind w:firstLine="480" w:firstLineChars="200"/>
        <w:rPr>
          <w:bCs/>
          <w:sz w:val="24"/>
        </w:rPr>
      </w:pPr>
      <w:r>
        <w:rPr>
          <w:rFonts w:hint="eastAsia"/>
          <w:bCs/>
          <w:sz w:val="24"/>
        </w:rPr>
        <w:t>8  基坑工程分析评价；</w:t>
      </w:r>
    </w:p>
    <w:p>
      <w:pPr>
        <w:spacing w:line="360" w:lineRule="auto"/>
        <w:ind w:firstLine="480" w:firstLineChars="200"/>
        <w:rPr>
          <w:bCs/>
          <w:sz w:val="24"/>
        </w:rPr>
      </w:pPr>
      <w:r>
        <w:rPr>
          <w:rFonts w:hint="eastAsia"/>
          <w:bCs/>
          <w:sz w:val="24"/>
        </w:rPr>
        <w:t>9  说明地质条件可能造成的工程风险，</w:t>
      </w:r>
      <w:r>
        <w:rPr>
          <w:bCs/>
          <w:sz w:val="24"/>
        </w:rPr>
        <w:t>对基坑支护设计、</w:t>
      </w:r>
      <w:r>
        <w:rPr>
          <w:rFonts w:hint="eastAsia"/>
          <w:bCs/>
          <w:sz w:val="24"/>
        </w:rPr>
        <w:t>地下水控制、</w:t>
      </w:r>
      <w:r>
        <w:rPr>
          <w:bCs/>
          <w:sz w:val="24"/>
        </w:rPr>
        <w:t>施工和监测工作提出建议</w:t>
      </w:r>
      <w:r>
        <w:rPr>
          <w:rFonts w:hint="eastAsia"/>
          <w:bCs/>
          <w:sz w:val="24"/>
        </w:rPr>
        <w:t>。</w:t>
      </w:r>
    </w:p>
    <w:p>
      <w:pPr>
        <w:spacing w:line="360" w:lineRule="auto"/>
        <w:rPr>
          <w:bCs/>
          <w:sz w:val="24"/>
        </w:rPr>
      </w:pPr>
      <w:r>
        <w:rPr>
          <w:b/>
          <w:bCs/>
          <w:sz w:val="24"/>
        </w:rPr>
        <w:t xml:space="preserve">4.8.2  </w:t>
      </w:r>
      <w:r>
        <w:rPr>
          <w:bCs/>
          <w:sz w:val="24"/>
        </w:rPr>
        <w:t>勘察报告应包括以下主要图表：</w:t>
      </w:r>
    </w:p>
    <w:p>
      <w:pPr>
        <w:spacing w:line="360" w:lineRule="auto"/>
        <w:ind w:firstLine="480" w:firstLineChars="200"/>
        <w:rPr>
          <w:bCs/>
          <w:sz w:val="24"/>
        </w:rPr>
      </w:pPr>
      <w:r>
        <w:rPr>
          <w:bCs/>
          <w:sz w:val="24"/>
        </w:rPr>
        <w:t>1  勘探点平面位置图，应标注建筑红线、基坑开挖线、周边建筑、管线、道路、边坡等全面反映基坑及其周边环境影响范围内的现状、勘察工作和设计要素</w:t>
      </w:r>
      <w:r>
        <w:rPr>
          <w:rFonts w:hint="eastAsia"/>
          <w:bCs/>
          <w:sz w:val="24"/>
        </w:rPr>
        <w:t>等</w:t>
      </w:r>
      <w:r>
        <w:rPr>
          <w:bCs/>
          <w:sz w:val="24"/>
        </w:rPr>
        <w:t>；</w:t>
      </w:r>
    </w:p>
    <w:p>
      <w:pPr>
        <w:spacing w:line="360" w:lineRule="auto"/>
        <w:ind w:firstLine="480" w:firstLineChars="200"/>
        <w:rPr>
          <w:bCs/>
          <w:sz w:val="24"/>
        </w:rPr>
      </w:pPr>
      <w:r>
        <w:rPr>
          <w:bCs/>
          <w:sz w:val="24"/>
        </w:rPr>
        <w:t xml:space="preserve">2  </w:t>
      </w:r>
      <w:r>
        <w:rPr>
          <w:rFonts w:hint="eastAsia"/>
          <w:bCs/>
          <w:sz w:val="24"/>
        </w:rPr>
        <w:t>含竖向设计的工程地质剖面图；</w:t>
      </w:r>
    </w:p>
    <w:p>
      <w:pPr>
        <w:spacing w:line="360" w:lineRule="auto"/>
        <w:ind w:firstLine="480" w:firstLineChars="200"/>
        <w:rPr>
          <w:bCs/>
          <w:sz w:val="24"/>
        </w:rPr>
      </w:pPr>
      <w:r>
        <w:rPr>
          <w:bCs/>
          <w:sz w:val="24"/>
        </w:rPr>
        <w:t xml:space="preserve">3  </w:t>
      </w:r>
      <w:r>
        <w:rPr>
          <w:rFonts w:hint="eastAsia"/>
          <w:bCs/>
          <w:sz w:val="24"/>
        </w:rPr>
        <w:t>必要的</w:t>
      </w:r>
      <w:r>
        <w:rPr>
          <w:bCs/>
          <w:sz w:val="24"/>
        </w:rPr>
        <w:t>钻孔柱状图；</w:t>
      </w:r>
    </w:p>
    <w:p>
      <w:pPr>
        <w:spacing w:line="360" w:lineRule="auto"/>
        <w:ind w:firstLine="480" w:firstLineChars="200"/>
        <w:rPr>
          <w:bCs/>
          <w:sz w:val="24"/>
        </w:rPr>
      </w:pPr>
      <w:r>
        <w:rPr>
          <w:bCs/>
          <w:sz w:val="24"/>
        </w:rPr>
        <w:t>4  原位测试成果、现场试验成果和室内岩土水试验成果图表；</w:t>
      </w:r>
    </w:p>
    <w:p>
      <w:pPr>
        <w:spacing w:line="360" w:lineRule="auto"/>
        <w:ind w:firstLine="480" w:firstLineChars="200"/>
        <w:rPr>
          <w:bCs/>
          <w:sz w:val="24"/>
        </w:rPr>
      </w:pPr>
      <w:r>
        <w:rPr>
          <w:bCs/>
          <w:sz w:val="24"/>
        </w:rPr>
        <w:t>5  岩土工程计算的有关图表。</w:t>
      </w:r>
    </w:p>
    <w:p>
      <w:pPr>
        <w:spacing w:line="360" w:lineRule="auto"/>
        <w:rPr>
          <w:bCs/>
          <w:sz w:val="24"/>
        </w:rPr>
      </w:pPr>
      <w:r>
        <w:rPr>
          <w:b/>
          <w:bCs/>
          <w:sz w:val="24"/>
        </w:rPr>
        <w:t>4.8.3</w:t>
      </w:r>
      <w:r>
        <w:rPr>
          <w:rFonts w:hint="eastAsia"/>
          <w:bCs/>
          <w:sz w:val="24"/>
        </w:rPr>
        <w:t xml:space="preserve">  勘察成果尚应包括</w:t>
      </w:r>
      <w:r>
        <w:rPr>
          <w:bCs/>
          <w:sz w:val="24"/>
        </w:rPr>
        <w:t>要求提供</w:t>
      </w:r>
      <w:r>
        <w:rPr>
          <w:rFonts w:hint="eastAsia"/>
          <w:bCs/>
          <w:sz w:val="24"/>
        </w:rPr>
        <w:t>的</w:t>
      </w:r>
      <w:r>
        <w:rPr>
          <w:bCs/>
          <w:sz w:val="24"/>
        </w:rPr>
        <w:t>专项测试报告、检测报告、专题研究和调查报告。</w:t>
      </w:r>
    </w:p>
    <w:p>
      <w:pPr>
        <w:spacing w:line="360" w:lineRule="auto"/>
        <w:rPr>
          <w:i/>
          <w:color w:val="0000CC"/>
          <w:sz w:val="24"/>
        </w:rPr>
      </w:pPr>
    </w:p>
    <w:p>
      <w:pPr>
        <w:spacing w:line="360" w:lineRule="auto"/>
        <w:rPr>
          <w:i/>
          <w:color w:val="0000CC"/>
          <w:sz w:val="24"/>
        </w:rPr>
        <w:sectPr>
          <w:pgSz w:w="11907" w:h="16840"/>
          <w:pgMar w:top="1418" w:right="1134" w:bottom="1134" w:left="1701" w:header="851" w:footer="851" w:gutter="0"/>
          <w:cols w:space="720" w:num="1"/>
          <w:docGrid w:linePitch="312" w:charSpace="0"/>
        </w:sectPr>
      </w:pPr>
    </w:p>
    <w:p>
      <w:pPr>
        <w:spacing w:line="360" w:lineRule="auto"/>
        <w:jc w:val="center"/>
        <w:outlineLvl w:val="0"/>
        <w:rPr>
          <w:b/>
          <w:sz w:val="28"/>
          <w:szCs w:val="28"/>
        </w:rPr>
      </w:pPr>
      <w:bookmarkStart w:id="35" w:name="_Toc87018262"/>
      <w:bookmarkStart w:id="36" w:name="_Toc87018331"/>
      <w:r>
        <w:rPr>
          <w:b/>
          <w:sz w:val="28"/>
          <w:szCs w:val="28"/>
        </w:rPr>
        <w:t>5  支护设计</w:t>
      </w:r>
      <w:bookmarkEnd w:id="35"/>
      <w:bookmarkEnd w:id="36"/>
    </w:p>
    <w:p>
      <w:pPr>
        <w:spacing w:line="360" w:lineRule="auto"/>
        <w:jc w:val="center"/>
        <w:outlineLvl w:val="1"/>
        <w:rPr>
          <w:b/>
          <w:sz w:val="24"/>
        </w:rPr>
      </w:pPr>
      <w:bookmarkStart w:id="37" w:name="_Toc87018332"/>
      <w:bookmarkStart w:id="38" w:name="_Toc87018263"/>
      <w:r>
        <w:rPr>
          <w:b/>
          <w:sz w:val="24"/>
        </w:rPr>
        <w:t>5.1  一般规定</w:t>
      </w:r>
      <w:bookmarkEnd w:id="37"/>
      <w:bookmarkEnd w:id="38"/>
    </w:p>
    <w:p>
      <w:pPr>
        <w:pStyle w:val="24"/>
        <w:topLinePunct/>
        <w:autoSpaceDE w:val="0"/>
        <w:autoSpaceDN w:val="0"/>
        <w:adjustRightInd w:val="0"/>
        <w:snapToGrid w:val="0"/>
        <w:spacing w:line="360" w:lineRule="auto"/>
        <w:rPr>
          <w:kern w:val="2"/>
        </w:rPr>
      </w:pPr>
      <w:r>
        <w:rPr>
          <w:b/>
          <w:bCs/>
          <w:kern w:val="2"/>
        </w:rPr>
        <w:t>5.1.</w:t>
      </w:r>
      <w:r>
        <w:rPr>
          <w:rFonts w:hint="eastAsia"/>
          <w:b/>
          <w:bCs/>
          <w:kern w:val="2"/>
        </w:rPr>
        <w:t>1</w:t>
      </w:r>
      <w:r>
        <w:rPr>
          <w:b/>
          <w:bCs/>
          <w:kern w:val="2"/>
        </w:rPr>
        <w:t xml:space="preserve">  </w:t>
      </w:r>
      <w:r>
        <w:t>支护结构设计时须考虑下列荷载：</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rPr>
      </w:pPr>
      <w:r>
        <w:rPr>
          <w:rFonts w:ascii="Times New Roman" w:hAnsi="Times New Roman"/>
          <w:color w:val="auto"/>
          <w:sz w:val="24"/>
          <w:szCs w:val="24"/>
        </w:rPr>
        <w:t xml:space="preserve">1  </w:t>
      </w:r>
      <w:r>
        <w:rPr>
          <w:rFonts w:hint="eastAsia" w:ascii="Times New Roman" w:hAnsi="Times New Roman"/>
          <w:color w:val="auto"/>
          <w:sz w:val="24"/>
          <w:szCs w:val="24"/>
          <w:lang w:eastAsia="zh-CN"/>
        </w:rPr>
        <w:t>岩</w:t>
      </w:r>
      <w:r>
        <w:rPr>
          <w:rFonts w:ascii="Times New Roman" w:hAnsi="Times New Roman"/>
          <w:color w:val="auto"/>
          <w:sz w:val="24"/>
          <w:szCs w:val="24"/>
        </w:rPr>
        <w:t>土压力和水压力；</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ascii="Times New Roman" w:hAnsi="Times New Roman"/>
          <w:color w:val="auto"/>
          <w:sz w:val="24"/>
          <w:szCs w:val="24"/>
        </w:rPr>
        <w:t xml:space="preserve">2  </w:t>
      </w:r>
      <w:r>
        <w:rPr>
          <w:rFonts w:hint="eastAsia" w:ascii="Times New Roman" w:hAnsi="Times New Roman"/>
          <w:color w:val="auto"/>
          <w:sz w:val="24"/>
          <w:szCs w:val="24"/>
          <w:lang w:eastAsia="zh-CN"/>
        </w:rPr>
        <w:t>附加</w:t>
      </w:r>
      <w:r>
        <w:rPr>
          <w:rFonts w:ascii="Times New Roman" w:hAnsi="Times New Roman"/>
          <w:color w:val="auto"/>
          <w:sz w:val="24"/>
          <w:szCs w:val="24"/>
        </w:rPr>
        <w:t>荷载</w:t>
      </w:r>
      <w:r>
        <w:rPr>
          <w:rFonts w:hint="eastAsia" w:ascii="Times New Roman" w:hAnsi="Times New Roman"/>
          <w:color w:val="auto"/>
          <w:sz w:val="24"/>
          <w:szCs w:val="24"/>
          <w:lang w:eastAsia="zh-CN"/>
        </w:rPr>
        <w:t>及其变化</w:t>
      </w:r>
      <w:r>
        <w:rPr>
          <w:rFonts w:ascii="Times New Roman" w:hAnsi="Times New Roman"/>
          <w:color w:val="auto"/>
          <w:sz w:val="24"/>
          <w:szCs w:val="24"/>
        </w:rPr>
        <w:t>；</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hint="eastAsia" w:ascii="Times New Roman" w:hAnsi="Times New Roman"/>
          <w:color w:val="auto"/>
          <w:sz w:val="24"/>
          <w:szCs w:val="24"/>
          <w:lang w:eastAsia="zh-CN"/>
        </w:rPr>
        <w:t>3</w:t>
      </w:r>
      <w:r>
        <w:rPr>
          <w:rFonts w:ascii="Times New Roman" w:hAnsi="Times New Roman"/>
          <w:color w:val="auto"/>
          <w:sz w:val="24"/>
          <w:szCs w:val="24"/>
        </w:rPr>
        <w:t xml:space="preserve">  </w:t>
      </w:r>
      <w:r>
        <w:rPr>
          <w:rFonts w:hint="eastAsia" w:ascii="Times New Roman" w:hAnsi="Times New Roman"/>
          <w:color w:val="auto"/>
          <w:sz w:val="24"/>
          <w:szCs w:val="24"/>
          <w:lang w:eastAsia="zh-CN"/>
        </w:rPr>
        <w:t>冻胀、膨胀、温度变化及其他因素产生的作用；</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hint="eastAsia" w:ascii="Times New Roman" w:hAnsi="Times New Roman"/>
          <w:color w:val="auto"/>
          <w:sz w:val="24"/>
          <w:szCs w:val="24"/>
          <w:lang w:eastAsia="zh-CN"/>
        </w:rPr>
        <w:t xml:space="preserve">4  </w:t>
      </w:r>
      <w:r>
        <w:rPr>
          <w:rFonts w:ascii="Times New Roman" w:hAnsi="Times New Roman"/>
          <w:color w:val="auto"/>
          <w:sz w:val="24"/>
          <w:szCs w:val="24"/>
        </w:rPr>
        <w:t>支护结构作为主体结构一部分时，上部结构的作用。</w:t>
      </w:r>
    </w:p>
    <w:p>
      <w:pPr>
        <w:pStyle w:val="21"/>
        <w:tabs>
          <w:tab w:val="left" w:pos="900"/>
          <w:tab w:val="left" w:pos="1246"/>
          <w:tab w:val="left" w:pos="7020"/>
        </w:tabs>
        <w:topLinePunct/>
        <w:autoSpaceDE w:val="0"/>
        <w:autoSpaceDN w:val="0"/>
        <w:adjustRightInd w:val="0"/>
        <w:snapToGrid w:val="0"/>
        <w:ind w:firstLine="0"/>
        <w:rPr>
          <w:rFonts w:ascii="Times New Roman" w:hAnsi="Times New Roman"/>
          <w:bCs/>
          <w:color w:val="auto"/>
          <w:sz w:val="24"/>
          <w:szCs w:val="24"/>
          <w:lang w:val="en-US" w:eastAsia="zh-CN"/>
        </w:rPr>
      </w:pPr>
      <w:r>
        <w:rPr>
          <w:rFonts w:ascii="Times New Roman" w:hAnsi="Times New Roman"/>
          <w:b/>
          <w:bCs/>
          <w:color w:val="auto"/>
          <w:sz w:val="24"/>
          <w:szCs w:val="24"/>
          <w:lang w:val="en-US" w:eastAsia="zh-CN"/>
        </w:rPr>
        <w:t>5.1.</w:t>
      </w:r>
      <w:r>
        <w:rPr>
          <w:rFonts w:hint="eastAsia" w:ascii="Times New Roman" w:hAnsi="Times New Roman"/>
          <w:b/>
          <w:bCs/>
          <w:color w:val="auto"/>
          <w:sz w:val="24"/>
          <w:szCs w:val="24"/>
          <w:lang w:val="en-US" w:eastAsia="zh-CN"/>
        </w:rPr>
        <w:t>2</w:t>
      </w:r>
      <w:r>
        <w:rPr>
          <w:rFonts w:ascii="Times New Roman" w:hAnsi="Times New Roman"/>
          <w:b/>
          <w:bCs/>
          <w:color w:val="auto"/>
          <w:sz w:val="24"/>
          <w:szCs w:val="24"/>
          <w:lang w:val="en-US" w:eastAsia="zh-CN"/>
        </w:rPr>
        <w:t xml:space="preserve">  </w:t>
      </w:r>
      <w:r>
        <w:rPr>
          <w:rFonts w:hint="eastAsia" w:ascii="Times New Roman" w:hAnsi="Times New Roman"/>
          <w:bCs/>
          <w:color w:val="auto"/>
          <w:sz w:val="24"/>
          <w:szCs w:val="24"/>
          <w:lang w:val="en-US" w:eastAsia="zh-CN"/>
        </w:rPr>
        <w:t>土方开挖：</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hint="eastAsia" w:ascii="Times New Roman" w:hAnsi="Times New Roman"/>
          <w:color w:val="auto"/>
          <w:sz w:val="24"/>
          <w:szCs w:val="24"/>
          <w:lang w:eastAsia="zh-CN"/>
        </w:rPr>
        <w:t>1  应按基坑工程支护设计规定的施工顺序和开挖要求开挖，并</w:t>
      </w:r>
      <w:r>
        <w:rPr>
          <w:rFonts w:ascii="Times New Roman" w:hAnsi="Times New Roman"/>
          <w:color w:val="auto"/>
          <w:sz w:val="24"/>
          <w:szCs w:val="24"/>
          <w:lang w:eastAsia="zh-CN"/>
        </w:rPr>
        <w:t>应遵循</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分层、</w:t>
      </w:r>
      <w:r>
        <w:rPr>
          <w:rFonts w:hint="eastAsia" w:ascii="Times New Roman" w:hAnsi="Times New Roman"/>
          <w:color w:val="auto"/>
          <w:sz w:val="24"/>
          <w:szCs w:val="24"/>
          <w:lang w:eastAsia="zh-CN"/>
        </w:rPr>
        <w:t>分段</w:t>
      </w:r>
      <w:r>
        <w:rPr>
          <w:rFonts w:ascii="Times New Roman" w:hAnsi="Times New Roman"/>
          <w:color w:val="auto"/>
          <w:sz w:val="24"/>
          <w:szCs w:val="24"/>
          <w:lang w:eastAsia="zh-CN"/>
        </w:rPr>
        <w:t>、平衡</w:t>
      </w:r>
      <w:r>
        <w:rPr>
          <w:rFonts w:hint="eastAsia" w:ascii="Times New Roman" w:hAnsi="Times New Roman"/>
          <w:color w:val="auto"/>
          <w:sz w:val="24"/>
          <w:szCs w:val="24"/>
          <w:lang w:eastAsia="zh-CN"/>
        </w:rPr>
        <w:t>、</w:t>
      </w:r>
      <w:r>
        <w:rPr>
          <w:rFonts w:ascii="Times New Roman" w:hAnsi="Times New Roman"/>
          <w:color w:val="auto"/>
          <w:sz w:val="24"/>
          <w:szCs w:val="24"/>
          <w:lang w:eastAsia="zh-CN"/>
        </w:rPr>
        <w:t>对称</w:t>
      </w:r>
      <w:r>
        <w:rPr>
          <w:rFonts w:hint="eastAsia" w:ascii="Times New Roman" w:hAnsi="Times New Roman"/>
          <w:color w:val="auto"/>
          <w:sz w:val="24"/>
          <w:szCs w:val="24"/>
          <w:lang w:eastAsia="zh-CN"/>
        </w:rPr>
        <w:t>、适时”</w:t>
      </w:r>
      <w:r>
        <w:rPr>
          <w:rFonts w:ascii="Times New Roman" w:hAnsi="Times New Roman"/>
          <w:color w:val="auto"/>
          <w:sz w:val="24"/>
          <w:szCs w:val="24"/>
          <w:lang w:eastAsia="zh-CN"/>
        </w:rPr>
        <w:t>的原则</w:t>
      </w:r>
      <w:r>
        <w:rPr>
          <w:rFonts w:hint="eastAsia" w:ascii="Times New Roman" w:hAnsi="Times New Roman"/>
          <w:color w:val="auto"/>
          <w:sz w:val="24"/>
          <w:szCs w:val="24"/>
          <w:lang w:eastAsia="zh-CN"/>
        </w:rPr>
        <w:t>；</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hint="eastAsia" w:ascii="Times New Roman" w:hAnsi="Times New Roman"/>
          <w:color w:val="auto"/>
          <w:sz w:val="24"/>
          <w:szCs w:val="24"/>
          <w:lang w:eastAsia="zh-CN"/>
        </w:rPr>
        <w:t>2  支护结构构件强度达到开挖阶段的设计强度及锚杆张拉锁定后方可开挖下层土方；</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hint="eastAsia" w:ascii="Times New Roman" w:hAnsi="Times New Roman"/>
          <w:color w:val="auto"/>
          <w:sz w:val="24"/>
          <w:szCs w:val="24"/>
          <w:lang w:eastAsia="zh-CN"/>
        </w:rPr>
        <w:t>3  锚杆、土钉的施工作业面与锚杆、土钉的高差不宜大于500mm，严禁向下超挖土方。</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hint="eastAsia" w:ascii="Times New Roman" w:hAnsi="Times New Roman"/>
          <w:color w:val="auto"/>
          <w:sz w:val="24"/>
          <w:szCs w:val="24"/>
          <w:lang w:eastAsia="zh-CN"/>
        </w:rPr>
        <w:t>4  开挖时，挖土机械不得碰撞或损害支护结构构件及已施工的工程桩；</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hint="eastAsia" w:ascii="Times New Roman" w:hAnsi="Times New Roman"/>
          <w:color w:val="auto"/>
          <w:sz w:val="24"/>
          <w:szCs w:val="24"/>
          <w:lang w:eastAsia="zh-CN"/>
        </w:rPr>
        <w:t>5  当开挖揭露的工程地质、水文地质条件与勘察报告不符时，或出现影响基坑稳定及周边环境安全的异常情况时，应停止开挖，在采取相应处理措施后方可继续开挖；</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hint="eastAsia" w:ascii="Times New Roman" w:hAnsi="Times New Roman"/>
          <w:color w:val="auto"/>
          <w:sz w:val="24"/>
          <w:szCs w:val="24"/>
          <w:lang w:eastAsia="zh-CN"/>
        </w:rPr>
        <w:t>6  对于工程桩先施工的基坑工程，应根据土层性状进行稳定性分析，确定每层开挖厚度及坡率，不得造成工程桩偏位和破坏；</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hint="eastAsia" w:ascii="Times New Roman" w:hAnsi="Times New Roman"/>
          <w:color w:val="auto"/>
          <w:sz w:val="24"/>
          <w:szCs w:val="24"/>
          <w:lang w:eastAsia="zh-CN"/>
        </w:rPr>
        <w:t>7  土方开挖形成的坑内阶段性边坡应进行稳定性分析，并采取必要的防护措施。</w:t>
      </w:r>
    </w:p>
    <w:p>
      <w:pPr>
        <w:pStyle w:val="21"/>
        <w:tabs>
          <w:tab w:val="left" w:pos="900"/>
          <w:tab w:val="left" w:pos="1246"/>
          <w:tab w:val="left" w:pos="7020"/>
        </w:tabs>
        <w:topLinePunct/>
        <w:autoSpaceDE w:val="0"/>
        <w:autoSpaceDN w:val="0"/>
        <w:adjustRightInd w:val="0"/>
        <w:snapToGrid w:val="0"/>
        <w:ind w:firstLine="0"/>
        <w:rPr>
          <w:rFonts w:ascii="Times New Roman" w:hAnsi="Times New Roman"/>
          <w:bCs/>
          <w:color w:val="auto"/>
          <w:sz w:val="24"/>
          <w:szCs w:val="24"/>
          <w:lang w:val="en-US" w:eastAsia="zh-CN"/>
        </w:rPr>
      </w:pPr>
      <w:r>
        <w:rPr>
          <w:rFonts w:hint="eastAsia" w:ascii="Times New Roman" w:hAnsi="Times New Roman"/>
          <w:b/>
          <w:bCs/>
          <w:color w:val="auto"/>
          <w:sz w:val="24"/>
          <w:szCs w:val="24"/>
          <w:lang w:val="en-US" w:eastAsia="zh-CN"/>
        </w:rPr>
        <w:t>5.1.3</w:t>
      </w:r>
      <w:r>
        <w:rPr>
          <w:rFonts w:hint="eastAsia" w:ascii="Times New Roman" w:hAnsi="Times New Roman"/>
          <w:bCs/>
          <w:color w:val="auto"/>
          <w:sz w:val="24"/>
          <w:szCs w:val="24"/>
          <w:lang w:val="en-US" w:eastAsia="zh-CN"/>
        </w:rPr>
        <w:t xml:space="preserve">  施工偏差控制标准按《建筑地基基础施工质量验收标准》GB 50202执行。</w:t>
      </w:r>
    </w:p>
    <w:p>
      <w:pPr>
        <w:pStyle w:val="21"/>
        <w:tabs>
          <w:tab w:val="left" w:pos="900"/>
          <w:tab w:val="left" w:pos="1246"/>
          <w:tab w:val="left" w:pos="7020"/>
        </w:tabs>
        <w:topLinePunct/>
        <w:autoSpaceDE w:val="0"/>
        <w:autoSpaceDN w:val="0"/>
        <w:adjustRightInd w:val="0"/>
        <w:snapToGrid w:val="0"/>
        <w:ind w:firstLine="0"/>
        <w:rPr>
          <w:rFonts w:ascii="Times New Roman" w:hAnsi="Times New Roman"/>
          <w:bCs/>
          <w:color w:val="auto"/>
          <w:sz w:val="24"/>
          <w:szCs w:val="24"/>
          <w:lang w:val="en-US" w:eastAsia="zh-CN"/>
        </w:rPr>
      </w:pPr>
      <w:r>
        <w:rPr>
          <w:rFonts w:hint="eastAsia" w:ascii="Times New Roman" w:hAnsi="Times New Roman"/>
          <w:b/>
          <w:bCs/>
          <w:color w:val="auto"/>
          <w:sz w:val="24"/>
          <w:szCs w:val="24"/>
          <w:lang w:val="en-US" w:eastAsia="zh-CN"/>
        </w:rPr>
        <w:t xml:space="preserve">5.1.4  </w:t>
      </w:r>
      <w:r>
        <w:rPr>
          <w:rFonts w:ascii="Times New Roman" w:hAnsi="Times New Roman"/>
          <w:bCs/>
          <w:color w:val="auto"/>
          <w:sz w:val="24"/>
          <w:szCs w:val="24"/>
          <w:lang w:val="en-US" w:eastAsia="zh-CN"/>
        </w:rPr>
        <w:t>基坑</w:t>
      </w:r>
      <w:r>
        <w:rPr>
          <w:rFonts w:hint="eastAsia" w:ascii="Times New Roman" w:hAnsi="Times New Roman"/>
          <w:bCs/>
          <w:color w:val="auto"/>
          <w:sz w:val="24"/>
          <w:szCs w:val="24"/>
          <w:lang w:val="en-US" w:eastAsia="zh-CN"/>
        </w:rPr>
        <w:t>工程施工</w:t>
      </w:r>
      <w:r>
        <w:rPr>
          <w:rFonts w:ascii="Times New Roman" w:hAnsi="Times New Roman"/>
          <w:bCs/>
          <w:color w:val="auto"/>
          <w:sz w:val="24"/>
          <w:szCs w:val="24"/>
          <w:lang w:val="en-US" w:eastAsia="zh-CN"/>
        </w:rPr>
        <w:t>完成后，应</w:t>
      </w:r>
      <w:r>
        <w:rPr>
          <w:rFonts w:hint="eastAsia" w:ascii="Times New Roman" w:hAnsi="Times New Roman"/>
          <w:bCs/>
          <w:color w:val="auto"/>
          <w:sz w:val="24"/>
          <w:szCs w:val="24"/>
          <w:lang w:val="en-US" w:eastAsia="zh-CN"/>
        </w:rPr>
        <w:t>及时</w:t>
      </w:r>
      <w:r>
        <w:rPr>
          <w:rFonts w:ascii="Times New Roman" w:hAnsi="Times New Roman"/>
          <w:bCs/>
          <w:color w:val="auto"/>
          <w:sz w:val="24"/>
          <w:szCs w:val="24"/>
          <w:lang w:val="en-US" w:eastAsia="zh-CN"/>
        </w:rPr>
        <w:t>进行地下工程施工，若不能</w:t>
      </w:r>
      <w:r>
        <w:rPr>
          <w:rFonts w:hint="eastAsia" w:ascii="Times New Roman" w:hAnsi="Times New Roman"/>
          <w:bCs/>
          <w:color w:val="auto"/>
          <w:sz w:val="24"/>
          <w:szCs w:val="24"/>
          <w:lang w:val="en-US" w:eastAsia="zh-CN"/>
        </w:rPr>
        <w:t>及时</w:t>
      </w:r>
      <w:r>
        <w:rPr>
          <w:rFonts w:ascii="Times New Roman" w:hAnsi="Times New Roman"/>
          <w:bCs/>
          <w:color w:val="auto"/>
          <w:sz w:val="24"/>
          <w:szCs w:val="24"/>
          <w:lang w:val="en-US" w:eastAsia="zh-CN"/>
        </w:rPr>
        <w:t>进行地下工程施工时，必须做好停工期间的保护措施</w:t>
      </w:r>
      <w:r>
        <w:rPr>
          <w:rFonts w:hint="eastAsia" w:ascii="Times New Roman" w:hAnsi="Times New Roman"/>
          <w:bCs/>
          <w:color w:val="auto"/>
          <w:sz w:val="24"/>
          <w:szCs w:val="24"/>
          <w:lang w:val="en-US" w:eastAsia="zh-CN"/>
        </w:rPr>
        <w:t>。</w:t>
      </w:r>
    </w:p>
    <w:p>
      <w:pPr>
        <w:spacing w:line="360" w:lineRule="auto"/>
        <w:jc w:val="center"/>
        <w:outlineLvl w:val="1"/>
        <w:rPr>
          <w:b/>
          <w:sz w:val="24"/>
        </w:rPr>
      </w:pPr>
      <w:bookmarkStart w:id="39" w:name="_Toc87018264"/>
      <w:bookmarkStart w:id="40" w:name="_Toc87018333"/>
      <w:r>
        <w:rPr>
          <w:b/>
          <w:sz w:val="24"/>
        </w:rPr>
        <w:t>5.</w:t>
      </w:r>
      <w:r>
        <w:rPr>
          <w:rFonts w:hint="eastAsia"/>
          <w:b/>
          <w:sz w:val="24"/>
        </w:rPr>
        <w:t>2</w:t>
      </w:r>
      <w:r>
        <w:rPr>
          <w:b/>
          <w:sz w:val="24"/>
        </w:rPr>
        <w:t xml:space="preserve">  </w:t>
      </w:r>
      <w:r>
        <w:rPr>
          <w:rFonts w:hint="eastAsia"/>
          <w:b/>
          <w:sz w:val="24"/>
        </w:rPr>
        <w:t>支护结构选型</w:t>
      </w:r>
      <w:bookmarkEnd w:id="39"/>
      <w:bookmarkEnd w:id="40"/>
    </w:p>
    <w:p>
      <w:pPr>
        <w:tabs>
          <w:tab w:val="left" w:pos="5220"/>
        </w:tabs>
        <w:topLinePunct/>
        <w:autoSpaceDE w:val="0"/>
        <w:autoSpaceDN w:val="0"/>
        <w:adjustRightInd w:val="0"/>
        <w:snapToGrid w:val="0"/>
        <w:spacing w:line="360" w:lineRule="auto"/>
        <w:rPr>
          <w:sz w:val="24"/>
        </w:rPr>
      </w:pPr>
      <w:r>
        <w:rPr>
          <w:rFonts w:hint="eastAsia"/>
          <w:b/>
          <w:sz w:val="24"/>
        </w:rPr>
        <w:t>5</w:t>
      </w:r>
      <w:r>
        <w:rPr>
          <w:b/>
          <w:sz w:val="24"/>
        </w:rPr>
        <w:t>.2.1</w:t>
      </w:r>
      <w:r>
        <w:rPr>
          <w:sz w:val="24"/>
        </w:rPr>
        <w:t xml:space="preserve">  支护结构选型应按下列因素综合确定：</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1</w:t>
      </w:r>
      <w:r>
        <w:rPr>
          <w:rFonts w:ascii="Times New Roman" w:hAnsi="Times New Roman"/>
          <w:color w:val="auto"/>
          <w:sz w:val="24"/>
          <w:szCs w:val="24"/>
          <w:lang w:eastAsia="zh-CN"/>
        </w:rPr>
        <w:t xml:space="preserve"> </w:t>
      </w:r>
      <w:r>
        <w:rPr>
          <w:rFonts w:ascii="Times New Roman" w:hAnsi="Times New Roman"/>
          <w:color w:val="auto"/>
          <w:sz w:val="24"/>
          <w:szCs w:val="24"/>
        </w:rPr>
        <w:t xml:space="preserve"> 基坑深度</w:t>
      </w:r>
      <w:r>
        <w:rPr>
          <w:rFonts w:ascii="Times New Roman" w:hAnsi="Times New Roman"/>
          <w:color w:val="auto"/>
          <w:sz w:val="24"/>
          <w:szCs w:val="24"/>
          <w:lang w:eastAsia="zh-CN"/>
        </w:rPr>
        <w:t>；</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 xml:space="preserve">2 </w:t>
      </w:r>
      <w:r>
        <w:rPr>
          <w:rFonts w:ascii="Times New Roman" w:hAnsi="Times New Roman"/>
          <w:color w:val="auto"/>
          <w:sz w:val="24"/>
          <w:szCs w:val="24"/>
          <w:lang w:eastAsia="zh-CN"/>
        </w:rPr>
        <w:t xml:space="preserve"> </w:t>
      </w:r>
      <w:r>
        <w:rPr>
          <w:rFonts w:ascii="Times New Roman" w:hAnsi="Times New Roman"/>
          <w:color w:val="auto"/>
          <w:sz w:val="24"/>
          <w:szCs w:val="24"/>
        </w:rPr>
        <w:t>工程地质及水文地质条件</w:t>
      </w:r>
      <w:r>
        <w:rPr>
          <w:rFonts w:ascii="Times New Roman" w:hAnsi="Times New Roman"/>
          <w:color w:val="auto"/>
          <w:sz w:val="24"/>
          <w:szCs w:val="24"/>
          <w:lang w:eastAsia="zh-CN"/>
        </w:rPr>
        <w:t>；</w:t>
      </w:r>
    </w:p>
    <w:p>
      <w:pPr>
        <w:tabs>
          <w:tab w:val="left" w:pos="5220"/>
        </w:tabs>
        <w:topLinePunct/>
        <w:autoSpaceDE w:val="0"/>
        <w:autoSpaceDN w:val="0"/>
        <w:adjustRightInd w:val="0"/>
        <w:snapToGrid w:val="0"/>
        <w:spacing w:line="360" w:lineRule="auto"/>
        <w:ind w:firstLine="480" w:firstLineChars="200"/>
        <w:jc w:val="left"/>
        <w:rPr>
          <w:sz w:val="24"/>
        </w:rPr>
      </w:pPr>
      <w:r>
        <w:rPr>
          <w:sz w:val="24"/>
        </w:rPr>
        <w:t>3  基坑周边环境对基坑变形的承受能力及支护结构失效可能产生的后果；</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 xml:space="preserve">4 </w:t>
      </w:r>
      <w:r>
        <w:rPr>
          <w:rFonts w:ascii="Times New Roman" w:hAnsi="Times New Roman"/>
          <w:color w:val="auto"/>
          <w:sz w:val="24"/>
          <w:szCs w:val="24"/>
          <w:lang w:eastAsia="zh-CN"/>
        </w:rPr>
        <w:t xml:space="preserve"> </w:t>
      </w:r>
      <w:r>
        <w:rPr>
          <w:rFonts w:ascii="Times New Roman" w:hAnsi="Times New Roman"/>
          <w:color w:val="auto"/>
          <w:sz w:val="24"/>
          <w:szCs w:val="24"/>
        </w:rPr>
        <w:t>主体地下结构</w:t>
      </w:r>
      <w:r>
        <w:rPr>
          <w:rFonts w:hint="eastAsia" w:ascii="Times New Roman" w:hAnsi="Times New Roman"/>
          <w:color w:val="auto"/>
          <w:sz w:val="24"/>
          <w:szCs w:val="24"/>
          <w:lang w:eastAsia="zh-CN"/>
        </w:rPr>
        <w:t>和</w:t>
      </w:r>
      <w:r>
        <w:rPr>
          <w:rFonts w:ascii="Times New Roman" w:hAnsi="Times New Roman"/>
          <w:color w:val="auto"/>
          <w:sz w:val="24"/>
          <w:szCs w:val="24"/>
        </w:rPr>
        <w:t>基础形式</w:t>
      </w:r>
      <w:r>
        <w:rPr>
          <w:rFonts w:hint="eastAsia" w:ascii="Times New Roman" w:hAnsi="Times New Roman"/>
          <w:color w:val="auto"/>
          <w:sz w:val="24"/>
          <w:szCs w:val="24"/>
          <w:lang w:eastAsia="zh-CN"/>
        </w:rPr>
        <w:t>及其施工方法</w:t>
      </w:r>
      <w:r>
        <w:rPr>
          <w:rFonts w:ascii="Times New Roman" w:hAnsi="Times New Roman"/>
          <w:color w:val="auto"/>
          <w:sz w:val="24"/>
          <w:szCs w:val="24"/>
        </w:rPr>
        <w:t>、基坑平面尺寸及形状</w:t>
      </w:r>
      <w:r>
        <w:rPr>
          <w:rFonts w:ascii="Times New Roman" w:hAnsi="Times New Roman"/>
          <w:color w:val="auto"/>
          <w:sz w:val="24"/>
          <w:szCs w:val="24"/>
          <w:lang w:eastAsia="zh-CN"/>
        </w:rPr>
        <w:t>；</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 xml:space="preserve">5 </w:t>
      </w:r>
      <w:r>
        <w:rPr>
          <w:rFonts w:ascii="Times New Roman" w:hAnsi="Times New Roman"/>
          <w:color w:val="auto"/>
          <w:sz w:val="24"/>
          <w:szCs w:val="24"/>
          <w:lang w:eastAsia="zh-CN"/>
        </w:rPr>
        <w:t xml:space="preserve"> </w:t>
      </w:r>
      <w:r>
        <w:rPr>
          <w:rFonts w:ascii="Times New Roman" w:hAnsi="Times New Roman"/>
          <w:color w:val="auto"/>
          <w:sz w:val="24"/>
          <w:szCs w:val="24"/>
        </w:rPr>
        <w:t>支护结构施工工艺的可行性</w:t>
      </w:r>
      <w:r>
        <w:rPr>
          <w:rFonts w:ascii="Times New Roman" w:hAnsi="Times New Roman"/>
          <w:color w:val="auto"/>
          <w:sz w:val="24"/>
          <w:szCs w:val="24"/>
          <w:lang w:eastAsia="zh-CN"/>
        </w:rPr>
        <w:t>；</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 xml:space="preserve">6 </w:t>
      </w:r>
      <w:r>
        <w:rPr>
          <w:rFonts w:ascii="Times New Roman" w:hAnsi="Times New Roman"/>
          <w:color w:val="auto"/>
          <w:sz w:val="24"/>
          <w:szCs w:val="24"/>
          <w:lang w:eastAsia="zh-CN"/>
        </w:rPr>
        <w:t xml:space="preserve"> </w:t>
      </w:r>
      <w:r>
        <w:rPr>
          <w:rFonts w:ascii="Times New Roman" w:hAnsi="Times New Roman"/>
          <w:color w:val="auto"/>
          <w:sz w:val="24"/>
          <w:szCs w:val="24"/>
        </w:rPr>
        <w:t>施工场地条件及施工季节</w:t>
      </w:r>
      <w:r>
        <w:rPr>
          <w:rFonts w:ascii="Times New Roman" w:hAnsi="Times New Roman"/>
          <w:color w:val="auto"/>
          <w:sz w:val="24"/>
          <w:szCs w:val="24"/>
          <w:lang w:eastAsia="zh-CN"/>
        </w:rPr>
        <w:t>；</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lang w:eastAsia="zh-CN"/>
        </w:rPr>
      </w:pPr>
      <w:r>
        <w:rPr>
          <w:rFonts w:ascii="Times New Roman" w:hAnsi="Times New Roman"/>
          <w:color w:val="auto"/>
          <w:sz w:val="24"/>
          <w:szCs w:val="24"/>
        </w:rPr>
        <w:t xml:space="preserve">7 </w:t>
      </w:r>
      <w:r>
        <w:rPr>
          <w:rFonts w:ascii="Times New Roman" w:hAnsi="Times New Roman"/>
          <w:color w:val="auto"/>
          <w:sz w:val="24"/>
          <w:szCs w:val="24"/>
          <w:lang w:eastAsia="zh-CN"/>
        </w:rPr>
        <w:t xml:space="preserve"> </w:t>
      </w:r>
      <w:r>
        <w:rPr>
          <w:rFonts w:ascii="Times New Roman" w:hAnsi="Times New Roman"/>
          <w:color w:val="auto"/>
          <w:sz w:val="24"/>
          <w:szCs w:val="24"/>
        </w:rPr>
        <w:t>经济指标、环保</w:t>
      </w:r>
      <w:r>
        <w:rPr>
          <w:rFonts w:hint="eastAsia" w:ascii="Times New Roman" w:hAnsi="Times New Roman"/>
          <w:color w:val="auto"/>
          <w:sz w:val="24"/>
          <w:szCs w:val="24"/>
          <w:lang w:eastAsia="zh-CN"/>
        </w:rPr>
        <w:t>要求</w:t>
      </w:r>
      <w:r>
        <w:rPr>
          <w:rFonts w:ascii="Times New Roman" w:hAnsi="Times New Roman"/>
          <w:color w:val="auto"/>
          <w:sz w:val="24"/>
          <w:szCs w:val="24"/>
        </w:rPr>
        <w:t>和施工工期。</w:t>
      </w:r>
    </w:p>
    <w:p>
      <w:pPr>
        <w:pStyle w:val="21"/>
        <w:tabs>
          <w:tab w:val="left" w:pos="900"/>
          <w:tab w:val="left" w:pos="1246"/>
          <w:tab w:val="left" w:pos="7020"/>
        </w:tabs>
        <w:topLinePunct/>
        <w:autoSpaceDE w:val="0"/>
        <w:autoSpaceDN w:val="0"/>
        <w:adjustRightInd w:val="0"/>
        <w:snapToGrid w:val="0"/>
        <w:ind w:firstLine="0"/>
        <w:jc w:val="left"/>
        <w:rPr>
          <w:rFonts w:ascii="Times New Roman" w:hAnsi="Times New Roman"/>
          <w:color w:val="auto"/>
          <w:sz w:val="24"/>
          <w:lang w:eastAsia="zh-CN"/>
        </w:rPr>
      </w:pPr>
      <w:r>
        <w:rPr>
          <w:rFonts w:ascii="Times New Roman" w:hAnsi="Times New Roman"/>
          <w:b/>
          <w:color w:val="auto"/>
          <w:sz w:val="24"/>
        </w:rPr>
        <w:t>5.</w:t>
      </w:r>
      <w:r>
        <w:rPr>
          <w:rFonts w:hint="eastAsia" w:ascii="Times New Roman" w:hAnsi="Times New Roman"/>
          <w:b/>
          <w:color w:val="auto"/>
          <w:sz w:val="24"/>
          <w:lang w:eastAsia="zh-CN"/>
        </w:rPr>
        <w:t>2</w:t>
      </w:r>
      <w:r>
        <w:rPr>
          <w:rFonts w:ascii="Times New Roman" w:hAnsi="Times New Roman"/>
          <w:b/>
          <w:color w:val="auto"/>
          <w:sz w:val="24"/>
        </w:rPr>
        <w:t>.2</w:t>
      </w:r>
      <w:r>
        <w:rPr>
          <w:rFonts w:ascii="Times New Roman" w:hAnsi="Times New Roman"/>
          <w:b/>
          <w:color w:val="auto"/>
          <w:sz w:val="24"/>
          <w:lang w:eastAsia="zh-CN"/>
        </w:rPr>
        <w:t xml:space="preserve">  </w:t>
      </w:r>
      <w:r>
        <w:rPr>
          <w:rFonts w:ascii="Times New Roman" w:hAnsi="Times New Roman"/>
          <w:color w:val="auto"/>
          <w:sz w:val="24"/>
        </w:rPr>
        <w:t>支护结构</w:t>
      </w:r>
      <w:r>
        <w:rPr>
          <w:rFonts w:ascii="Times New Roman" w:hAnsi="Times New Roman"/>
          <w:color w:val="auto"/>
          <w:sz w:val="24"/>
          <w:lang w:eastAsia="zh-CN"/>
        </w:rPr>
        <w:t>可</w:t>
      </w:r>
      <w:r>
        <w:rPr>
          <w:rFonts w:ascii="Times New Roman" w:hAnsi="Times New Roman"/>
          <w:color w:val="auto"/>
          <w:sz w:val="24"/>
        </w:rPr>
        <w:t>按表</w:t>
      </w:r>
      <w:r>
        <w:rPr>
          <w:rFonts w:ascii="Times New Roman" w:hAnsi="Times New Roman"/>
          <w:color w:val="auto"/>
          <w:sz w:val="24"/>
          <w:lang w:eastAsia="zh-CN"/>
        </w:rPr>
        <w:t>5</w:t>
      </w:r>
      <w:r>
        <w:rPr>
          <w:rFonts w:ascii="Times New Roman" w:hAnsi="Times New Roman"/>
          <w:color w:val="auto"/>
          <w:sz w:val="24"/>
        </w:rPr>
        <w:t>.</w:t>
      </w:r>
      <w:r>
        <w:rPr>
          <w:rFonts w:hint="eastAsia" w:ascii="Times New Roman" w:hAnsi="Times New Roman"/>
          <w:color w:val="auto"/>
          <w:sz w:val="24"/>
          <w:lang w:eastAsia="zh-CN"/>
        </w:rPr>
        <w:t>2</w:t>
      </w:r>
      <w:r>
        <w:rPr>
          <w:rFonts w:ascii="Times New Roman" w:hAnsi="Times New Roman"/>
          <w:color w:val="auto"/>
          <w:sz w:val="24"/>
        </w:rPr>
        <w:t>.2选型。</w:t>
      </w:r>
    </w:p>
    <w:p>
      <w:pPr>
        <w:tabs>
          <w:tab w:val="left" w:pos="5220"/>
        </w:tabs>
        <w:topLinePunct/>
        <w:autoSpaceDE w:val="0"/>
        <w:autoSpaceDN w:val="0"/>
        <w:spacing w:line="360" w:lineRule="auto"/>
        <w:jc w:val="center"/>
        <w:rPr>
          <w:b/>
          <w:sz w:val="24"/>
        </w:rPr>
      </w:pPr>
      <w:r>
        <w:rPr>
          <w:b/>
          <w:sz w:val="24"/>
        </w:rPr>
        <w:t>表5.</w:t>
      </w:r>
      <w:r>
        <w:rPr>
          <w:rFonts w:hint="eastAsia"/>
          <w:b/>
          <w:sz w:val="24"/>
        </w:rPr>
        <w:t>2</w:t>
      </w:r>
      <w:r>
        <w:rPr>
          <w:b/>
          <w:sz w:val="24"/>
        </w:rPr>
        <w:t>.2  各类支护结构的适用条件</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
        <w:gridCol w:w="1598"/>
        <w:gridCol w:w="546"/>
        <w:gridCol w:w="2264"/>
        <w:gridCol w:w="3082"/>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blHeader/>
        </w:trPr>
        <w:tc>
          <w:tcPr>
            <w:tcW w:w="1943" w:type="dxa"/>
            <w:gridSpan w:val="2"/>
            <w:vMerge w:val="restart"/>
            <w:vAlign w:val="center"/>
          </w:tcPr>
          <w:p>
            <w:pPr>
              <w:tabs>
                <w:tab w:val="left" w:pos="5220"/>
              </w:tabs>
              <w:topLinePunct/>
              <w:autoSpaceDE w:val="0"/>
              <w:autoSpaceDN w:val="0"/>
              <w:ind w:left="-105" w:leftChars="-50" w:right="-105" w:rightChars="-50"/>
              <w:jc w:val="center"/>
              <w:rPr>
                <w:szCs w:val="21"/>
              </w:rPr>
            </w:pPr>
            <w:r>
              <w:rPr>
                <w:szCs w:val="21"/>
              </w:rPr>
              <w:t>结构类型</w:t>
            </w:r>
          </w:p>
        </w:tc>
        <w:tc>
          <w:tcPr>
            <w:tcW w:w="7345" w:type="dxa"/>
            <w:gridSpan w:val="4"/>
            <w:vAlign w:val="center"/>
          </w:tcPr>
          <w:p>
            <w:pPr>
              <w:tabs>
                <w:tab w:val="left" w:pos="5220"/>
              </w:tabs>
              <w:topLinePunct/>
              <w:autoSpaceDE w:val="0"/>
              <w:autoSpaceDN w:val="0"/>
              <w:ind w:left="-105" w:leftChars="-50" w:right="-105" w:rightChars="-50"/>
              <w:jc w:val="center"/>
              <w:rPr>
                <w:szCs w:val="21"/>
              </w:rPr>
            </w:pPr>
            <w:r>
              <w:rPr>
                <w:szCs w:val="21"/>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943" w:type="dxa"/>
            <w:gridSpan w:val="2"/>
            <w:vMerge w:val="continue"/>
            <w:vAlign w:val="center"/>
          </w:tcPr>
          <w:p>
            <w:pPr>
              <w:tabs>
                <w:tab w:val="left" w:pos="5220"/>
              </w:tabs>
              <w:topLinePunct/>
              <w:autoSpaceDE w:val="0"/>
              <w:autoSpaceDN w:val="0"/>
              <w:ind w:left="-105" w:leftChars="-50" w:right="-105" w:rightChars="-50"/>
              <w:jc w:val="center"/>
              <w:rPr>
                <w:szCs w:val="21"/>
              </w:rPr>
            </w:pPr>
          </w:p>
        </w:tc>
        <w:tc>
          <w:tcPr>
            <w:tcW w:w="546" w:type="dxa"/>
            <w:vAlign w:val="center"/>
          </w:tcPr>
          <w:p>
            <w:pPr>
              <w:tabs>
                <w:tab w:val="left" w:pos="5220"/>
              </w:tabs>
              <w:topLinePunct/>
              <w:autoSpaceDE w:val="0"/>
              <w:autoSpaceDN w:val="0"/>
              <w:ind w:left="-105" w:leftChars="-50" w:right="-105" w:rightChars="-50"/>
              <w:jc w:val="center"/>
              <w:rPr>
                <w:szCs w:val="21"/>
              </w:rPr>
            </w:pPr>
            <w:r>
              <w:rPr>
                <w:szCs w:val="21"/>
              </w:rPr>
              <w:t>安全</w:t>
            </w:r>
          </w:p>
          <w:p>
            <w:pPr>
              <w:tabs>
                <w:tab w:val="left" w:pos="5220"/>
              </w:tabs>
              <w:topLinePunct/>
              <w:autoSpaceDE w:val="0"/>
              <w:autoSpaceDN w:val="0"/>
              <w:ind w:left="-105" w:leftChars="-50" w:right="-105" w:rightChars="-50"/>
              <w:jc w:val="center"/>
              <w:rPr>
                <w:szCs w:val="21"/>
              </w:rPr>
            </w:pPr>
            <w:r>
              <w:rPr>
                <w:szCs w:val="21"/>
              </w:rPr>
              <w:t>等级</w:t>
            </w:r>
          </w:p>
        </w:tc>
        <w:tc>
          <w:tcPr>
            <w:tcW w:w="6799" w:type="dxa"/>
            <w:gridSpan w:val="3"/>
            <w:vAlign w:val="center"/>
          </w:tcPr>
          <w:p>
            <w:pPr>
              <w:tabs>
                <w:tab w:val="left" w:pos="5220"/>
              </w:tabs>
              <w:topLinePunct/>
              <w:autoSpaceDE w:val="0"/>
              <w:autoSpaceDN w:val="0"/>
              <w:ind w:left="-105" w:leftChars="-50" w:right="-105" w:rightChars="-50"/>
              <w:jc w:val="center"/>
              <w:rPr>
                <w:szCs w:val="21"/>
              </w:rPr>
            </w:pPr>
            <w:r>
              <w:rPr>
                <w:szCs w:val="21"/>
              </w:rPr>
              <w:t>基坑深度、环境条件、土类和地下水条件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5" w:type="dxa"/>
            <w:vMerge w:val="restart"/>
            <w:vAlign w:val="center"/>
          </w:tcPr>
          <w:p>
            <w:pPr>
              <w:tabs>
                <w:tab w:val="left" w:pos="5220"/>
              </w:tabs>
              <w:topLinePunct/>
              <w:autoSpaceDE w:val="0"/>
              <w:autoSpaceDN w:val="0"/>
              <w:ind w:left="-105" w:leftChars="-50" w:right="-105" w:rightChars="-50"/>
              <w:jc w:val="center"/>
              <w:rPr>
                <w:szCs w:val="21"/>
              </w:rPr>
            </w:pPr>
            <w:r>
              <w:rPr>
                <w:szCs w:val="21"/>
              </w:rPr>
              <w:t>支</w:t>
            </w:r>
          </w:p>
          <w:p>
            <w:pPr>
              <w:tabs>
                <w:tab w:val="left" w:pos="5220"/>
              </w:tabs>
              <w:topLinePunct/>
              <w:autoSpaceDE w:val="0"/>
              <w:autoSpaceDN w:val="0"/>
              <w:ind w:left="-105" w:leftChars="-50" w:right="-105" w:rightChars="-50"/>
              <w:jc w:val="center"/>
              <w:rPr>
                <w:szCs w:val="21"/>
              </w:rPr>
            </w:pPr>
            <w:r>
              <w:rPr>
                <w:szCs w:val="21"/>
              </w:rPr>
              <w:t>挡</w:t>
            </w:r>
          </w:p>
          <w:p>
            <w:pPr>
              <w:tabs>
                <w:tab w:val="left" w:pos="5220"/>
              </w:tabs>
              <w:topLinePunct/>
              <w:autoSpaceDE w:val="0"/>
              <w:autoSpaceDN w:val="0"/>
              <w:ind w:left="-105" w:leftChars="-50" w:right="-105" w:rightChars="-50"/>
              <w:jc w:val="center"/>
              <w:rPr>
                <w:szCs w:val="21"/>
              </w:rPr>
            </w:pPr>
            <w:r>
              <w:rPr>
                <w:szCs w:val="21"/>
              </w:rPr>
              <w:t>式</w:t>
            </w:r>
          </w:p>
          <w:p>
            <w:pPr>
              <w:tabs>
                <w:tab w:val="left" w:pos="5220"/>
              </w:tabs>
              <w:topLinePunct/>
              <w:autoSpaceDE w:val="0"/>
              <w:autoSpaceDN w:val="0"/>
              <w:ind w:left="-105" w:leftChars="-50" w:right="-105" w:rightChars="-50"/>
              <w:jc w:val="center"/>
              <w:rPr>
                <w:szCs w:val="21"/>
              </w:rPr>
            </w:pPr>
            <w:r>
              <w:rPr>
                <w:szCs w:val="21"/>
              </w:rPr>
              <w:t>结</w:t>
            </w:r>
          </w:p>
          <w:p>
            <w:pPr>
              <w:tabs>
                <w:tab w:val="left" w:pos="5220"/>
              </w:tabs>
              <w:topLinePunct/>
              <w:autoSpaceDE w:val="0"/>
              <w:autoSpaceDN w:val="0"/>
              <w:ind w:left="-105" w:leftChars="-50" w:right="-105" w:rightChars="-50"/>
              <w:jc w:val="center"/>
              <w:rPr>
                <w:b/>
                <w:szCs w:val="21"/>
              </w:rPr>
            </w:pPr>
            <w:r>
              <w:rPr>
                <w:szCs w:val="21"/>
              </w:rPr>
              <w:t>构</w:t>
            </w:r>
          </w:p>
        </w:tc>
        <w:tc>
          <w:tcPr>
            <w:tcW w:w="1598" w:type="dxa"/>
            <w:vAlign w:val="center"/>
          </w:tcPr>
          <w:p>
            <w:pPr>
              <w:tabs>
                <w:tab w:val="left" w:pos="5220"/>
              </w:tabs>
              <w:topLinePunct/>
              <w:autoSpaceDE w:val="0"/>
              <w:autoSpaceDN w:val="0"/>
              <w:ind w:left="-105" w:leftChars="-50" w:right="-105" w:rightChars="-50"/>
              <w:jc w:val="center"/>
              <w:rPr>
                <w:szCs w:val="21"/>
              </w:rPr>
            </w:pPr>
            <w:r>
              <w:rPr>
                <w:szCs w:val="21"/>
              </w:rPr>
              <w:t>锚拉式结构</w:t>
            </w:r>
          </w:p>
        </w:tc>
        <w:tc>
          <w:tcPr>
            <w:tcW w:w="546" w:type="dxa"/>
            <w:vMerge w:val="restart"/>
            <w:vAlign w:val="center"/>
          </w:tcPr>
          <w:p>
            <w:pPr>
              <w:tabs>
                <w:tab w:val="left" w:pos="5220"/>
              </w:tabs>
              <w:topLinePunct/>
              <w:autoSpaceDE w:val="0"/>
              <w:autoSpaceDN w:val="0"/>
              <w:ind w:left="-105" w:leftChars="-50" w:right="-105" w:rightChars="-50"/>
              <w:jc w:val="center"/>
              <w:rPr>
                <w:szCs w:val="21"/>
              </w:rPr>
            </w:pPr>
            <w:r>
              <w:rPr>
                <w:szCs w:val="21"/>
              </w:rPr>
              <w:t>一级</w:t>
            </w:r>
          </w:p>
          <w:p>
            <w:pPr>
              <w:tabs>
                <w:tab w:val="left" w:pos="5220"/>
              </w:tabs>
              <w:topLinePunct/>
              <w:autoSpaceDE w:val="0"/>
              <w:autoSpaceDN w:val="0"/>
              <w:ind w:left="-105" w:leftChars="-50" w:right="-105" w:rightChars="-50"/>
              <w:jc w:val="center"/>
              <w:rPr>
                <w:szCs w:val="21"/>
              </w:rPr>
            </w:pPr>
            <w:r>
              <w:rPr>
                <w:szCs w:val="21"/>
              </w:rPr>
              <w:t>二级</w:t>
            </w:r>
          </w:p>
          <w:p>
            <w:pPr>
              <w:tabs>
                <w:tab w:val="left" w:pos="5220"/>
              </w:tabs>
              <w:topLinePunct/>
              <w:autoSpaceDE w:val="0"/>
              <w:autoSpaceDN w:val="0"/>
              <w:ind w:left="-105" w:leftChars="-50" w:right="-105" w:rightChars="-50"/>
              <w:jc w:val="center"/>
              <w:rPr>
                <w:szCs w:val="21"/>
              </w:rPr>
            </w:pPr>
            <w:r>
              <w:rPr>
                <w:szCs w:val="21"/>
              </w:rPr>
              <w:t>三级</w:t>
            </w:r>
          </w:p>
        </w:tc>
        <w:tc>
          <w:tcPr>
            <w:tcW w:w="2264" w:type="dxa"/>
            <w:vAlign w:val="center"/>
          </w:tcPr>
          <w:p>
            <w:pPr>
              <w:tabs>
                <w:tab w:val="left" w:pos="5220"/>
              </w:tabs>
              <w:topLinePunct/>
              <w:autoSpaceDE w:val="0"/>
              <w:autoSpaceDN w:val="0"/>
              <w:ind w:left="-105" w:leftChars="-50" w:right="-105" w:rightChars="-50"/>
              <w:jc w:val="center"/>
              <w:rPr>
                <w:szCs w:val="21"/>
              </w:rPr>
            </w:pPr>
            <w:r>
              <w:rPr>
                <w:szCs w:val="21"/>
              </w:rPr>
              <w:t>适用于较深的基坑</w:t>
            </w:r>
          </w:p>
        </w:tc>
        <w:tc>
          <w:tcPr>
            <w:tcW w:w="4535" w:type="dxa"/>
            <w:gridSpan w:val="2"/>
            <w:vMerge w:val="restart"/>
            <w:vAlign w:val="center"/>
          </w:tcPr>
          <w:p>
            <w:pPr>
              <w:topLinePunct/>
              <w:autoSpaceDE w:val="0"/>
              <w:autoSpaceDN w:val="0"/>
              <w:rPr>
                <w:szCs w:val="21"/>
              </w:rPr>
            </w:pPr>
            <w:r>
              <w:rPr>
                <w:szCs w:val="21"/>
              </w:rPr>
              <w:t>1  排桩适用于可采用降水或截水帷幕的基坑</w:t>
            </w:r>
          </w:p>
          <w:p>
            <w:pPr>
              <w:tabs>
                <w:tab w:val="left" w:pos="5220"/>
              </w:tabs>
              <w:topLinePunct/>
              <w:autoSpaceDE w:val="0"/>
              <w:autoSpaceDN w:val="0"/>
              <w:rPr>
                <w:szCs w:val="21"/>
              </w:rPr>
            </w:pPr>
            <w:r>
              <w:rPr>
                <w:szCs w:val="21"/>
              </w:rPr>
              <w:t>2  地下连续墙宜同时用作主体地下结构外墙，可同时用于截水</w:t>
            </w:r>
          </w:p>
          <w:p>
            <w:pPr>
              <w:tabs>
                <w:tab w:val="left" w:pos="5220"/>
              </w:tabs>
              <w:topLinePunct/>
              <w:autoSpaceDE w:val="0"/>
              <w:autoSpaceDN w:val="0"/>
              <w:rPr>
                <w:szCs w:val="21"/>
              </w:rPr>
            </w:pPr>
            <w:r>
              <w:rPr>
                <w:szCs w:val="21"/>
              </w:rPr>
              <w:t>3  锚杆不宜用在软土层和高水位的碎石土、砂土层中</w:t>
            </w:r>
          </w:p>
          <w:p>
            <w:pPr>
              <w:tabs>
                <w:tab w:val="left" w:pos="5220"/>
              </w:tabs>
              <w:topLinePunct/>
              <w:autoSpaceDE w:val="0"/>
              <w:autoSpaceDN w:val="0"/>
              <w:rPr>
                <w:szCs w:val="21"/>
              </w:rPr>
            </w:pPr>
            <w:r>
              <w:rPr>
                <w:szCs w:val="21"/>
              </w:rPr>
              <w:t>4  当邻近基坑有建筑物地下室、地下构筑物等，锚杆的有效锚固长度不足时，不应采用锚杆</w:t>
            </w:r>
          </w:p>
          <w:p>
            <w:pPr>
              <w:tabs>
                <w:tab w:val="left" w:pos="5220"/>
              </w:tabs>
              <w:topLinePunct/>
              <w:autoSpaceDE w:val="0"/>
              <w:autoSpaceDN w:val="0"/>
              <w:rPr>
                <w:szCs w:val="21"/>
              </w:rPr>
            </w:pPr>
            <w:r>
              <w:rPr>
                <w:szCs w:val="21"/>
              </w:rPr>
              <w:t>5  当锚杆施工会造成基坑周边建筑物的损害或违反城市地下空间规划等规定时，不应采用锚杆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5" w:type="dxa"/>
            <w:vMerge w:val="continue"/>
            <w:vAlign w:val="center"/>
          </w:tcPr>
          <w:p>
            <w:pPr>
              <w:tabs>
                <w:tab w:val="left" w:pos="5220"/>
              </w:tabs>
              <w:topLinePunct/>
              <w:autoSpaceDE w:val="0"/>
              <w:autoSpaceDN w:val="0"/>
              <w:ind w:left="-105" w:leftChars="-50" w:right="-105" w:rightChars="-50"/>
              <w:jc w:val="center"/>
              <w:rPr>
                <w:b/>
                <w:szCs w:val="21"/>
              </w:rPr>
            </w:pPr>
          </w:p>
        </w:tc>
        <w:tc>
          <w:tcPr>
            <w:tcW w:w="1598" w:type="dxa"/>
            <w:vAlign w:val="center"/>
          </w:tcPr>
          <w:p>
            <w:pPr>
              <w:tabs>
                <w:tab w:val="left" w:pos="5220"/>
              </w:tabs>
              <w:topLinePunct/>
              <w:autoSpaceDE w:val="0"/>
              <w:autoSpaceDN w:val="0"/>
              <w:ind w:left="-105" w:leftChars="-50" w:right="-105" w:rightChars="-50"/>
              <w:jc w:val="center"/>
              <w:rPr>
                <w:szCs w:val="21"/>
              </w:rPr>
            </w:pPr>
            <w:r>
              <w:rPr>
                <w:szCs w:val="21"/>
              </w:rPr>
              <w:t>支撑式结构</w:t>
            </w:r>
          </w:p>
        </w:tc>
        <w:tc>
          <w:tcPr>
            <w:tcW w:w="546" w:type="dxa"/>
            <w:vMerge w:val="continue"/>
            <w:vAlign w:val="center"/>
          </w:tcPr>
          <w:p>
            <w:pPr>
              <w:tabs>
                <w:tab w:val="left" w:pos="5220"/>
              </w:tabs>
              <w:topLinePunct/>
              <w:autoSpaceDE w:val="0"/>
              <w:autoSpaceDN w:val="0"/>
              <w:ind w:left="-105" w:leftChars="-50" w:right="-105" w:rightChars="-50"/>
              <w:jc w:val="center"/>
              <w:rPr>
                <w:szCs w:val="21"/>
              </w:rPr>
            </w:pPr>
          </w:p>
        </w:tc>
        <w:tc>
          <w:tcPr>
            <w:tcW w:w="2264" w:type="dxa"/>
            <w:vAlign w:val="center"/>
          </w:tcPr>
          <w:p>
            <w:pPr>
              <w:tabs>
                <w:tab w:val="left" w:pos="5220"/>
              </w:tabs>
              <w:topLinePunct/>
              <w:autoSpaceDE w:val="0"/>
              <w:autoSpaceDN w:val="0"/>
              <w:ind w:left="-105" w:leftChars="-50" w:right="-105" w:rightChars="-50"/>
              <w:jc w:val="center"/>
              <w:rPr>
                <w:szCs w:val="21"/>
              </w:rPr>
            </w:pPr>
            <w:r>
              <w:rPr>
                <w:szCs w:val="21"/>
              </w:rPr>
              <w:t>适用于较深的基坑</w:t>
            </w:r>
          </w:p>
        </w:tc>
        <w:tc>
          <w:tcPr>
            <w:tcW w:w="4535" w:type="dxa"/>
            <w:gridSpan w:val="2"/>
            <w:vMerge w:val="continue"/>
            <w:vAlign w:val="center"/>
          </w:tcPr>
          <w:p>
            <w:pPr>
              <w:tabs>
                <w:tab w:val="left" w:pos="5220"/>
              </w:tabs>
              <w:topLinePunct/>
              <w:autoSpaceDE w:val="0"/>
              <w:autoSpaceDN w:val="0"/>
              <w:ind w:left="-105" w:leftChars="-50" w:right="-105" w:rightChars="-5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5" w:type="dxa"/>
            <w:vMerge w:val="continue"/>
            <w:vAlign w:val="center"/>
          </w:tcPr>
          <w:p>
            <w:pPr>
              <w:tabs>
                <w:tab w:val="left" w:pos="5220"/>
              </w:tabs>
              <w:topLinePunct/>
              <w:autoSpaceDE w:val="0"/>
              <w:autoSpaceDN w:val="0"/>
              <w:ind w:left="-105" w:leftChars="-50" w:right="-105" w:rightChars="-50"/>
              <w:jc w:val="center"/>
              <w:rPr>
                <w:b/>
                <w:szCs w:val="21"/>
              </w:rPr>
            </w:pPr>
          </w:p>
        </w:tc>
        <w:tc>
          <w:tcPr>
            <w:tcW w:w="1598" w:type="dxa"/>
            <w:vAlign w:val="center"/>
          </w:tcPr>
          <w:p>
            <w:pPr>
              <w:tabs>
                <w:tab w:val="left" w:pos="5220"/>
              </w:tabs>
              <w:topLinePunct/>
              <w:autoSpaceDE w:val="0"/>
              <w:autoSpaceDN w:val="0"/>
              <w:ind w:left="-105" w:leftChars="-50" w:right="-105" w:rightChars="-50"/>
              <w:jc w:val="center"/>
              <w:rPr>
                <w:szCs w:val="21"/>
              </w:rPr>
            </w:pPr>
            <w:r>
              <w:rPr>
                <w:szCs w:val="21"/>
              </w:rPr>
              <w:t>悬臂式结构</w:t>
            </w:r>
          </w:p>
        </w:tc>
        <w:tc>
          <w:tcPr>
            <w:tcW w:w="546" w:type="dxa"/>
            <w:vMerge w:val="continue"/>
            <w:vAlign w:val="center"/>
          </w:tcPr>
          <w:p>
            <w:pPr>
              <w:tabs>
                <w:tab w:val="left" w:pos="5220"/>
              </w:tabs>
              <w:topLinePunct/>
              <w:autoSpaceDE w:val="0"/>
              <w:autoSpaceDN w:val="0"/>
              <w:ind w:left="-105" w:leftChars="-50" w:right="-105" w:rightChars="-50"/>
              <w:jc w:val="center"/>
              <w:rPr>
                <w:szCs w:val="21"/>
              </w:rPr>
            </w:pPr>
          </w:p>
        </w:tc>
        <w:tc>
          <w:tcPr>
            <w:tcW w:w="2264" w:type="dxa"/>
            <w:vAlign w:val="center"/>
          </w:tcPr>
          <w:p>
            <w:pPr>
              <w:tabs>
                <w:tab w:val="left" w:pos="5220"/>
              </w:tabs>
              <w:topLinePunct/>
              <w:autoSpaceDE w:val="0"/>
              <w:autoSpaceDN w:val="0"/>
              <w:ind w:left="-105" w:leftChars="-50" w:right="-105" w:rightChars="-50"/>
              <w:jc w:val="center"/>
              <w:rPr>
                <w:szCs w:val="21"/>
              </w:rPr>
            </w:pPr>
            <w:r>
              <w:rPr>
                <w:szCs w:val="21"/>
              </w:rPr>
              <w:t>适用于较浅的基坑</w:t>
            </w:r>
          </w:p>
        </w:tc>
        <w:tc>
          <w:tcPr>
            <w:tcW w:w="4535" w:type="dxa"/>
            <w:gridSpan w:val="2"/>
            <w:vMerge w:val="continue"/>
            <w:vAlign w:val="center"/>
          </w:tcPr>
          <w:p>
            <w:pPr>
              <w:tabs>
                <w:tab w:val="left" w:pos="5220"/>
              </w:tabs>
              <w:topLinePunct/>
              <w:autoSpaceDE w:val="0"/>
              <w:autoSpaceDN w:val="0"/>
              <w:ind w:left="-105" w:leftChars="-50" w:right="-105" w:rightChars="-5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5" w:type="dxa"/>
            <w:vMerge w:val="continue"/>
            <w:vAlign w:val="center"/>
          </w:tcPr>
          <w:p>
            <w:pPr>
              <w:tabs>
                <w:tab w:val="left" w:pos="5220"/>
              </w:tabs>
              <w:topLinePunct/>
              <w:autoSpaceDE w:val="0"/>
              <w:autoSpaceDN w:val="0"/>
              <w:ind w:left="-105" w:leftChars="-50" w:right="-105" w:rightChars="-50"/>
              <w:jc w:val="center"/>
              <w:rPr>
                <w:b/>
                <w:szCs w:val="21"/>
              </w:rPr>
            </w:pPr>
          </w:p>
        </w:tc>
        <w:tc>
          <w:tcPr>
            <w:tcW w:w="1598" w:type="dxa"/>
            <w:vAlign w:val="center"/>
          </w:tcPr>
          <w:p>
            <w:pPr>
              <w:tabs>
                <w:tab w:val="left" w:pos="5220"/>
              </w:tabs>
              <w:topLinePunct/>
              <w:autoSpaceDE w:val="0"/>
              <w:autoSpaceDN w:val="0"/>
              <w:ind w:left="-105" w:leftChars="-50" w:right="-105" w:rightChars="-50"/>
              <w:jc w:val="center"/>
              <w:rPr>
                <w:szCs w:val="21"/>
              </w:rPr>
            </w:pPr>
            <w:r>
              <w:rPr>
                <w:szCs w:val="21"/>
              </w:rPr>
              <w:t>双排桩</w:t>
            </w:r>
          </w:p>
        </w:tc>
        <w:tc>
          <w:tcPr>
            <w:tcW w:w="546" w:type="dxa"/>
            <w:vMerge w:val="continue"/>
            <w:vAlign w:val="center"/>
          </w:tcPr>
          <w:p>
            <w:pPr>
              <w:tabs>
                <w:tab w:val="left" w:pos="5220"/>
              </w:tabs>
              <w:topLinePunct/>
              <w:autoSpaceDE w:val="0"/>
              <w:autoSpaceDN w:val="0"/>
              <w:ind w:left="-105" w:leftChars="-50" w:right="-105" w:rightChars="-50"/>
              <w:jc w:val="center"/>
              <w:rPr>
                <w:szCs w:val="21"/>
              </w:rPr>
            </w:pPr>
          </w:p>
        </w:tc>
        <w:tc>
          <w:tcPr>
            <w:tcW w:w="2264" w:type="dxa"/>
            <w:vAlign w:val="center"/>
          </w:tcPr>
          <w:p>
            <w:pPr>
              <w:tabs>
                <w:tab w:val="left" w:pos="5220"/>
              </w:tabs>
              <w:topLinePunct/>
              <w:autoSpaceDE w:val="0"/>
              <w:autoSpaceDN w:val="0"/>
              <w:ind w:left="-105" w:leftChars="-50" w:right="-105" w:rightChars="-50"/>
              <w:jc w:val="center"/>
              <w:rPr>
                <w:szCs w:val="21"/>
              </w:rPr>
            </w:pPr>
            <w:r>
              <w:rPr>
                <w:szCs w:val="21"/>
              </w:rPr>
              <w:t>当锚拉式、支撑式和悬臂式结构不适用时，可考虑采用双排桩</w:t>
            </w:r>
          </w:p>
        </w:tc>
        <w:tc>
          <w:tcPr>
            <w:tcW w:w="4535" w:type="dxa"/>
            <w:gridSpan w:val="2"/>
            <w:vMerge w:val="continue"/>
            <w:vAlign w:val="center"/>
          </w:tcPr>
          <w:p>
            <w:pPr>
              <w:tabs>
                <w:tab w:val="left" w:pos="5220"/>
              </w:tabs>
              <w:topLinePunct/>
              <w:autoSpaceDE w:val="0"/>
              <w:autoSpaceDN w:val="0"/>
              <w:ind w:left="-105" w:leftChars="-50" w:right="-105" w:rightChars="-5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5" w:type="dxa"/>
            <w:vMerge w:val="continue"/>
            <w:vAlign w:val="center"/>
          </w:tcPr>
          <w:p>
            <w:pPr>
              <w:tabs>
                <w:tab w:val="left" w:pos="5220"/>
              </w:tabs>
              <w:topLinePunct/>
              <w:autoSpaceDE w:val="0"/>
              <w:autoSpaceDN w:val="0"/>
              <w:ind w:left="-105" w:leftChars="-50" w:right="-105" w:rightChars="-50"/>
              <w:jc w:val="center"/>
              <w:rPr>
                <w:b/>
                <w:szCs w:val="21"/>
              </w:rPr>
            </w:pPr>
          </w:p>
        </w:tc>
        <w:tc>
          <w:tcPr>
            <w:tcW w:w="1598" w:type="dxa"/>
            <w:vAlign w:val="center"/>
          </w:tcPr>
          <w:p>
            <w:pPr>
              <w:tabs>
                <w:tab w:val="left" w:pos="5220"/>
              </w:tabs>
              <w:topLinePunct/>
              <w:autoSpaceDE w:val="0"/>
              <w:autoSpaceDN w:val="0"/>
              <w:ind w:left="-105" w:leftChars="-50" w:right="-105" w:rightChars="-50"/>
              <w:jc w:val="center"/>
              <w:rPr>
                <w:szCs w:val="21"/>
              </w:rPr>
            </w:pPr>
            <w:r>
              <w:rPr>
                <w:szCs w:val="21"/>
              </w:rPr>
              <w:t>支护结构与主体结构结合的逆作法</w:t>
            </w:r>
          </w:p>
        </w:tc>
        <w:tc>
          <w:tcPr>
            <w:tcW w:w="546" w:type="dxa"/>
            <w:vMerge w:val="continue"/>
            <w:vAlign w:val="center"/>
          </w:tcPr>
          <w:p>
            <w:pPr>
              <w:tabs>
                <w:tab w:val="left" w:pos="5220"/>
              </w:tabs>
              <w:topLinePunct/>
              <w:autoSpaceDE w:val="0"/>
              <w:autoSpaceDN w:val="0"/>
              <w:ind w:left="-105" w:leftChars="-50" w:right="-105" w:rightChars="-50"/>
              <w:jc w:val="center"/>
              <w:rPr>
                <w:szCs w:val="21"/>
              </w:rPr>
            </w:pPr>
          </w:p>
        </w:tc>
        <w:tc>
          <w:tcPr>
            <w:tcW w:w="2264" w:type="dxa"/>
            <w:vAlign w:val="center"/>
          </w:tcPr>
          <w:p>
            <w:pPr>
              <w:tabs>
                <w:tab w:val="left" w:pos="5220"/>
              </w:tabs>
              <w:topLinePunct/>
              <w:autoSpaceDE w:val="0"/>
              <w:autoSpaceDN w:val="0"/>
              <w:ind w:left="-105" w:leftChars="-50" w:right="-105" w:rightChars="-50"/>
              <w:jc w:val="center"/>
              <w:rPr>
                <w:szCs w:val="21"/>
              </w:rPr>
            </w:pPr>
            <w:r>
              <w:rPr>
                <w:szCs w:val="21"/>
              </w:rPr>
              <w:t>适用于基坑周边环境条件很复杂的深基坑</w:t>
            </w:r>
          </w:p>
        </w:tc>
        <w:tc>
          <w:tcPr>
            <w:tcW w:w="4535" w:type="dxa"/>
            <w:gridSpan w:val="2"/>
            <w:vMerge w:val="continue"/>
            <w:vAlign w:val="center"/>
          </w:tcPr>
          <w:p>
            <w:pPr>
              <w:tabs>
                <w:tab w:val="left" w:pos="5220"/>
              </w:tabs>
              <w:topLinePunct/>
              <w:autoSpaceDE w:val="0"/>
              <w:autoSpaceDN w:val="0"/>
              <w:ind w:left="-105" w:leftChars="-50" w:right="-105" w:rightChars="-50"/>
              <w:jc w:val="center"/>
              <w:rPr>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5" w:type="dxa"/>
            <w:vMerge w:val="restart"/>
            <w:vAlign w:val="center"/>
          </w:tcPr>
          <w:p>
            <w:pPr>
              <w:tabs>
                <w:tab w:val="left" w:pos="5220"/>
              </w:tabs>
              <w:topLinePunct/>
              <w:autoSpaceDE w:val="0"/>
              <w:autoSpaceDN w:val="0"/>
              <w:ind w:left="-105" w:leftChars="-50" w:right="-105" w:rightChars="-50"/>
              <w:jc w:val="center"/>
              <w:rPr>
                <w:szCs w:val="21"/>
              </w:rPr>
            </w:pPr>
            <w:r>
              <w:rPr>
                <w:szCs w:val="21"/>
              </w:rPr>
              <w:t>土</w:t>
            </w:r>
          </w:p>
          <w:p>
            <w:pPr>
              <w:tabs>
                <w:tab w:val="left" w:pos="5220"/>
              </w:tabs>
              <w:topLinePunct/>
              <w:autoSpaceDE w:val="0"/>
              <w:autoSpaceDN w:val="0"/>
              <w:ind w:left="-105" w:leftChars="-50" w:right="-105" w:rightChars="-50"/>
              <w:jc w:val="center"/>
              <w:rPr>
                <w:szCs w:val="21"/>
              </w:rPr>
            </w:pPr>
            <w:r>
              <w:rPr>
                <w:szCs w:val="21"/>
              </w:rPr>
              <w:t>钉</w:t>
            </w:r>
          </w:p>
          <w:p>
            <w:pPr>
              <w:tabs>
                <w:tab w:val="left" w:pos="5220"/>
              </w:tabs>
              <w:topLinePunct/>
              <w:autoSpaceDE w:val="0"/>
              <w:autoSpaceDN w:val="0"/>
              <w:ind w:left="-105" w:leftChars="-50" w:right="-105" w:rightChars="-50"/>
              <w:jc w:val="center"/>
              <w:rPr>
                <w:b/>
                <w:szCs w:val="21"/>
              </w:rPr>
            </w:pPr>
            <w:r>
              <w:rPr>
                <w:szCs w:val="21"/>
              </w:rPr>
              <w:t>墙</w:t>
            </w:r>
          </w:p>
        </w:tc>
        <w:tc>
          <w:tcPr>
            <w:tcW w:w="1598" w:type="dxa"/>
            <w:vAlign w:val="center"/>
          </w:tcPr>
          <w:p>
            <w:pPr>
              <w:tabs>
                <w:tab w:val="left" w:pos="5220"/>
              </w:tabs>
              <w:topLinePunct/>
              <w:autoSpaceDE w:val="0"/>
              <w:autoSpaceDN w:val="0"/>
              <w:ind w:left="-105" w:leftChars="-50" w:right="-105" w:rightChars="-50"/>
              <w:jc w:val="center"/>
              <w:rPr>
                <w:szCs w:val="21"/>
              </w:rPr>
            </w:pPr>
            <w:r>
              <w:rPr>
                <w:szCs w:val="21"/>
              </w:rPr>
              <w:t>土钉墙</w:t>
            </w:r>
          </w:p>
        </w:tc>
        <w:tc>
          <w:tcPr>
            <w:tcW w:w="546" w:type="dxa"/>
            <w:vMerge w:val="restart"/>
            <w:vAlign w:val="center"/>
          </w:tcPr>
          <w:p>
            <w:pPr>
              <w:tabs>
                <w:tab w:val="left" w:pos="5220"/>
              </w:tabs>
              <w:topLinePunct/>
              <w:autoSpaceDE w:val="0"/>
              <w:autoSpaceDN w:val="0"/>
              <w:ind w:left="-105" w:leftChars="-50" w:right="-105" w:rightChars="-50"/>
              <w:jc w:val="center"/>
              <w:rPr>
                <w:szCs w:val="21"/>
              </w:rPr>
            </w:pPr>
            <w:r>
              <w:rPr>
                <w:szCs w:val="21"/>
              </w:rPr>
              <w:t>二级</w:t>
            </w:r>
          </w:p>
          <w:p>
            <w:pPr>
              <w:tabs>
                <w:tab w:val="left" w:pos="5220"/>
              </w:tabs>
              <w:topLinePunct/>
              <w:autoSpaceDE w:val="0"/>
              <w:autoSpaceDN w:val="0"/>
              <w:ind w:left="-105" w:leftChars="-50" w:right="-105" w:rightChars="-50"/>
              <w:jc w:val="center"/>
              <w:rPr>
                <w:szCs w:val="21"/>
              </w:rPr>
            </w:pPr>
            <w:r>
              <w:rPr>
                <w:szCs w:val="21"/>
              </w:rPr>
              <w:t>三级</w:t>
            </w:r>
          </w:p>
        </w:tc>
        <w:tc>
          <w:tcPr>
            <w:tcW w:w="5346" w:type="dxa"/>
            <w:gridSpan w:val="2"/>
            <w:vAlign w:val="center"/>
          </w:tcPr>
          <w:p>
            <w:pPr>
              <w:tabs>
                <w:tab w:val="left" w:pos="5220"/>
              </w:tabs>
              <w:topLinePunct/>
              <w:autoSpaceDE w:val="0"/>
              <w:autoSpaceDN w:val="0"/>
              <w:ind w:left="-105" w:leftChars="-50" w:right="-105" w:rightChars="-50"/>
              <w:jc w:val="center"/>
              <w:rPr>
                <w:szCs w:val="21"/>
              </w:rPr>
            </w:pPr>
            <w:r>
              <w:rPr>
                <w:szCs w:val="21"/>
              </w:rPr>
              <w:t>适用于地下水位以上或经降水的非软土基坑，且基坑深度不宜大于12m</w:t>
            </w:r>
          </w:p>
        </w:tc>
        <w:tc>
          <w:tcPr>
            <w:tcW w:w="1453" w:type="dxa"/>
            <w:vMerge w:val="restart"/>
            <w:vAlign w:val="center"/>
          </w:tcPr>
          <w:p>
            <w:pPr>
              <w:tabs>
                <w:tab w:val="left" w:pos="5220"/>
              </w:tabs>
              <w:topLinePunct/>
              <w:autoSpaceDE w:val="0"/>
              <w:autoSpaceDN w:val="0"/>
              <w:ind w:left="-105" w:leftChars="-50" w:right="-105" w:rightChars="-50"/>
              <w:jc w:val="center"/>
              <w:rPr>
                <w:szCs w:val="21"/>
              </w:rPr>
            </w:pPr>
            <w:r>
              <w:rPr>
                <w:szCs w:val="21"/>
              </w:rPr>
              <w:t>当基坑潜在滑动面内有建筑物、重要地下管线时，不宜采用土钉墙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5" w:type="dxa"/>
            <w:vMerge w:val="continue"/>
            <w:vAlign w:val="center"/>
          </w:tcPr>
          <w:p>
            <w:pPr>
              <w:tabs>
                <w:tab w:val="left" w:pos="5220"/>
              </w:tabs>
              <w:topLinePunct/>
              <w:autoSpaceDE w:val="0"/>
              <w:autoSpaceDN w:val="0"/>
              <w:ind w:left="-105" w:leftChars="-50" w:right="-105" w:rightChars="-50"/>
              <w:jc w:val="center"/>
              <w:rPr>
                <w:b/>
                <w:szCs w:val="21"/>
              </w:rPr>
            </w:pPr>
          </w:p>
        </w:tc>
        <w:tc>
          <w:tcPr>
            <w:tcW w:w="1598" w:type="dxa"/>
            <w:vAlign w:val="center"/>
          </w:tcPr>
          <w:p>
            <w:pPr>
              <w:tabs>
                <w:tab w:val="left" w:pos="5220"/>
              </w:tabs>
              <w:topLinePunct/>
              <w:autoSpaceDE w:val="0"/>
              <w:autoSpaceDN w:val="0"/>
              <w:ind w:left="-105" w:leftChars="-50" w:right="-105" w:rightChars="-50"/>
              <w:jc w:val="center"/>
              <w:rPr>
                <w:szCs w:val="21"/>
              </w:rPr>
            </w:pPr>
            <w:r>
              <w:rPr>
                <w:szCs w:val="21"/>
              </w:rPr>
              <w:t>预应力锚杆复合土钉墙</w:t>
            </w:r>
          </w:p>
        </w:tc>
        <w:tc>
          <w:tcPr>
            <w:tcW w:w="546" w:type="dxa"/>
            <w:vMerge w:val="continue"/>
            <w:vAlign w:val="center"/>
          </w:tcPr>
          <w:p>
            <w:pPr>
              <w:tabs>
                <w:tab w:val="left" w:pos="5220"/>
              </w:tabs>
              <w:topLinePunct/>
              <w:autoSpaceDE w:val="0"/>
              <w:autoSpaceDN w:val="0"/>
              <w:ind w:left="-105" w:leftChars="-50" w:right="-105" w:rightChars="-50"/>
              <w:jc w:val="center"/>
              <w:rPr>
                <w:szCs w:val="21"/>
              </w:rPr>
            </w:pPr>
          </w:p>
        </w:tc>
        <w:tc>
          <w:tcPr>
            <w:tcW w:w="5346" w:type="dxa"/>
            <w:gridSpan w:val="2"/>
            <w:vAlign w:val="center"/>
          </w:tcPr>
          <w:p>
            <w:pPr>
              <w:tabs>
                <w:tab w:val="left" w:pos="5220"/>
              </w:tabs>
              <w:topLinePunct/>
              <w:autoSpaceDE w:val="0"/>
              <w:autoSpaceDN w:val="0"/>
              <w:ind w:left="-105" w:leftChars="-50" w:right="-105" w:rightChars="-50"/>
              <w:jc w:val="center"/>
              <w:rPr>
                <w:szCs w:val="21"/>
              </w:rPr>
            </w:pPr>
            <w:r>
              <w:rPr>
                <w:szCs w:val="21"/>
              </w:rPr>
              <w:t>适用于地下水位以上或经降水的非软土基坑，且基坑深度不宜大于15m；</w:t>
            </w:r>
          </w:p>
        </w:tc>
        <w:tc>
          <w:tcPr>
            <w:tcW w:w="1453" w:type="dxa"/>
            <w:vMerge w:val="continue"/>
            <w:vAlign w:val="center"/>
          </w:tcPr>
          <w:p>
            <w:pPr>
              <w:tabs>
                <w:tab w:val="left" w:pos="5220"/>
              </w:tabs>
              <w:topLinePunct/>
              <w:autoSpaceDE w:val="0"/>
              <w:autoSpaceDN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5" w:type="dxa"/>
            <w:vMerge w:val="continue"/>
            <w:vAlign w:val="center"/>
          </w:tcPr>
          <w:p>
            <w:pPr>
              <w:tabs>
                <w:tab w:val="left" w:pos="5220"/>
              </w:tabs>
              <w:topLinePunct/>
              <w:autoSpaceDE w:val="0"/>
              <w:autoSpaceDN w:val="0"/>
              <w:ind w:left="-105" w:leftChars="-50" w:right="-105" w:rightChars="-50"/>
              <w:jc w:val="center"/>
              <w:rPr>
                <w:b/>
                <w:szCs w:val="21"/>
              </w:rPr>
            </w:pPr>
          </w:p>
        </w:tc>
        <w:tc>
          <w:tcPr>
            <w:tcW w:w="1598" w:type="dxa"/>
            <w:vAlign w:val="center"/>
          </w:tcPr>
          <w:p>
            <w:pPr>
              <w:tabs>
                <w:tab w:val="left" w:pos="5220"/>
              </w:tabs>
              <w:topLinePunct/>
              <w:autoSpaceDE w:val="0"/>
              <w:autoSpaceDN w:val="0"/>
              <w:jc w:val="center"/>
              <w:rPr>
                <w:szCs w:val="21"/>
              </w:rPr>
            </w:pPr>
            <w:r>
              <w:rPr>
                <w:szCs w:val="21"/>
              </w:rPr>
              <w:t>水泥土桩复合土钉墙</w:t>
            </w:r>
          </w:p>
        </w:tc>
        <w:tc>
          <w:tcPr>
            <w:tcW w:w="546" w:type="dxa"/>
            <w:vMerge w:val="continue"/>
            <w:vAlign w:val="center"/>
          </w:tcPr>
          <w:p>
            <w:pPr>
              <w:tabs>
                <w:tab w:val="left" w:pos="5220"/>
              </w:tabs>
              <w:topLinePunct/>
              <w:autoSpaceDE w:val="0"/>
              <w:autoSpaceDN w:val="0"/>
              <w:ind w:left="-105" w:leftChars="-50" w:right="-105" w:rightChars="-50"/>
              <w:jc w:val="center"/>
              <w:rPr>
                <w:szCs w:val="21"/>
              </w:rPr>
            </w:pPr>
          </w:p>
        </w:tc>
        <w:tc>
          <w:tcPr>
            <w:tcW w:w="5346" w:type="dxa"/>
            <w:gridSpan w:val="2"/>
            <w:vAlign w:val="center"/>
          </w:tcPr>
          <w:p>
            <w:pPr>
              <w:tabs>
                <w:tab w:val="left" w:pos="5220"/>
              </w:tabs>
              <w:topLinePunct/>
              <w:autoSpaceDE w:val="0"/>
              <w:autoSpaceDN w:val="0"/>
              <w:ind w:left="-105" w:leftChars="-50" w:right="-105" w:rightChars="-50"/>
              <w:jc w:val="center"/>
              <w:rPr>
                <w:szCs w:val="21"/>
              </w:rPr>
            </w:pPr>
            <w:r>
              <w:rPr>
                <w:szCs w:val="21"/>
              </w:rPr>
              <w:t>用于非软土基坑时，基坑深度不宜大于12m；用于淤泥质土基坑时，基坑深度不宜大于6m；不宜用在高水位的碎石土、砂土、粉土层中</w:t>
            </w:r>
          </w:p>
        </w:tc>
        <w:tc>
          <w:tcPr>
            <w:tcW w:w="1453" w:type="dxa"/>
            <w:vMerge w:val="continue"/>
            <w:vAlign w:val="center"/>
          </w:tcPr>
          <w:p>
            <w:pPr>
              <w:tabs>
                <w:tab w:val="left" w:pos="5220"/>
              </w:tabs>
              <w:topLinePunct/>
              <w:autoSpaceDE w:val="0"/>
              <w:autoSpaceDN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5" w:type="dxa"/>
            <w:vMerge w:val="continue"/>
            <w:vAlign w:val="center"/>
          </w:tcPr>
          <w:p>
            <w:pPr>
              <w:tabs>
                <w:tab w:val="left" w:pos="5220"/>
              </w:tabs>
              <w:topLinePunct/>
              <w:autoSpaceDE w:val="0"/>
              <w:autoSpaceDN w:val="0"/>
              <w:ind w:left="-105" w:leftChars="-50" w:right="-105" w:rightChars="-50"/>
              <w:jc w:val="center"/>
              <w:rPr>
                <w:b/>
                <w:szCs w:val="21"/>
              </w:rPr>
            </w:pPr>
          </w:p>
        </w:tc>
        <w:tc>
          <w:tcPr>
            <w:tcW w:w="1598" w:type="dxa"/>
            <w:vAlign w:val="center"/>
          </w:tcPr>
          <w:p>
            <w:pPr>
              <w:tabs>
                <w:tab w:val="left" w:pos="5220"/>
              </w:tabs>
              <w:topLinePunct/>
              <w:autoSpaceDE w:val="0"/>
              <w:autoSpaceDN w:val="0"/>
              <w:ind w:left="-105" w:leftChars="-50" w:right="-105" w:rightChars="-50"/>
              <w:jc w:val="center"/>
              <w:rPr>
                <w:szCs w:val="21"/>
              </w:rPr>
            </w:pPr>
            <w:r>
              <w:rPr>
                <w:szCs w:val="21"/>
              </w:rPr>
              <w:t>微型桩复合土钉墙</w:t>
            </w:r>
          </w:p>
        </w:tc>
        <w:tc>
          <w:tcPr>
            <w:tcW w:w="546" w:type="dxa"/>
            <w:vMerge w:val="continue"/>
            <w:vAlign w:val="center"/>
          </w:tcPr>
          <w:p>
            <w:pPr>
              <w:tabs>
                <w:tab w:val="left" w:pos="5220"/>
              </w:tabs>
              <w:topLinePunct/>
              <w:autoSpaceDE w:val="0"/>
              <w:autoSpaceDN w:val="0"/>
              <w:ind w:left="-105" w:leftChars="-50" w:right="-105" w:rightChars="-50"/>
              <w:jc w:val="center"/>
              <w:rPr>
                <w:szCs w:val="21"/>
              </w:rPr>
            </w:pPr>
          </w:p>
        </w:tc>
        <w:tc>
          <w:tcPr>
            <w:tcW w:w="5346" w:type="dxa"/>
            <w:gridSpan w:val="2"/>
            <w:vAlign w:val="center"/>
          </w:tcPr>
          <w:p>
            <w:pPr>
              <w:tabs>
                <w:tab w:val="left" w:pos="5220"/>
              </w:tabs>
              <w:topLinePunct/>
              <w:autoSpaceDE w:val="0"/>
              <w:autoSpaceDN w:val="0"/>
              <w:ind w:left="-105" w:leftChars="-50" w:right="-105" w:rightChars="-50"/>
              <w:jc w:val="center"/>
              <w:rPr>
                <w:szCs w:val="21"/>
              </w:rPr>
            </w:pPr>
            <w:r>
              <w:rPr>
                <w:szCs w:val="21"/>
              </w:rPr>
              <w:t>适用于地下水位以上或经降水的基坑，用于非软土基坑时，基坑深度不宜大于12m；用于淤泥质土基坑时，基坑深度不宜大于6m</w:t>
            </w:r>
          </w:p>
        </w:tc>
        <w:tc>
          <w:tcPr>
            <w:tcW w:w="1453" w:type="dxa"/>
            <w:vMerge w:val="continue"/>
            <w:vAlign w:val="center"/>
          </w:tcPr>
          <w:p>
            <w:pPr>
              <w:tabs>
                <w:tab w:val="left" w:pos="5220"/>
              </w:tabs>
              <w:topLinePunct/>
              <w:autoSpaceDE w:val="0"/>
              <w:autoSpaceDN w:val="0"/>
              <w:ind w:left="-105" w:leftChars="-50" w:right="-105" w:rightChars="-5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1943" w:type="dxa"/>
            <w:gridSpan w:val="2"/>
            <w:vAlign w:val="center"/>
          </w:tcPr>
          <w:p>
            <w:pPr>
              <w:tabs>
                <w:tab w:val="left" w:pos="5220"/>
              </w:tabs>
              <w:topLinePunct/>
              <w:autoSpaceDE w:val="0"/>
              <w:autoSpaceDN w:val="0"/>
              <w:ind w:left="-105" w:leftChars="-50" w:right="-105" w:rightChars="-50"/>
              <w:jc w:val="center"/>
              <w:rPr>
                <w:szCs w:val="21"/>
              </w:rPr>
            </w:pPr>
            <w:r>
              <w:rPr>
                <w:szCs w:val="21"/>
              </w:rPr>
              <w:t>坡率</w:t>
            </w:r>
            <w:r>
              <w:rPr>
                <w:rFonts w:hint="eastAsia"/>
                <w:szCs w:val="21"/>
              </w:rPr>
              <w:t>法</w:t>
            </w:r>
          </w:p>
        </w:tc>
        <w:tc>
          <w:tcPr>
            <w:tcW w:w="546" w:type="dxa"/>
            <w:vAlign w:val="center"/>
          </w:tcPr>
          <w:p>
            <w:pPr>
              <w:tabs>
                <w:tab w:val="left" w:pos="5220"/>
              </w:tabs>
              <w:topLinePunct/>
              <w:autoSpaceDE w:val="0"/>
              <w:autoSpaceDN w:val="0"/>
              <w:ind w:left="-105" w:leftChars="-50" w:right="-105" w:rightChars="-50"/>
              <w:jc w:val="center"/>
              <w:rPr>
                <w:szCs w:val="21"/>
              </w:rPr>
            </w:pPr>
            <w:r>
              <w:rPr>
                <w:szCs w:val="21"/>
              </w:rPr>
              <w:t>三级</w:t>
            </w:r>
          </w:p>
        </w:tc>
        <w:tc>
          <w:tcPr>
            <w:tcW w:w="6799" w:type="dxa"/>
            <w:gridSpan w:val="3"/>
            <w:vAlign w:val="center"/>
          </w:tcPr>
          <w:p>
            <w:pPr>
              <w:tabs>
                <w:tab w:val="left" w:pos="5220"/>
              </w:tabs>
              <w:topLinePunct/>
              <w:autoSpaceDE w:val="0"/>
              <w:autoSpaceDN w:val="0"/>
              <w:ind w:left="-105" w:leftChars="-50" w:right="-105" w:rightChars="-50"/>
              <w:jc w:val="center"/>
              <w:rPr>
                <w:szCs w:val="21"/>
              </w:rPr>
            </w:pPr>
            <w:r>
              <w:rPr>
                <w:szCs w:val="21"/>
              </w:rPr>
              <w:t>1  施工场地应满足放坡条件</w:t>
            </w:r>
          </w:p>
          <w:p>
            <w:pPr>
              <w:tabs>
                <w:tab w:val="left" w:pos="5220"/>
              </w:tabs>
              <w:topLinePunct/>
              <w:autoSpaceDE w:val="0"/>
              <w:autoSpaceDN w:val="0"/>
              <w:ind w:left="-105" w:leftChars="-50" w:right="-105" w:rightChars="-50"/>
              <w:jc w:val="center"/>
              <w:rPr>
                <w:szCs w:val="21"/>
              </w:rPr>
            </w:pPr>
            <w:r>
              <w:rPr>
                <w:szCs w:val="21"/>
              </w:rPr>
              <w:t>2  可与上述支护结构形式结合</w:t>
            </w:r>
          </w:p>
        </w:tc>
      </w:tr>
    </w:tbl>
    <w:p>
      <w:pPr>
        <w:tabs>
          <w:tab w:val="left" w:pos="5220"/>
        </w:tabs>
        <w:topLinePunct/>
        <w:autoSpaceDE w:val="0"/>
        <w:autoSpaceDN w:val="0"/>
        <w:adjustRightInd w:val="0"/>
        <w:snapToGrid w:val="0"/>
        <w:spacing w:line="360" w:lineRule="auto"/>
        <w:ind w:left="735" w:hanging="735" w:hangingChars="350"/>
        <w:jc w:val="left"/>
        <w:rPr>
          <w:szCs w:val="21"/>
        </w:rPr>
      </w:pPr>
      <w:r>
        <w:rPr>
          <w:szCs w:val="21"/>
        </w:rPr>
        <w:t>注：1  当基坑不同部位的周边环境条件、土层性状、基坑深度等不同时，可在不同部位分别采用不同的支护形式；</w:t>
      </w:r>
    </w:p>
    <w:p>
      <w:pPr>
        <w:tabs>
          <w:tab w:val="left" w:pos="5220"/>
        </w:tabs>
        <w:topLinePunct/>
        <w:autoSpaceDE w:val="0"/>
        <w:autoSpaceDN w:val="0"/>
        <w:adjustRightInd w:val="0"/>
        <w:snapToGrid w:val="0"/>
        <w:spacing w:line="360" w:lineRule="auto"/>
        <w:ind w:firstLine="420" w:firstLineChars="200"/>
        <w:jc w:val="left"/>
        <w:rPr>
          <w:szCs w:val="21"/>
        </w:rPr>
      </w:pPr>
      <w:r>
        <w:rPr>
          <w:szCs w:val="21"/>
        </w:rPr>
        <w:t>2  支护结构可采用上、下部以不同结构类型组合的形式。</w:t>
      </w:r>
    </w:p>
    <w:p>
      <w:pPr>
        <w:spacing w:line="360" w:lineRule="auto"/>
        <w:jc w:val="center"/>
        <w:outlineLvl w:val="1"/>
        <w:rPr>
          <w:b/>
          <w:sz w:val="24"/>
        </w:rPr>
      </w:pPr>
      <w:bookmarkStart w:id="41" w:name="_Toc87018265"/>
      <w:bookmarkStart w:id="42" w:name="_Toc87018334"/>
      <w:r>
        <w:rPr>
          <w:b/>
          <w:sz w:val="24"/>
        </w:rPr>
        <w:t>5.</w:t>
      </w:r>
      <w:r>
        <w:rPr>
          <w:rFonts w:hint="eastAsia"/>
          <w:b/>
          <w:sz w:val="24"/>
        </w:rPr>
        <w:t>3</w:t>
      </w:r>
      <w:r>
        <w:rPr>
          <w:b/>
          <w:sz w:val="24"/>
        </w:rPr>
        <w:t xml:space="preserve">  </w:t>
      </w:r>
      <w:r>
        <w:rPr>
          <w:rFonts w:hint="eastAsia"/>
          <w:b/>
          <w:sz w:val="24"/>
        </w:rPr>
        <w:t>水平荷载计算</w:t>
      </w:r>
      <w:bookmarkEnd w:id="41"/>
      <w:bookmarkEnd w:id="42"/>
    </w:p>
    <w:p>
      <w:pPr>
        <w:pStyle w:val="24"/>
        <w:topLinePunct/>
        <w:autoSpaceDE w:val="0"/>
        <w:autoSpaceDN w:val="0"/>
        <w:adjustRightInd w:val="0"/>
        <w:snapToGrid w:val="0"/>
        <w:spacing w:line="360" w:lineRule="auto"/>
      </w:pPr>
      <w:r>
        <w:rPr>
          <w:b/>
          <w:kern w:val="2"/>
        </w:rPr>
        <w:t>5.</w:t>
      </w:r>
      <w:r>
        <w:rPr>
          <w:rFonts w:hint="eastAsia"/>
          <w:b/>
          <w:kern w:val="2"/>
        </w:rPr>
        <w:t>3</w:t>
      </w:r>
      <w:r>
        <w:rPr>
          <w:b/>
          <w:kern w:val="2"/>
        </w:rPr>
        <w:t>.</w:t>
      </w:r>
      <w:r>
        <w:rPr>
          <w:rFonts w:hint="eastAsia"/>
          <w:b/>
          <w:kern w:val="2"/>
        </w:rPr>
        <w:t>1</w:t>
      </w:r>
      <w:r>
        <w:rPr>
          <w:b/>
          <w:kern w:val="2"/>
        </w:rPr>
        <w:t xml:space="preserve"> </w:t>
      </w:r>
      <w:r>
        <w:rPr>
          <w:kern w:val="2"/>
        </w:rPr>
        <w:t xml:space="preserve"> </w:t>
      </w:r>
      <w:r>
        <w:t>计算作用在</w:t>
      </w:r>
      <w:r>
        <w:rPr>
          <w:rFonts w:hint="eastAsia"/>
        </w:rPr>
        <w:t>支</w:t>
      </w:r>
      <w:r>
        <w:t>护结构上的土压力时，应根据</w:t>
      </w:r>
      <w:r>
        <w:rPr>
          <w:rFonts w:hint="eastAsia"/>
        </w:rPr>
        <w:t>支</w:t>
      </w:r>
      <w:r>
        <w:t>护结构与土体的位移情况和采取的施工措施等因素，确定土压力计算模式，分别按静止土压力、主动土压力、被动土压力及与基坑侧向变形条件相应的土压力计算。</w:t>
      </w:r>
    </w:p>
    <w:p>
      <w:pPr>
        <w:pStyle w:val="21"/>
        <w:tabs>
          <w:tab w:val="left" w:pos="900"/>
          <w:tab w:val="left" w:pos="1246"/>
          <w:tab w:val="left" w:pos="7020"/>
        </w:tabs>
        <w:topLinePunct/>
        <w:autoSpaceDE w:val="0"/>
        <w:autoSpaceDN w:val="0"/>
        <w:adjustRightInd w:val="0"/>
        <w:snapToGrid w:val="0"/>
        <w:ind w:firstLine="0"/>
        <w:rPr>
          <w:rFonts w:ascii="Times New Roman" w:hAnsi="Times New Roman"/>
          <w:color w:val="auto"/>
          <w:sz w:val="24"/>
          <w:szCs w:val="24"/>
        </w:rPr>
      </w:pPr>
      <w:r>
        <w:rPr>
          <w:rFonts w:ascii="Times New Roman" w:hAnsi="Times New Roman"/>
          <w:b/>
          <w:color w:val="auto"/>
          <w:sz w:val="24"/>
          <w:szCs w:val="24"/>
        </w:rPr>
        <w:t>5.</w:t>
      </w:r>
      <w:r>
        <w:rPr>
          <w:rFonts w:hint="eastAsia" w:ascii="Times New Roman" w:hAnsi="Times New Roman"/>
          <w:b/>
          <w:color w:val="auto"/>
          <w:sz w:val="24"/>
          <w:szCs w:val="24"/>
          <w:lang w:eastAsia="zh-CN"/>
        </w:rPr>
        <w:t>3</w:t>
      </w:r>
      <w:r>
        <w:rPr>
          <w:rFonts w:ascii="Times New Roman" w:hAnsi="Times New Roman"/>
          <w:b/>
          <w:color w:val="auto"/>
          <w:sz w:val="24"/>
          <w:szCs w:val="24"/>
        </w:rPr>
        <w:t>.</w:t>
      </w:r>
      <w:r>
        <w:rPr>
          <w:rFonts w:hint="eastAsia" w:ascii="Times New Roman" w:hAnsi="Times New Roman"/>
          <w:b/>
          <w:color w:val="auto"/>
          <w:sz w:val="24"/>
          <w:szCs w:val="24"/>
          <w:lang w:eastAsia="zh-CN"/>
        </w:rPr>
        <w:t>2</w:t>
      </w:r>
      <w:r>
        <w:rPr>
          <w:rFonts w:ascii="Times New Roman" w:hAnsi="Times New Roman"/>
          <w:b/>
          <w:color w:val="auto"/>
          <w:sz w:val="24"/>
          <w:szCs w:val="24"/>
        </w:rPr>
        <w:t xml:space="preserve">  </w:t>
      </w:r>
      <w:r>
        <w:rPr>
          <w:rFonts w:ascii="Times New Roman" w:hAnsi="Times New Roman"/>
          <w:color w:val="auto"/>
          <w:sz w:val="24"/>
          <w:szCs w:val="24"/>
        </w:rPr>
        <w:t>静止土压力</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lang w:eastAsia="zh-CN"/>
        </w:rPr>
      </w:pPr>
      <w:r>
        <w:rPr>
          <w:rFonts w:ascii="Times New Roman" w:hAnsi="Times New Roman"/>
          <w:color w:val="auto"/>
          <w:sz w:val="24"/>
          <w:szCs w:val="24"/>
        </w:rPr>
        <w:t>1  当坑外地表面为水平面、基坑</w:t>
      </w:r>
      <w:r>
        <w:rPr>
          <w:rFonts w:hint="eastAsia" w:ascii="Times New Roman" w:hAnsi="Times New Roman"/>
          <w:color w:val="auto"/>
          <w:sz w:val="24"/>
          <w:szCs w:val="24"/>
          <w:lang w:eastAsia="zh-CN"/>
        </w:rPr>
        <w:t>支</w:t>
      </w:r>
      <w:r>
        <w:rPr>
          <w:rFonts w:ascii="Times New Roman" w:hAnsi="Times New Roman"/>
          <w:color w:val="auto"/>
          <w:sz w:val="24"/>
          <w:szCs w:val="24"/>
        </w:rPr>
        <w:t>护</w:t>
      </w:r>
      <w:r>
        <w:rPr>
          <w:rFonts w:hint="eastAsia" w:ascii="Times New Roman" w:hAnsi="Times New Roman"/>
          <w:color w:val="auto"/>
          <w:sz w:val="24"/>
          <w:szCs w:val="24"/>
          <w:lang w:eastAsia="zh-CN"/>
        </w:rPr>
        <w:t>结构</w:t>
      </w:r>
      <w:r>
        <w:rPr>
          <w:rFonts w:ascii="Times New Roman" w:hAnsi="Times New Roman"/>
          <w:color w:val="auto"/>
          <w:sz w:val="24"/>
          <w:szCs w:val="24"/>
        </w:rPr>
        <w:t>为竖直面时，由土体本身与地面超载产生的静止土压力强度标准值应按下列公式计算：</w:t>
      </w:r>
    </w:p>
    <w:p>
      <w:pPr>
        <w:pStyle w:val="21"/>
        <w:tabs>
          <w:tab w:val="left" w:pos="900"/>
          <w:tab w:val="left" w:pos="1246"/>
          <w:tab w:val="left" w:pos="7020"/>
        </w:tabs>
        <w:topLinePunct/>
        <w:autoSpaceDE w:val="0"/>
        <w:autoSpaceDN w:val="0"/>
        <w:adjustRightInd w:val="0"/>
        <w:snapToGrid w:val="0"/>
        <w:ind w:firstLine="560" w:firstLineChars="200"/>
        <w:jc w:val="right"/>
        <w:rPr>
          <w:rFonts w:ascii="Times New Roman" w:hAnsi="Times New Roman"/>
          <w:color w:val="auto"/>
          <w:sz w:val="24"/>
          <w:szCs w:val="24"/>
        </w:rPr>
      </w:pPr>
      <w:r>
        <w:rPr>
          <w:position w:val="-14"/>
        </w:rPr>
        <w:object>
          <v:shape id="_x0000_i1033" o:spt="75" type="#_x0000_t75" style="height:19.9pt;width:106.45pt;" o:ole="t" filled="f" coordsize="21600,21600">
            <v:path/>
            <v:fill on="f" focussize="0,0"/>
            <v:stroke/>
            <v:imagedata r:id="rId33" o:title=""/>
            <o:lock v:ext="edit" aspectratio="t"/>
            <w10:wrap type="none"/>
            <w10:anchorlock/>
          </v:shape>
          <o:OLEObject Type="Embed" ProgID="Equation.DSMT4" ShapeID="_x0000_i1033" DrawAspect="Content" ObjectID="_1468075733" r:id="rId32">
            <o:LockedField>false</o:LockedField>
          </o:OLEObject>
        </w:object>
      </w:r>
      <w:r>
        <w:rPr>
          <w:rFonts w:ascii="Times New Roman" w:hAnsi="Times New Roman"/>
          <w:color w:val="auto"/>
          <w:sz w:val="24"/>
          <w:szCs w:val="24"/>
        </w:rPr>
        <w:t xml:space="preserve">                    （5.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2</w:t>
      </w:r>
      <w:r>
        <w:rPr>
          <w:rFonts w:ascii="Times New Roman" w:hAnsi="Times New Roman"/>
          <w:color w:val="auto"/>
          <w:sz w:val="24"/>
          <w:szCs w:val="24"/>
        </w:rPr>
        <w:t>-1）</w:t>
      </w:r>
    </w:p>
    <w:p>
      <w:pPr>
        <w:pStyle w:val="21"/>
        <w:tabs>
          <w:tab w:val="left" w:pos="900"/>
          <w:tab w:val="left" w:pos="1246"/>
          <w:tab w:val="left" w:pos="7020"/>
        </w:tabs>
        <w:topLinePunct/>
        <w:autoSpaceDE w:val="0"/>
        <w:autoSpaceDN w:val="0"/>
        <w:adjustRightInd w:val="0"/>
        <w:snapToGrid w:val="0"/>
        <w:ind w:firstLine="0"/>
        <w:jc w:val="left"/>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i/>
          <w:color w:val="auto"/>
          <w:sz w:val="24"/>
          <w:szCs w:val="24"/>
          <w:lang w:eastAsia="zh-CN"/>
        </w:rPr>
        <w:t>p</w:t>
      </w:r>
      <w:r>
        <w:rPr>
          <w:rFonts w:ascii="Times New Roman" w:hAnsi="Times New Roman"/>
          <w:color w:val="auto"/>
          <w:sz w:val="24"/>
          <w:szCs w:val="24"/>
          <w:vertAlign w:val="subscript"/>
          <w:lang w:eastAsia="zh-CN"/>
        </w:rPr>
        <w:t>0k</w:t>
      </w:r>
      <w:r>
        <w:rPr>
          <w:rFonts w:ascii="Times New Roman" w:hAnsi="Times New Roman"/>
          <w:color w:val="auto"/>
          <w:sz w:val="24"/>
          <w:szCs w:val="24"/>
        </w:rPr>
        <w:t>—计算点处的静止土压力强度标准值</w:t>
      </w:r>
      <w:r>
        <w:rPr>
          <w:rFonts w:hint="eastAsia" w:ascii="Times New Roman" w:hAnsi="Times New Roman"/>
          <w:color w:val="auto"/>
          <w:sz w:val="24"/>
          <w:szCs w:val="24"/>
          <w:lang w:eastAsia="zh-CN"/>
        </w:rPr>
        <w:t>（</w:t>
      </w:r>
      <w:r>
        <w:rPr>
          <w:rFonts w:ascii="Times New Roman" w:hAnsi="Times New Roman"/>
          <w:color w:val="auto"/>
          <w:sz w:val="24"/>
          <w:szCs w:val="24"/>
        </w:rPr>
        <w:t>kPa</w:t>
      </w:r>
      <w:r>
        <w:rPr>
          <w:rFonts w:hint="eastAsia" w:ascii="Times New Roman" w:hAnsi="Times New Roman"/>
          <w:color w:val="auto"/>
          <w:sz w:val="24"/>
          <w:szCs w:val="24"/>
          <w:lang w:eastAsia="zh-CN"/>
        </w:rPr>
        <w:t>）</w:t>
      </w:r>
      <w:r>
        <w:rPr>
          <w:rFonts w:ascii="Times New Roman" w:hAnsi="Times New Roman"/>
          <w:color w:val="auto"/>
          <w:sz w:val="24"/>
          <w:szCs w:val="24"/>
        </w:rPr>
        <w:t>；</w:t>
      </w:r>
    </w:p>
    <w:p>
      <w:pPr>
        <w:pStyle w:val="21"/>
        <w:tabs>
          <w:tab w:val="left" w:pos="900"/>
          <w:tab w:val="left" w:pos="1246"/>
          <w:tab w:val="left" w:pos="7020"/>
        </w:tabs>
        <w:topLinePunct/>
        <w:autoSpaceDE w:val="0"/>
        <w:autoSpaceDN w:val="0"/>
        <w:adjustRightInd w:val="0"/>
        <w:snapToGrid w:val="0"/>
        <w:ind w:left="1274" w:leftChars="337" w:hanging="566" w:hangingChars="236"/>
        <w:jc w:val="left"/>
        <w:rPr>
          <w:rFonts w:ascii="Times New Roman" w:hAnsi="Times New Roman"/>
          <w:color w:val="auto"/>
          <w:sz w:val="24"/>
          <w:szCs w:val="24"/>
        </w:rPr>
      </w:pPr>
      <w:r>
        <w:rPr>
          <w:rFonts w:ascii="Times New Roman" w:hAnsi="Times New Roman"/>
          <w:i/>
          <w:color w:val="auto"/>
          <w:sz w:val="24"/>
          <w:szCs w:val="24"/>
          <w:lang w:eastAsia="zh-CN"/>
        </w:rPr>
        <w:t xml:space="preserve">γ </w:t>
      </w:r>
      <w:r>
        <w:rPr>
          <w:rFonts w:ascii="Times New Roman" w:hAnsi="Times New Roman"/>
          <w:i/>
          <w:color w:val="auto"/>
          <w:sz w:val="24"/>
          <w:szCs w:val="24"/>
          <w:vertAlign w:val="subscript"/>
          <w:lang w:eastAsia="zh-CN"/>
        </w:rPr>
        <w:t>i</w:t>
      </w:r>
      <w:r>
        <w:rPr>
          <w:rFonts w:ascii="Times New Roman" w:hAnsi="Times New Roman"/>
          <w:color w:val="auto"/>
          <w:sz w:val="24"/>
          <w:szCs w:val="24"/>
        </w:rPr>
        <w:t>—计算点以上第</w:t>
      </w:r>
      <w:r>
        <w:rPr>
          <w:rFonts w:ascii="Times New Roman" w:hAnsi="Times New Roman"/>
          <w:color w:val="auto"/>
          <w:sz w:val="24"/>
          <w:szCs w:val="24"/>
        </w:rPr>
        <w:object>
          <v:shape id="_x0000_i1034" o:spt="75" type="#_x0000_t75" style="height:13.8pt;width:7.3pt;" o:ole="t" filled="f" coordsize="21600,21600">
            <v:path/>
            <v:fill on="f" focussize="0,0"/>
            <v:stroke/>
            <v:imagedata r:id="rId35" o:title=""/>
            <o:lock v:ext="edit" aspectratio="t"/>
            <w10:wrap type="none"/>
            <w10:anchorlock/>
          </v:shape>
          <o:OLEObject Type="Embed" ProgID="Equation.DSMT4" ShapeID="_x0000_i1034" DrawAspect="Content" ObjectID="_1468075734" r:id="rId34">
            <o:LockedField>false</o:LockedField>
          </o:OLEObject>
        </w:object>
      </w:r>
      <w:r>
        <w:rPr>
          <w:rFonts w:ascii="Times New Roman" w:hAnsi="Times New Roman"/>
          <w:color w:val="auto"/>
          <w:sz w:val="24"/>
          <w:szCs w:val="24"/>
        </w:rPr>
        <w:t>层土的重度</w:t>
      </w:r>
      <w:r>
        <w:rPr>
          <w:rFonts w:hint="eastAsia" w:ascii="Times New Roman" w:hAnsi="Times New Roman"/>
          <w:color w:val="auto"/>
          <w:sz w:val="24"/>
          <w:szCs w:val="24"/>
          <w:lang w:eastAsia="zh-CN"/>
        </w:rPr>
        <w:t>（</w:t>
      </w:r>
      <w:r>
        <w:rPr>
          <w:rFonts w:ascii="Times New Roman" w:hAnsi="Times New Roman"/>
          <w:color w:val="auto"/>
          <w:sz w:val="24"/>
          <w:szCs w:val="24"/>
        </w:rPr>
        <w:t>kN/m</w:t>
      </w:r>
      <w:r>
        <w:rPr>
          <w:rFonts w:ascii="Times New Roman" w:hAnsi="Times New Roman"/>
          <w:color w:val="auto"/>
          <w:sz w:val="24"/>
          <w:szCs w:val="24"/>
          <w:vertAlign w:val="superscript"/>
        </w:rPr>
        <w:t>3</w:t>
      </w:r>
      <w:r>
        <w:rPr>
          <w:rFonts w:hint="eastAsia" w:ascii="Times New Roman" w:hAnsi="Times New Roman"/>
          <w:color w:val="auto"/>
          <w:sz w:val="24"/>
          <w:szCs w:val="24"/>
          <w:lang w:eastAsia="zh-CN"/>
        </w:rPr>
        <w:t>）</w:t>
      </w:r>
      <w:r>
        <w:rPr>
          <w:rFonts w:ascii="Times New Roman" w:hAnsi="Times New Roman"/>
          <w:color w:val="auto"/>
          <w:sz w:val="24"/>
          <w:szCs w:val="24"/>
        </w:rPr>
        <w:t>，地下水位以上取天然重度，地下水</w:t>
      </w:r>
      <w:r>
        <w:rPr>
          <w:rFonts w:ascii="Times New Roman" w:hAnsi="Times New Roman"/>
          <w:color w:val="auto"/>
          <w:sz w:val="24"/>
          <w:szCs w:val="24"/>
          <w:lang w:eastAsia="zh-CN"/>
        </w:rPr>
        <w:t xml:space="preserve">    </w:t>
      </w:r>
      <w:r>
        <w:rPr>
          <w:rFonts w:ascii="Times New Roman" w:hAnsi="Times New Roman"/>
          <w:color w:val="auto"/>
          <w:sz w:val="24"/>
          <w:szCs w:val="24"/>
        </w:rPr>
        <w:t>位以下取浮重度；</w:t>
      </w:r>
    </w:p>
    <w:p>
      <w:pPr>
        <w:pStyle w:val="21"/>
        <w:tabs>
          <w:tab w:val="left" w:pos="900"/>
          <w:tab w:val="left" w:pos="1246"/>
          <w:tab w:val="left" w:pos="7020"/>
        </w:tabs>
        <w:topLinePunct/>
        <w:autoSpaceDE w:val="0"/>
        <w:autoSpaceDN w:val="0"/>
        <w:adjustRightInd w:val="0"/>
        <w:snapToGrid w:val="0"/>
        <w:ind w:firstLine="840" w:firstLineChars="350"/>
        <w:jc w:val="left"/>
        <w:rPr>
          <w:rFonts w:ascii="Times New Roman" w:hAnsi="Times New Roman"/>
          <w:color w:val="auto"/>
          <w:sz w:val="24"/>
          <w:szCs w:val="24"/>
        </w:rPr>
      </w:pPr>
      <w:r>
        <w:rPr>
          <w:rFonts w:ascii="Times New Roman" w:hAnsi="Times New Roman"/>
          <w:i/>
          <w:color w:val="auto"/>
          <w:sz w:val="24"/>
          <w:szCs w:val="24"/>
          <w:lang w:eastAsia="zh-CN"/>
        </w:rPr>
        <w:t>h</w:t>
      </w:r>
      <w:r>
        <w:rPr>
          <w:rFonts w:ascii="Times New Roman" w:hAnsi="Times New Roman"/>
          <w:i/>
          <w:color w:val="auto"/>
          <w:sz w:val="24"/>
          <w:szCs w:val="24"/>
          <w:vertAlign w:val="subscript"/>
          <w:lang w:eastAsia="zh-CN"/>
        </w:rPr>
        <w:t>i</w:t>
      </w:r>
      <w:r>
        <w:rPr>
          <w:rFonts w:ascii="Times New Roman" w:hAnsi="Times New Roman"/>
          <w:color w:val="auto"/>
          <w:sz w:val="24"/>
          <w:szCs w:val="24"/>
        </w:rPr>
        <w:t>—第</w:t>
      </w:r>
      <w:r>
        <w:rPr>
          <w:rFonts w:ascii="Times New Roman" w:hAnsi="Times New Roman"/>
          <w:color w:val="auto"/>
          <w:sz w:val="24"/>
          <w:szCs w:val="24"/>
        </w:rPr>
        <w:object>
          <v:shape id="_x0000_i1035" o:spt="75" type="#_x0000_t75" style="height:13.8pt;width:7.3pt;" o:ole="t" filled="f" coordsize="21600,21600">
            <v:path/>
            <v:fill on="f" focussize="0,0"/>
            <v:stroke/>
            <v:imagedata r:id="rId35" o:title=""/>
            <o:lock v:ext="edit" aspectratio="t"/>
            <w10:wrap type="none"/>
            <w10:anchorlock/>
          </v:shape>
          <o:OLEObject Type="Embed" ProgID="Equation.DSMT4" ShapeID="_x0000_i1035" DrawAspect="Content" ObjectID="_1468075735" r:id="rId36">
            <o:LockedField>false</o:LockedField>
          </o:OLEObject>
        </w:object>
      </w:r>
      <w:r>
        <w:rPr>
          <w:rFonts w:ascii="Times New Roman" w:hAnsi="Times New Roman"/>
          <w:color w:val="auto"/>
          <w:sz w:val="24"/>
          <w:szCs w:val="24"/>
        </w:rPr>
        <w:t>层土的厚度</w:t>
      </w:r>
      <w:r>
        <w:rPr>
          <w:rFonts w:hint="eastAsia" w:ascii="Times New Roman" w:hAnsi="Times New Roman"/>
          <w:color w:val="auto"/>
          <w:sz w:val="24"/>
          <w:szCs w:val="24"/>
          <w:lang w:eastAsia="zh-CN"/>
        </w:rPr>
        <w:t>（</w:t>
      </w:r>
      <w:r>
        <w:rPr>
          <w:rFonts w:ascii="Times New Roman" w:hAnsi="Times New Roman"/>
          <w:color w:val="auto"/>
          <w:sz w:val="24"/>
          <w:szCs w:val="24"/>
        </w:rPr>
        <w:t>m</w:t>
      </w:r>
      <w:r>
        <w:rPr>
          <w:rFonts w:hint="eastAsia" w:ascii="Times New Roman" w:hAnsi="Times New Roman"/>
          <w:color w:val="auto"/>
          <w:sz w:val="24"/>
          <w:szCs w:val="24"/>
          <w:lang w:eastAsia="zh-CN"/>
        </w:rPr>
        <w:t>）</w:t>
      </w:r>
      <w:r>
        <w:rPr>
          <w:rFonts w:ascii="Times New Roman" w:hAnsi="Times New Roman"/>
          <w:color w:val="auto"/>
          <w:sz w:val="24"/>
          <w:szCs w:val="24"/>
        </w:rPr>
        <w:t>；</w:t>
      </w:r>
    </w:p>
    <w:p>
      <w:pPr>
        <w:pStyle w:val="21"/>
        <w:tabs>
          <w:tab w:val="left" w:pos="900"/>
          <w:tab w:val="left" w:pos="1246"/>
          <w:tab w:val="left" w:pos="7020"/>
        </w:tabs>
        <w:topLinePunct/>
        <w:autoSpaceDE w:val="0"/>
        <w:autoSpaceDN w:val="0"/>
        <w:adjustRightInd w:val="0"/>
        <w:snapToGrid w:val="0"/>
        <w:ind w:firstLine="840" w:firstLineChars="350"/>
        <w:jc w:val="left"/>
        <w:rPr>
          <w:rFonts w:ascii="Times New Roman" w:hAnsi="Times New Roman"/>
          <w:color w:val="auto"/>
          <w:sz w:val="24"/>
          <w:szCs w:val="24"/>
        </w:rPr>
      </w:pPr>
      <w:r>
        <w:rPr>
          <w:rFonts w:ascii="Times New Roman" w:hAnsi="Times New Roman"/>
          <w:i/>
          <w:color w:val="auto"/>
          <w:sz w:val="24"/>
          <w:szCs w:val="24"/>
          <w:lang w:eastAsia="zh-CN"/>
        </w:rPr>
        <w:t>q</w:t>
      </w:r>
      <w:r>
        <w:rPr>
          <w:rFonts w:ascii="Times New Roman" w:hAnsi="Times New Roman"/>
          <w:i/>
          <w:color w:val="auto"/>
          <w:sz w:val="24"/>
          <w:szCs w:val="24"/>
          <w:vertAlign w:val="subscript"/>
          <w:lang w:eastAsia="zh-CN"/>
        </w:rPr>
        <w:t>k</w:t>
      </w:r>
      <w:r>
        <w:rPr>
          <w:rFonts w:ascii="Times New Roman" w:hAnsi="Times New Roman"/>
          <w:color w:val="auto"/>
          <w:sz w:val="24"/>
          <w:szCs w:val="24"/>
        </w:rPr>
        <w:t>—地面超载标准值</w:t>
      </w:r>
      <w:r>
        <w:rPr>
          <w:rFonts w:hint="eastAsia" w:ascii="Times New Roman" w:hAnsi="Times New Roman"/>
          <w:color w:val="auto"/>
          <w:sz w:val="24"/>
          <w:szCs w:val="24"/>
          <w:lang w:eastAsia="zh-CN"/>
        </w:rPr>
        <w:t>（</w:t>
      </w:r>
      <w:r>
        <w:rPr>
          <w:rFonts w:ascii="Times New Roman" w:hAnsi="Times New Roman"/>
          <w:color w:val="auto"/>
          <w:sz w:val="24"/>
          <w:szCs w:val="24"/>
        </w:rPr>
        <w:t>kPa</w:t>
      </w:r>
      <w:r>
        <w:rPr>
          <w:rFonts w:hint="eastAsia" w:ascii="Times New Roman" w:hAnsi="Times New Roman"/>
          <w:color w:val="auto"/>
          <w:sz w:val="24"/>
          <w:szCs w:val="24"/>
          <w:lang w:eastAsia="zh-CN"/>
        </w:rPr>
        <w:t>）</w:t>
      </w:r>
      <w:r>
        <w:rPr>
          <w:rFonts w:ascii="Times New Roman" w:hAnsi="Times New Roman"/>
          <w:color w:val="auto"/>
          <w:sz w:val="24"/>
          <w:szCs w:val="24"/>
        </w:rPr>
        <w:t>；</w:t>
      </w:r>
    </w:p>
    <w:p>
      <w:pPr>
        <w:pStyle w:val="21"/>
        <w:tabs>
          <w:tab w:val="left" w:pos="900"/>
          <w:tab w:val="left" w:pos="1246"/>
          <w:tab w:val="left" w:pos="7020"/>
        </w:tabs>
        <w:topLinePunct/>
        <w:autoSpaceDE w:val="0"/>
        <w:autoSpaceDN w:val="0"/>
        <w:adjustRightInd w:val="0"/>
        <w:snapToGrid w:val="0"/>
        <w:ind w:firstLine="840" w:firstLineChars="350"/>
        <w:jc w:val="left"/>
        <w:rPr>
          <w:rFonts w:ascii="Times New Roman" w:hAnsi="Times New Roman"/>
          <w:color w:val="auto"/>
          <w:sz w:val="24"/>
          <w:szCs w:val="24"/>
        </w:rPr>
      </w:pPr>
      <w:r>
        <w:rPr>
          <w:rFonts w:ascii="Times New Roman" w:hAnsi="Times New Roman"/>
          <w:i/>
          <w:color w:val="auto"/>
          <w:sz w:val="24"/>
          <w:szCs w:val="24"/>
          <w:lang w:eastAsia="zh-CN"/>
        </w:rPr>
        <w:t>K</w:t>
      </w:r>
      <w:r>
        <w:rPr>
          <w:rFonts w:ascii="Times New Roman" w:hAnsi="Times New Roman"/>
          <w:color w:val="auto"/>
          <w:sz w:val="24"/>
          <w:szCs w:val="24"/>
          <w:vertAlign w:val="subscript"/>
          <w:lang w:eastAsia="zh-CN"/>
        </w:rPr>
        <w:t>0</w:t>
      </w:r>
      <w:r>
        <w:rPr>
          <w:rFonts w:ascii="Times New Roman" w:hAnsi="Times New Roman"/>
          <w:color w:val="auto"/>
          <w:sz w:val="24"/>
          <w:szCs w:val="24"/>
        </w:rPr>
        <w:t>—计算点处土的静止土压力系数。</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rPr>
      </w:pPr>
      <w:r>
        <w:rPr>
          <w:rFonts w:ascii="Times New Roman" w:hAnsi="Times New Roman"/>
          <w:color w:val="auto"/>
          <w:sz w:val="24"/>
          <w:szCs w:val="24"/>
        </w:rPr>
        <w:t>2  静止土压力系数宜采用室内试验或现场原位试验确定，在无试验条件时，可按下列经验关系估算：</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lang w:eastAsia="zh-CN"/>
        </w:rPr>
      </w:pPr>
      <w:r>
        <w:rPr>
          <w:rFonts w:ascii="Times New Roman" w:hAnsi="Times New Roman"/>
          <w:color w:val="auto"/>
          <w:sz w:val="24"/>
          <w:szCs w:val="24"/>
        </w:rPr>
        <w:t xml:space="preserve">对砂土、粉土    </w:t>
      </w:r>
      <w:r>
        <w:rPr>
          <w:rFonts w:ascii="Times New Roman" w:hAnsi="Times New Roman"/>
          <w:color w:val="auto"/>
          <w:sz w:val="24"/>
          <w:szCs w:val="24"/>
          <w:lang w:eastAsia="zh-CN"/>
        </w:rPr>
        <w:t xml:space="preserve">     </w:t>
      </w:r>
      <w:r>
        <w:rPr>
          <w:rFonts w:ascii="Times New Roman" w:hAnsi="Times New Roman"/>
          <w:color w:val="auto"/>
          <w:sz w:val="24"/>
          <w:szCs w:val="24"/>
        </w:rPr>
        <w:t xml:space="preserve">     </w:t>
      </w:r>
      <w:r>
        <w:rPr>
          <w:rFonts w:hint="eastAsia" w:ascii="Times New Roman" w:hAnsi="Times New Roman"/>
          <w:color w:val="auto"/>
          <w:sz w:val="24"/>
          <w:szCs w:val="24"/>
          <w:lang w:eastAsia="zh-CN"/>
        </w:rPr>
        <w:t xml:space="preserve"> </w:t>
      </w:r>
      <w:r>
        <w:rPr>
          <w:rFonts w:ascii="Times New Roman" w:hAnsi="Times New Roman"/>
          <w:color w:val="auto"/>
          <w:sz w:val="24"/>
          <w:szCs w:val="24"/>
        </w:rPr>
        <w:t xml:space="preserve"> </w:t>
      </w:r>
      <w:r>
        <w:rPr>
          <w:rFonts w:ascii="Times New Roman" w:hAnsi="Times New Roman"/>
          <w:color w:val="auto"/>
          <w:sz w:val="24"/>
          <w:szCs w:val="24"/>
          <w:lang w:eastAsia="zh-CN"/>
        </w:rPr>
        <w:t xml:space="preserve"> </w:t>
      </w:r>
      <w:r>
        <w:rPr>
          <w:rFonts w:ascii="Times New Roman" w:hAnsi="Times New Roman"/>
          <w:color w:val="auto"/>
          <w:sz w:val="24"/>
          <w:szCs w:val="24"/>
        </w:rPr>
        <w:t xml:space="preserve"> </w:t>
      </w:r>
      <w:r>
        <w:rPr>
          <w:position w:val="-12"/>
        </w:rPr>
        <w:object>
          <v:shape id="_x0000_i1036" o:spt="75" type="#_x0000_t75" style="height:19.15pt;width:70.1pt;" o:ole="t" filled="f" coordsize="21600,21600">
            <v:path/>
            <v:fill on="f" focussize="0,0"/>
            <v:stroke/>
            <v:imagedata r:id="rId38" o:title=""/>
            <o:lock v:ext="edit" aspectratio="t"/>
            <w10:wrap type="none"/>
            <w10:anchorlock/>
          </v:shape>
          <o:OLEObject Type="Embed" ProgID="Equation.DSMT4" ShapeID="_x0000_i1036" DrawAspect="Content" ObjectID="_1468075736" r:id="rId37">
            <o:LockedField>false</o:LockedField>
          </o:OLEObject>
        </w:object>
      </w:r>
      <w:r>
        <w:rPr>
          <w:rFonts w:ascii="Times New Roman" w:hAnsi="Times New Roman"/>
          <w:color w:val="auto"/>
          <w:sz w:val="24"/>
          <w:szCs w:val="24"/>
          <w:lang w:eastAsia="zh-CN"/>
        </w:rPr>
        <w:t xml:space="preserve">    </w:t>
      </w:r>
      <w:r>
        <w:rPr>
          <w:rFonts w:hint="eastAsia" w:ascii="Times New Roman" w:hAnsi="Times New Roman"/>
          <w:color w:val="auto"/>
          <w:sz w:val="24"/>
          <w:szCs w:val="24"/>
          <w:lang w:eastAsia="zh-CN"/>
        </w:rPr>
        <w:t xml:space="preserve">      </w:t>
      </w:r>
      <w:r>
        <w:rPr>
          <w:rFonts w:ascii="Times New Roman" w:hAnsi="Times New Roman"/>
          <w:color w:val="auto"/>
          <w:sz w:val="24"/>
          <w:szCs w:val="24"/>
          <w:lang w:eastAsia="zh-CN"/>
        </w:rPr>
        <w:t xml:space="preserve"> </w:t>
      </w:r>
      <w:r>
        <w:rPr>
          <w:rFonts w:ascii="Times New Roman" w:hAnsi="Times New Roman"/>
          <w:color w:val="auto"/>
          <w:sz w:val="24"/>
          <w:szCs w:val="24"/>
        </w:rPr>
        <w:t xml:space="preserve">        </w:t>
      </w:r>
      <w:r>
        <w:rPr>
          <w:rFonts w:ascii="Times New Roman" w:hAnsi="Times New Roman"/>
          <w:color w:val="auto"/>
          <w:sz w:val="24"/>
          <w:szCs w:val="24"/>
          <w:lang w:eastAsia="zh-CN"/>
        </w:rPr>
        <w:t xml:space="preserve"> </w:t>
      </w:r>
      <w:r>
        <w:rPr>
          <w:rFonts w:ascii="Times New Roman" w:hAnsi="Times New Roman"/>
          <w:color w:val="auto"/>
          <w:sz w:val="24"/>
          <w:szCs w:val="24"/>
        </w:rPr>
        <w:t xml:space="preserve">  (5.</w:t>
      </w:r>
      <w:r>
        <w:rPr>
          <w:rFonts w:ascii="Times New Roman" w:hAnsi="Times New Roman"/>
          <w:color w:val="auto"/>
          <w:sz w:val="24"/>
          <w:szCs w:val="24"/>
          <w:lang w:eastAsia="zh-CN"/>
        </w:rPr>
        <w:t>3</w:t>
      </w:r>
      <w:r>
        <w:rPr>
          <w:rFonts w:ascii="Times New Roman" w:hAnsi="Times New Roman"/>
          <w:color w:val="auto"/>
          <w:sz w:val="24"/>
          <w:szCs w:val="24"/>
        </w:rPr>
        <w:t>.</w:t>
      </w:r>
      <w:r>
        <w:rPr>
          <w:rFonts w:ascii="Times New Roman" w:hAnsi="Times New Roman"/>
          <w:color w:val="auto"/>
          <w:sz w:val="24"/>
          <w:szCs w:val="24"/>
          <w:lang w:eastAsia="zh-CN"/>
        </w:rPr>
        <w:t>2</w:t>
      </w:r>
      <w:r>
        <w:rPr>
          <w:rFonts w:ascii="Times New Roman" w:hAnsi="Times New Roman"/>
          <w:color w:val="auto"/>
          <w:sz w:val="24"/>
          <w:szCs w:val="24"/>
        </w:rPr>
        <w:t>-2)</w:t>
      </w:r>
    </w:p>
    <w:p>
      <w:pPr>
        <w:pStyle w:val="21"/>
        <w:tabs>
          <w:tab w:val="left" w:pos="900"/>
          <w:tab w:val="left" w:pos="1246"/>
          <w:tab w:val="left" w:pos="6237"/>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 xml:space="preserve">对黏性土、淤泥质土      </w:t>
      </w:r>
      <w:r>
        <w:rPr>
          <w:rFonts w:hint="eastAsia" w:ascii="Times New Roman" w:hAnsi="Times New Roman"/>
          <w:color w:val="auto"/>
          <w:sz w:val="24"/>
          <w:szCs w:val="24"/>
          <w:lang w:eastAsia="zh-CN"/>
        </w:rPr>
        <w:t xml:space="preserve">  </w:t>
      </w:r>
      <w:r>
        <w:rPr>
          <w:rFonts w:ascii="Times New Roman" w:hAnsi="Times New Roman"/>
          <w:color w:val="auto"/>
          <w:sz w:val="24"/>
          <w:szCs w:val="24"/>
        </w:rPr>
        <w:t xml:space="preserve">   </w:t>
      </w:r>
      <w:r>
        <w:rPr>
          <w:position w:val="-12"/>
        </w:rPr>
        <w:object>
          <v:shape id="_x0000_i1037" o:spt="75" type="#_x0000_t75" style="height:19.15pt;width:86.55pt;" o:ole="t" filled="f" coordsize="21600,21600">
            <v:path/>
            <v:fill on="f" focussize="0,0"/>
            <v:stroke/>
            <v:imagedata r:id="rId40" o:title=""/>
            <o:lock v:ext="edit" aspectratio="t"/>
            <w10:wrap type="none"/>
            <w10:anchorlock/>
          </v:shape>
          <o:OLEObject Type="Embed" ProgID="Equation.DSMT4" ShapeID="_x0000_i1037" DrawAspect="Content" ObjectID="_1468075737" r:id="rId39">
            <o:LockedField>false</o:LockedField>
          </o:OLEObject>
        </w:object>
      </w:r>
      <w:r>
        <w:rPr>
          <w:rFonts w:ascii="Times New Roman" w:hAnsi="Times New Roman"/>
          <w:color w:val="auto"/>
          <w:sz w:val="24"/>
          <w:szCs w:val="24"/>
        </w:rPr>
        <w:t xml:space="preserve">     </w:t>
      </w:r>
      <w:r>
        <w:rPr>
          <w:rFonts w:ascii="Times New Roman" w:hAnsi="Times New Roman"/>
          <w:color w:val="auto"/>
          <w:sz w:val="24"/>
          <w:szCs w:val="24"/>
          <w:lang w:eastAsia="zh-CN"/>
        </w:rPr>
        <w:t xml:space="preserve">  </w:t>
      </w:r>
      <w:r>
        <w:rPr>
          <w:rFonts w:ascii="Times New Roman" w:hAnsi="Times New Roman"/>
          <w:color w:val="auto"/>
          <w:sz w:val="24"/>
          <w:szCs w:val="24"/>
        </w:rPr>
        <w:t xml:space="preserve">             (5.</w:t>
      </w:r>
      <w:r>
        <w:rPr>
          <w:rFonts w:ascii="Times New Roman" w:hAnsi="Times New Roman"/>
          <w:color w:val="auto"/>
          <w:sz w:val="24"/>
          <w:szCs w:val="24"/>
          <w:lang w:eastAsia="zh-CN"/>
        </w:rPr>
        <w:t>3</w:t>
      </w:r>
      <w:r>
        <w:rPr>
          <w:rFonts w:ascii="Times New Roman" w:hAnsi="Times New Roman"/>
          <w:color w:val="auto"/>
          <w:sz w:val="24"/>
          <w:szCs w:val="24"/>
        </w:rPr>
        <w:t>.</w:t>
      </w:r>
      <w:r>
        <w:rPr>
          <w:rFonts w:ascii="Times New Roman" w:hAnsi="Times New Roman"/>
          <w:color w:val="auto"/>
          <w:sz w:val="24"/>
          <w:szCs w:val="24"/>
          <w:lang w:eastAsia="zh-CN"/>
        </w:rPr>
        <w:t>2</w:t>
      </w:r>
      <w:r>
        <w:rPr>
          <w:rFonts w:ascii="Times New Roman" w:hAnsi="Times New Roman"/>
          <w:color w:val="auto"/>
          <w:sz w:val="24"/>
          <w:szCs w:val="24"/>
        </w:rPr>
        <w:t>-3)</w:t>
      </w:r>
    </w:p>
    <w:p>
      <w:pPr>
        <w:pStyle w:val="21"/>
        <w:tabs>
          <w:tab w:val="left" w:pos="900"/>
          <w:tab w:val="left" w:pos="1246"/>
          <w:tab w:val="left" w:pos="7020"/>
        </w:tabs>
        <w:topLinePunct/>
        <w:autoSpaceDE w:val="0"/>
        <w:autoSpaceDN w:val="0"/>
        <w:adjustRightInd w:val="0"/>
        <w:snapToGrid w:val="0"/>
        <w:ind w:firstLine="0"/>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i/>
          <w:color w:val="auto"/>
          <w:sz w:val="24"/>
          <w:szCs w:val="24"/>
          <w:lang w:eastAsia="zh-CN"/>
        </w:rPr>
        <w:t>K</w:t>
      </w:r>
      <w:r>
        <w:rPr>
          <w:rFonts w:ascii="Times New Roman" w:hAnsi="Times New Roman"/>
          <w:color w:val="auto"/>
          <w:sz w:val="24"/>
          <w:szCs w:val="24"/>
          <w:vertAlign w:val="subscript"/>
          <w:lang w:eastAsia="zh-CN"/>
        </w:rPr>
        <w:t>0</w:t>
      </w:r>
      <w:r>
        <w:rPr>
          <w:rFonts w:ascii="Times New Roman" w:hAnsi="Times New Roman"/>
          <w:color w:val="auto"/>
          <w:sz w:val="24"/>
          <w:szCs w:val="24"/>
        </w:rPr>
        <w:t>—正常固结土的静止土压力系数；</w:t>
      </w:r>
    </w:p>
    <w:p>
      <w:pPr>
        <w:pStyle w:val="21"/>
        <w:tabs>
          <w:tab w:val="left" w:pos="900"/>
          <w:tab w:val="left" w:pos="1246"/>
          <w:tab w:val="left" w:pos="7020"/>
        </w:tabs>
        <w:topLinePunct/>
        <w:autoSpaceDE w:val="0"/>
        <w:autoSpaceDN w:val="0"/>
        <w:adjustRightInd w:val="0"/>
        <w:snapToGrid w:val="0"/>
        <w:ind w:left="1295" w:leftChars="350" w:hanging="560" w:hangingChars="200"/>
        <w:rPr>
          <w:rFonts w:ascii="Times New Roman" w:hAnsi="Times New Roman"/>
          <w:color w:val="auto"/>
          <w:sz w:val="24"/>
          <w:szCs w:val="24"/>
        </w:rPr>
      </w:pPr>
      <w:r>
        <w:rPr>
          <w:rFonts w:ascii="Times New Roman" w:hAnsi="Times New Roman"/>
          <w:i/>
          <w:color w:val="auto"/>
          <w:lang w:eastAsia="zh-CN"/>
        </w:rPr>
        <w:t>φ</w:t>
      </w:r>
      <w:r>
        <w:rPr>
          <w:rFonts w:ascii="Times New Roman" w:hAnsi="Times New Roman"/>
          <w:i/>
          <w:color w:val="auto"/>
          <w:sz w:val="24"/>
          <w:szCs w:val="24"/>
          <w:vertAlign w:val="subscript"/>
          <w:lang w:eastAsia="zh-CN"/>
        </w:rPr>
        <w:t>k</w:t>
      </w:r>
      <w:r>
        <w:rPr>
          <w:rFonts w:ascii="Times New Roman" w:hAnsi="Times New Roman"/>
          <w:color w:val="auto"/>
          <w:sz w:val="24"/>
          <w:szCs w:val="24"/>
        </w:rPr>
        <w:t>—土的有效内摩擦角标准值</w:t>
      </w:r>
      <w:r>
        <w:rPr>
          <w:rFonts w:hint="eastAsia" w:ascii="Times New Roman" w:hAnsi="Times New Roman"/>
          <w:color w:val="auto"/>
          <w:sz w:val="24"/>
          <w:szCs w:val="24"/>
          <w:lang w:eastAsia="zh-CN"/>
        </w:rPr>
        <w:t>（</w:t>
      </w:r>
      <w:r>
        <w:rPr>
          <w:rFonts w:ascii="Times New Roman" w:hAnsi="Times New Roman"/>
          <w:color w:val="auto"/>
          <w:sz w:val="24"/>
          <w:szCs w:val="24"/>
        </w:rPr>
        <w:object>
          <v:shape id="_x0000_i1038" o:spt="75" type="#_x0000_t75" style="height:15.7pt;width:7.3pt;" o:ole="t" filled="f" coordsize="21600,21600">
            <v:path/>
            <v:fill on="f" focussize="0,0"/>
            <v:stroke/>
            <v:imagedata r:id="rId42" o:title=""/>
            <o:lock v:ext="edit" aspectratio="t"/>
            <w10:wrap type="none"/>
            <w10:anchorlock/>
          </v:shape>
          <o:OLEObject Type="Embed" ProgID="Equation.DSMT4" ShapeID="_x0000_i1038" DrawAspect="Content" ObjectID="_1468075738" r:id="rId41">
            <o:LockedField>false</o:LockedField>
          </o:OLEObject>
        </w:object>
      </w:r>
      <w:r>
        <w:rPr>
          <w:rFonts w:hint="eastAsia" w:ascii="Times New Roman" w:hAnsi="Times New Roman"/>
          <w:color w:val="auto"/>
          <w:sz w:val="24"/>
          <w:szCs w:val="24"/>
          <w:lang w:eastAsia="zh-CN"/>
        </w:rPr>
        <w:t>）</w:t>
      </w:r>
      <w:r>
        <w:rPr>
          <w:rFonts w:ascii="Times New Roman" w:hAnsi="Times New Roman"/>
          <w:color w:val="auto"/>
          <w:sz w:val="24"/>
          <w:szCs w:val="24"/>
        </w:rPr>
        <w:t>。按三轴固结不排水剪切试验</w:t>
      </w:r>
      <w:r>
        <w:rPr>
          <w:rFonts w:ascii="Times New Roman" w:hAnsi="Times New Roman"/>
          <w:color w:val="auto"/>
          <w:sz w:val="24"/>
          <w:szCs w:val="24"/>
          <w:lang w:eastAsia="zh-CN"/>
        </w:rPr>
        <w:t>（</w:t>
      </w:r>
      <w:r>
        <w:rPr>
          <w:rFonts w:ascii="Times New Roman" w:hAnsi="Times New Roman"/>
          <w:color w:val="auto"/>
          <w:sz w:val="24"/>
          <w:szCs w:val="24"/>
        </w:rPr>
        <w:t>带测孔隙水压力</w:t>
      </w:r>
      <w:r>
        <w:rPr>
          <w:rFonts w:ascii="Times New Roman" w:hAnsi="Times New Roman"/>
          <w:color w:val="auto"/>
          <w:sz w:val="24"/>
          <w:szCs w:val="24"/>
          <w:lang w:eastAsia="zh-CN"/>
        </w:rPr>
        <w:t>）</w:t>
      </w:r>
      <w:r>
        <w:rPr>
          <w:rFonts w:ascii="Times New Roman" w:hAnsi="Times New Roman"/>
          <w:color w:val="auto"/>
          <w:sz w:val="24"/>
          <w:szCs w:val="24"/>
        </w:rPr>
        <w:t>或三轴固结排水剪切试验测定。</w:t>
      </w:r>
    </w:p>
    <w:p>
      <w:pPr>
        <w:pStyle w:val="21"/>
        <w:tabs>
          <w:tab w:val="left" w:pos="900"/>
          <w:tab w:val="left" w:pos="1246"/>
          <w:tab w:val="left" w:pos="7020"/>
        </w:tabs>
        <w:topLinePunct/>
        <w:autoSpaceDE w:val="0"/>
        <w:autoSpaceDN w:val="0"/>
        <w:adjustRightInd w:val="0"/>
        <w:snapToGrid w:val="0"/>
        <w:ind w:firstLine="0"/>
        <w:rPr>
          <w:rFonts w:ascii="Times New Roman" w:hAnsi="Times New Roman"/>
          <w:color w:val="auto"/>
          <w:sz w:val="24"/>
          <w:szCs w:val="24"/>
        </w:rPr>
      </w:pPr>
      <w:r>
        <w:rPr>
          <w:rFonts w:ascii="Times New Roman" w:hAnsi="Times New Roman"/>
          <w:b/>
          <w:color w:val="auto"/>
          <w:sz w:val="24"/>
          <w:szCs w:val="24"/>
        </w:rPr>
        <w:t>5.</w:t>
      </w:r>
      <w:r>
        <w:rPr>
          <w:rFonts w:hint="eastAsia" w:ascii="Times New Roman" w:hAnsi="Times New Roman"/>
          <w:b/>
          <w:color w:val="auto"/>
          <w:sz w:val="24"/>
          <w:szCs w:val="24"/>
          <w:lang w:eastAsia="zh-CN"/>
        </w:rPr>
        <w:t>3</w:t>
      </w:r>
      <w:r>
        <w:rPr>
          <w:rFonts w:ascii="Times New Roman" w:hAnsi="Times New Roman"/>
          <w:b/>
          <w:color w:val="auto"/>
          <w:sz w:val="24"/>
          <w:szCs w:val="24"/>
        </w:rPr>
        <w:t>.</w:t>
      </w:r>
      <w:r>
        <w:rPr>
          <w:rFonts w:hint="eastAsia" w:ascii="Times New Roman" w:hAnsi="Times New Roman"/>
          <w:b/>
          <w:color w:val="auto"/>
          <w:sz w:val="24"/>
          <w:szCs w:val="24"/>
          <w:lang w:eastAsia="zh-CN"/>
        </w:rPr>
        <w:t>3</w:t>
      </w:r>
      <w:r>
        <w:rPr>
          <w:rFonts w:ascii="Times New Roman" w:hAnsi="Times New Roman"/>
          <w:b/>
          <w:color w:val="auto"/>
          <w:sz w:val="24"/>
          <w:szCs w:val="24"/>
        </w:rPr>
        <w:t xml:space="preserve">  </w:t>
      </w:r>
      <w:r>
        <w:rPr>
          <w:rFonts w:ascii="Times New Roman" w:hAnsi="Times New Roman"/>
          <w:color w:val="auto"/>
          <w:sz w:val="24"/>
          <w:szCs w:val="24"/>
        </w:rPr>
        <w:t>作用在基坑支护结构外侧、内侧的主动土压力强度标准值、被动土压力强度标准值宜按公式5.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-1~式5.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计算（图5.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w:t>
      </w:r>
    </w:p>
    <w:p>
      <w:pPr>
        <w:adjustRightInd w:val="0"/>
        <w:spacing w:line="360" w:lineRule="auto"/>
        <w:jc w:val="center"/>
        <w:rPr>
          <w:szCs w:val="21"/>
        </w:rPr>
      </w:pPr>
      <w:r>
        <w:rPr>
          <w:szCs w:val="21"/>
        </w:rPr>
        <w:drawing>
          <wp:inline distT="0" distB="0" distL="0" distR="0">
            <wp:extent cx="3044825" cy="2472690"/>
            <wp:effectExtent l="0" t="0" r="3175" b="3810"/>
            <wp:docPr id="22" name="图片 22" descr="E:\G规范编制\昆明地区基坑规范编制\2019.6第二次审查修改\插图\5.3.3土压力计算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G规范编制\昆明地区基坑规范编制\2019.6第二次审查修改\插图\5.3.3土压力计算图.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044825" cy="2472690"/>
                    </a:xfrm>
                    <a:prstGeom prst="rect">
                      <a:avLst/>
                    </a:prstGeom>
                    <a:noFill/>
                    <a:ln>
                      <a:noFill/>
                    </a:ln>
                  </pic:spPr>
                </pic:pic>
              </a:graphicData>
            </a:graphic>
          </wp:inline>
        </w:drawing>
      </w:r>
    </w:p>
    <w:p>
      <w:pPr>
        <w:adjustRightInd w:val="0"/>
        <w:spacing w:line="360" w:lineRule="auto"/>
        <w:jc w:val="center"/>
        <w:rPr>
          <w:b/>
          <w:sz w:val="24"/>
        </w:rPr>
      </w:pPr>
      <w:r>
        <w:rPr>
          <w:b/>
          <w:sz w:val="24"/>
        </w:rPr>
        <w:t>图5.</w:t>
      </w:r>
      <w:r>
        <w:rPr>
          <w:rFonts w:hint="eastAsia"/>
          <w:b/>
          <w:sz w:val="24"/>
        </w:rPr>
        <w:t>3</w:t>
      </w:r>
      <w:r>
        <w:rPr>
          <w:b/>
          <w:sz w:val="24"/>
        </w:rPr>
        <w:t>.</w:t>
      </w:r>
      <w:r>
        <w:rPr>
          <w:rFonts w:hint="eastAsia"/>
          <w:b/>
          <w:sz w:val="24"/>
        </w:rPr>
        <w:t>3</w:t>
      </w:r>
      <w:r>
        <w:rPr>
          <w:b/>
          <w:sz w:val="24"/>
        </w:rPr>
        <w:t xml:space="preserve">  土压力计算图</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auto"/>
          <w:sz w:val="24"/>
          <w:szCs w:val="24"/>
        </w:rPr>
      </w:pPr>
      <w:r>
        <w:rPr>
          <w:rFonts w:ascii="Times New Roman" w:hAnsi="Times New Roman"/>
          <w:color w:val="auto"/>
          <w:sz w:val="24"/>
          <w:szCs w:val="24"/>
        </w:rPr>
        <w:t>1  对于地下水位以上或水土合算的土层：</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auto"/>
          <w:sz w:val="24"/>
          <w:szCs w:val="24"/>
        </w:rPr>
      </w:pPr>
      <w:r>
        <w:rPr>
          <w:rFonts w:ascii="Times New Roman" w:hAnsi="Times New Roman"/>
          <w:color w:val="auto"/>
          <w:sz w:val="24"/>
          <w:szCs w:val="24"/>
        </w:rPr>
        <w:object>
          <v:shape id="_x0000_i1039" o:spt="75" type="#_x0000_t75" style="height:21.05pt;width:117.95pt;" o:ole="t" filled="f" coordsize="21600,21600">
            <v:path/>
            <v:fill on="f" focussize="0,0"/>
            <v:stroke/>
            <v:imagedata r:id="rId45" o:title=""/>
            <o:lock v:ext="edit" aspectratio="t"/>
            <w10:wrap type="none"/>
            <w10:anchorlock/>
          </v:shape>
          <o:OLEObject Type="Embed" ProgID="Equation.DSMT4" ShapeID="_x0000_i1039" DrawAspect="Content" ObjectID="_1468075739" r:id="rId44">
            <o:LockedField>false</o:LockedField>
          </o:OLEObject>
        </w:object>
      </w:r>
      <w:r>
        <w:rPr>
          <w:rFonts w:ascii="Times New Roman" w:hAnsi="Times New Roman"/>
          <w:color w:val="auto"/>
          <w:sz w:val="24"/>
          <w:szCs w:val="24"/>
          <w:lang w:eastAsia="zh-CN"/>
        </w:rPr>
        <w:t xml:space="preserve">                 </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-1）</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auto"/>
          <w:sz w:val="24"/>
          <w:szCs w:val="24"/>
        </w:rPr>
      </w:pPr>
      <w:r>
        <w:rPr>
          <w:rFonts w:ascii="Times New Roman" w:hAnsi="Times New Roman"/>
          <w:color w:val="auto"/>
          <w:sz w:val="24"/>
          <w:szCs w:val="24"/>
        </w:rPr>
        <w:object>
          <v:shape id="_x0000_i1040" o:spt="75" type="#_x0000_t75" style="height:21.05pt;width:117.95pt;" o:ole="t" filled="f" coordsize="21600,21600">
            <v:path/>
            <v:fill on="f" focussize="0,0"/>
            <v:stroke/>
            <v:imagedata r:id="rId47" o:title=""/>
            <o:lock v:ext="edit" aspectratio="t"/>
            <w10:wrap type="none"/>
            <w10:anchorlock/>
          </v:shape>
          <o:OLEObject Type="Embed" ProgID="Equation.DSMT4" ShapeID="_x0000_i1040" DrawAspect="Content" ObjectID="_1468075740" r:id="rId46">
            <o:LockedField>false</o:LockedField>
          </o:OLEObject>
        </w:object>
      </w:r>
      <w:r>
        <w:rPr>
          <w:rFonts w:ascii="Times New Roman" w:hAnsi="Times New Roman"/>
          <w:color w:val="auto"/>
          <w:sz w:val="24"/>
          <w:szCs w:val="24"/>
          <w:lang w:eastAsia="zh-CN"/>
        </w:rPr>
        <w:t xml:space="preserve">                 </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-2）</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auto"/>
          <w:sz w:val="24"/>
          <w:szCs w:val="24"/>
        </w:rPr>
      </w:pPr>
      <w:r>
        <w:rPr>
          <w:rFonts w:ascii="Times New Roman" w:hAnsi="Times New Roman"/>
          <w:color w:val="auto"/>
          <w:sz w:val="24"/>
          <w:szCs w:val="24"/>
        </w:rPr>
        <w:object>
          <v:shape id="_x0000_i1041" o:spt="75" type="#_x0000_t75" style="height:30.65pt;width:101.1pt;" o:ole="t" filled="f" coordsize="21600,21600">
            <v:path/>
            <v:fill on="f" focussize="0,0"/>
            <v:stroke/>
            <v:imagedata r:id="rId49" o:title=""/>
            <o:lock v:ext="edit" aspectratio="t"/>
            <w10:wrap type="none"/>
            <w10:anchorlock/>
          </v:shape>
          <o:OLEObject Type="Embed" ProgID="Equation.DSMT4" ShapeID="_x0000_i1041" DrawAspect="Content" ObjectID="_1468075741" r:id="rId48">
            <o:LockedField>false</o:LockedField>
          </o:OLEObject>
        </w:object>
      </w:r>
      <w:r>
        <w:rPr>
          <w:rFonts w:ascii="Times New Roman" w:hAnsi="Times New Roman"/>
          <w:color w:val="auto"/>
          <w:sz w:val="24"/>
          <w:szCs w:val="24"/>
          <w:lang w:eastAsia="zh-CN"/>
        </w:rPr>
        <w:t xml:space="preserve">                  </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-3）</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auto"/>
          <w:sz w:val="24"/>
          <w:szCs w:val="24"/>
        </w:rPr>
      </w:pPr>
      <w:r>
        <w:rPr>
          <w:rFonts w:ascii="Times New Roman" w:hAnsi="Times New Roman"/>
          <w:color w:val="auto"/>
          <w:sz w:val="24"/>
          <w:szCs w:val="24"/>
        </w:rPr>
        <w:object>
          <v:shape id="_x0000_i1042" o:spt="75" type="#_x0000_t75" style="height:30.65pt;width:102.25pt;" o:ole="t" fillcolor="#FFFFFF" filled="t" coordsize="21600,21600">
            <v:path/>
            <v:fill on="t" focussize="0,0"/>
            <v:stroke/>
            <v:imagedata r:id="rId51" o:title=""/>
            <o:lock v:ext="edit" aspectratio="t"/>
            <w10:wrap type="none"/>
            <w10:anchorlock/>
          </v:shape>
          <o:OLEObject Type="Embed" ProgID="Equation.DSMT4" ShapeID="_x0000_i1042" DrawAspect="Content" ObjectID="_1468075742" r:id="rId50">
            <o:LockedField>false</o:LockedField>
          </o:OLEObject>
        </w:object>
      </w:r>
      <w:r>
        <w:rPr>
          <w:rFonts w:ascii="Times New Roman" w:hAnsi="Times New Roman"/>
          <w:color w:val="auto"/>
          <w:sz w:val="24"/>
          <w:szCs w:val="24"/>
          <w:lang w:eastAsia="zh-CN"/>
        </w:rPr>
        <w:t xml:space="preserve">                  </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-4）</w:t>
      </w:r>
    </w:p>
    <w:p>
      <w:pPr>
        <w:pStyle w:val="21"/>
        <w:tabs>
          <w:tab w:val="left" w:pos="900"/>
          <w:tab w:val="left" w:pos="1246"/>
        </w:tabs>
        <w:topLinePunct/>
        <w:autoSpaceDE w:val="0"/>
        <w:autoSpaceDN w:val="0"/>
        <w:adjustRightInd w:val="0"/>
        <w:snapToGrid w:val="0"/>
        <w:ind w:left="1440" w:hanging="1440" w:hangingChars="600"/>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i/>
          <w:color w:val="auto"/>
          <w:szCs w:val="21"/>
        </w:rPr>
        <w:t>p</w:t>
      </w:r>
      <w:r>
        <w:rPr>
          <w:rFonts w:ascii="Times New Roman" w:hAnsi="Times New Roman"/>
          <w:color w:val="auto"/>
          <w:szCs w:val="21"/>
          <w:vertAlign w:val="subscript"/>
        </w:rPr>
        <w:t>ak</w:t>
      </w:r>
      <w:r>
        <w:rPr>
          <w:rFonts w:ascii="Times New Roman" w:hAnsi="Times New Roman"/>
          <w:color w:val="auto"/>
          <w:sz w:val="24"/>
          <w:szCs w:val="24"/>
        </w:rPr>
        <w:t>—支护结构外侧，第i层土中计算点的主动土压力强度标准值（kPa），当</w:t>
      </w:r>
      <w:r>
        <w:rPr>
          <w:rFonts w:hint="eastAsia" w:ascii="Times New Roman" w:hAnsi="Times New Roman"/>
          <w:color w:val="auto"/>
          <w:sz w:val="24"/>
          <w:szCs w:val="24"/>
          <w:lang w:eastAsia="zh-CN"/>
        </w:rPr>
        <w:t xml:space="preserve">   </w:t>
      </w:r>
      <w:r>
        <w:rPr>
          <w:rFonts w:ascii="Times New Roman" w:hAnsi="Times New Roman"/>
          <w:i/>
          <w:color w:val="auto"/>
          <w:szCs w:val="21"/>
        </w:rPr>
        <w:t>p</w:t>
      </w:r>
      <w:r>
        <w:rPr>
          <w:rFonts w:ascii="Times New Roman" w:hAnsi="Times New Roman"/>
          <w:color w:val="auto"/>
          <w:szCs w:val="21"/>
          <w:vertAlign w:val="subscript"/>
        </w:rPr>
        <w:t>ak</w:t>
      </w:r>
      <w:r>
        <w:rPr>
          <w:rFonts w:ascii="Times New Roman" w:hAnsi="Times New Roman"/>
          <w:color w:val="auto"/>
          <w:sz w:val="24"/>
          <w:szCs w:val="24"/>
        </w:rPr>
        <w:t>＜0时，取</w:t>
      </w:r>
      <w:r>
        <w:rPr>
          <w:rFonts w:ascii="Times New Roman" w:hAnsi="Times New Roman"/>
          <w:i/>
          <w:color w:val="auto"/>
          <w:szCs w:val="21"/>
        </w:rPr>
        <w:t>p</w:t>
      </w:r>
      <w:r>
        <w:rPr>
          <w:rFonts w:ascii="Times New Roman" w:hAnsi="Times New Roman"/>
          <w:color w:val="auto"/>
          <w:szCs w:val="21"/>
          <w:vertAlign w:val="subscript"/>
        </w:rPr>
        <w:t>ak</w:t>
      </w:r>
      <w:r>
        <w:rPr>
          <w:rFonts w:ascii="Times New Roman" w:hAnsi="Times New Roman"/>
          <w:color w:val="auto"/>
          <w:sz w:val="24"/>
          <w:szCs w:val="24"/>
        </w:rPr>
        <w:t>＝0；</w:t>
      </w:r>
    </w:p>
    <w:p>
      <w:pPr>
        <w:pStyle w:val="21"/>
        <w:tabs>
          <w:tab w:val="left" w:pos="900"/>
          <w:tab w:val="left" w:pos="1246"/>
          <w:tab w:val="left" w:pos="7020"/>
        </w:tabs>
        <w:topLinePunct/>
        <w:autoSpaceDE w:val="0"/>
        <w:autoSpaceDN w:val="0"/>
        <w:adjustRightInd w:val="0"/>
        <w:snapToGrid w:val="0"/>
        <w:ind w:firstLine="700" w:firstLineChars="250"/>
        <w:jc w:val="left"/>
        <w:rPr>
          <w:rFonts w:ascii="Times New Roman" w:hAnsi="Times New Roman"/>
          <w:color w:val="auto"/>
          <w:sz w:val="24"/>
          <w:szCs w:val="24"/>
          <w:lang w:eastAsia="zh-CN"/>
        </w:rPr>
      </w:pPr>
      <w:r>
        <w:rPr>
          <w:rFonts w:ascii="Times New Roman" w:hAnsi="Times New Roman"/>
          <w:i/>
          <w:color w:val="auto"/>
          <w:szCs w:val="21"/>
        </w:rPr>
        <w:t>p</w:t>
      </w:r>
      <w:r>
        <w:rPr>
          <w:rFonts w:ascii="Times New Roman" w:hAnsi="Times New Roman"/>
          <w:color w:val="auto"/>
          <w:szCs w:val="21"/>
          <w:vertAlign w:val="subscript"/>
          <w:lang w:eastAsia="zh-CN"/>
        </w:rPr>
        <w:t>p</w:t>
      </w:r>
      <w:r>
        <w:rPr>
          <w:rFonts w:ascii="Times New Roman" w:hAnsi="Times New Roman"/>
          <w:color w:val="auto"/>
          <w:szCs w:val="21"/>
          <w:vertAlign w:val="subscript"/>
        </w:rPr>
        <w:t>k</w:t>
      </w:r>
      <w:r>
        <w:rPr>
          <w:rFonts w:ascii="Times New Roman" w:hAnsi="Times New Roman"/>
          <w:color w:val="auto"/>
          <w:sz w:val="24"/>
          <w:szCs w:val="24"/>
        </w:rPr>
        <w:t>—支护结构内侧，第i层土中计算点的被动土压力强度标准值（kPa）；</w:t>
      </w:r>
    </w:p>
    <w:p>
      <w:pPr>
        <w:pStyle w:val="21"/>
        <w:tabs>
          <w:tab w:val="left" w:pos="900"/>
          <w:tab w:val="left" w:pos="1246"/>
          <w:tab w:val="left" w:pos="7020"/>
        </w:tabs>
        <w:topLinePunct/>
        <w:autoSpaceDE w:val="0"/>
        <w:autoSpaceDN w:val="0"/>
        <w:adjustRightInd w:val="0"/>
        <w:snapToGrid w:val="0"/>
        <w:ind w:firstLine="600" w:firstLineChars="250"/>
        <w:jc w:val="left"/>
        <w:rPr>
          <w:rFonts w:ascii="Times New Roman" w:hAnsi="Times New Roman"/>
          <w:color w:val="auto"/>
          <w:sz w:val="24"/>
          <w:szCs w:val="24"/>
          <w:lang w:eastAsia="zh-CN"/>
        </w:rPr>
      </w:pPr>
      <w:r>
        <w:rPr>
          <w:rFonts w:ascii="Times New Roman" w:hAnsi="Times New Roman"/>
          <w:i/>
          <w:color w:val="auto"/>
          <w:sz w:val="24"/>
          <w:szCs w:val="24"/>
        </w:rPr>
        <w:t>σ</w:t>
      </w:r>
      <w:r>
        <w:rPr>
          <w:rFonts w:ascii="Times New Roman" w:hAnsi="Times New Roman"/>
          <w:color w:val="auto"/>
          <w:sz w:val="24"/>
          <w:szCs w:val="24"/>
          <w:vertAlign w:val="subscript"/>
        </w:rPr>
        <w:t>ak</w:t>
      </w:r>
      <w:r>
        <w:rPr>
          <w:rFonts w:ascii="Times New Roman" w:hAnsi="Times New Roman"/>
          <w:color w:val="auto"/>
          <w:sz w:val="24"/>
          <w:szCs w:val="24"/>
        </w:rPr>
        <w:t>、</w:t>
      </w:r>
      <w:r>
        <w:rPr>
          <w:rFonts w:ascii="Times New Roman" w:hAnsi="Times New Roman"/>
          <w:i/>
          <w:color w:val="auto"/>
          <w:sz w:val="24"/>
          <w:szCs w:val="24"/>
        </w:rPr>
        <w:t>σ</w:t>
      </w:r>
      <w:r>
        <w:rPr>
          <w:rFonts w:ascii="Times New Roman" w:hAnsi="Times New Roman"/>
          <w:color w:val="auto"/>
          <w:sz w:val="24"/>
          <w:szCs w:val="24"/>
          <w:vertAlign w:val="subscript"/>
        </w:rPr>
        <w:t>pk</w:t>
      </w:r>
      <w:r>
        <w:rPr>
          <w:rFonts w:ascii="Times New Roman" w:hAnsi="Times New Roman"/>
          <w:color w:val="auto"/>
          <w:sz w:val="24"/>
          <w:szCs w:val="24"/>
        </w:rPr>
        <w:t>—分别为支护结构外侧、内侧计算点的土中竖向应力标准值（kPa）；</w:t>
      </w:r>
    </w:p>
    <w:p>
      <w:pPr>
        <w:pStyle w:val="21"/>
        <w:tabs>
          <w:tab w:val="left" w:pos="900"/>
          <w:tab w:val="left" w:pos="1246"/>
          <w:tab w:val="left" w:pos="7020"/>
        </w:tabs>
        <w:topLinePunct/>
        <w:autoSpaceDE w:val="0"/>
        <w:autoSpaceDN w:val="0"/>
        <w:adjustRightInd w:val="0"/>
        <w:snapToGrid w:val="0"/>
        <w:ind w:firstLine="600" w:firstLineChars="250"/>
        <w:jc w:val="left"/>
        <w:rPr>
          <w:rFonts w:ascii="Times New Roman" w:hAnsi="Times New Roman"/>
          <w:color w:val="auto"/>
          <w:sz w:val="24"/>
          <w:szCs w:val="24"/>
          <w:lang w:eastAsia="zh-CN"/>
        </w:rPr>
      </w:pPr>
      <w:r>
        <w:rPr>
          <w:rFonts w:ascii="Times New Roman" w:hAnsi="Times New Roman"/>
          <w:i/>
          <w:color w:val="auto"/>
          <w:sz w:val="24"/>
          <w:szCs w:val="24"/>
        </w:rPr>
        <w:t>K</w:t>
      </w:r>
      <w:r>
        <w:rPr>
          <w:rFonts w:ascii="Times New Roman" w:hAnsi="Times New Roman"/>
          <w:color w:val="auto"/>
          <w:sz w:val="24"/>
          <w:szCs w:val="24"/>
          <w:vertAlign w:val="subscript"/>
        </w:rPr>
        <w:t>a</w:t>
      </w:r>
      <w:r>
        <w:rPr>
          <w:rFonts w:hint="eastAsia" w:ascii="Times New Roman" w:hAnsi="Times New Roman"/>
          <w:i/>
          <w:color w:val="auto"/>
          <w:sz w:val="24"/>
          <w:szCs w:val="24"/>
          <w:vertAlign w:val="subscript"/>
          <w:lang w:eastAsia="zh-CN"/>
        </w:rPr>
        <w:t>,i</w:t>
      </w:r>
      <w:r>
        <w:rPr>
          <w:rFonts w:ascii="Times New Roman" w:hAnsi="Times New Roman"/>
          <w:color w:val="auto"/>
          <w:sz w:val="24"/>
          <w:szCs w:val="24"/>
        </w:rPr>
        <w:t>、</w:t>
      </w:r>
      <w:r>
        <w:rPr>
          <w:rFonts w:ascii="Times New Roman" w:hAnsi="Times New Roman"/>
          <w:i/>
          <w:color w:val="auto"/>
          <w:sz w:val="24"/>
          <w:szCs w:val="24"/>
        </w:rPr>
        <w:t>K</w:t>
      </w:r>
      <w:r>
        <w:rPr>
          <w:rFonts w:ascii="Times New Roman" w:hAnsi="Times New Roman"/>
          <w:color w:val="auto"/>
          <w:sz w:val="24"/>
          <w:szCs w:val="24"/>
          <w:vertAlign w:val="subscript"/>
        </w:rPr>
        <w:t>p,</w:t>
      </w:r>
      <w:r>
        <w:rPr>
          <w:rFonts w:hint="eastAsia" w:ascii="Times New Roman" w:hAnsi="Times New Roman"/>
          <w:i/>
          <w:color w:val="auto"/>
          <w:sz w:val="24"/>
          <w:szCs w:val="24"/>
          <w:vertAlign w:val="subscript"/>
          <w:lang w:eastAsia="zh-CN"/>
        </w:rPr>
        <w:t>i</w:t>
      </w:r>
      <w:r>
        <w:rPr>
          <w:rFonts w:ascii="Times New Roman" w:hAnsi="Times New Roman"/>
          <w:color w:val="auto"/>
          <w:sz w:val="24"/>
          <w:szCs w:val="24"/>
        </w:rPr>
        <w:t>—分别为第i层土的主动土压力系数、被动土压力系数；</w:t>
      </w:r>
    </w:p>
    <w:p>
      <w:pPr>
        <w:pStyle w:val="21"/>
        <w:tabs>
          <w:tab w:val="left" w:pos="900"/>
          <w:tab w:val="left" w:pos="1246"/>
          <w:tab w:val="left" w:pos="7020"/>
        </w:tabs>
        <w:topLinePunct/>
        <w:autoSpaceDE w:val="0"/>
        <w:autoSpaceDN w:val="0"/>
        <w:adjustRightInd w:val="0"/>
        <w:snapToGrid w:val="0"/>
        <w:ind w:firstLine="600" w:firstLineChars="250"/>
        <w:jc w:val="left"/>
        <w:rPr>
          <w:rFonts w:ascii="Times New Roman" w:hAnsi="Times New Roman"/>
          <w:color w:val="auto"/>
          <w:sz w:val="24"/>
          <w:szCs w:val="24"/>
        </w:rPr>
      </w:pPr>
      <w:r>
        <w:rPr>
          <w:rFonts w:ascii="Times New Roman" w:hAnsi="Times New Roman"/>
          <w:i/>
          <w:color w:val="auto"/>
          <w:sz w:val="24"/>
          <w:szCs w:val="24"/>
          <w:lang w:eastAsia="zh-CN"/>
        </w:rPr>
        <w:t>c</w:t>
      </w:r>
      <w:r>
        <w:rPr>
          <w:rFonts w:ascii="Times New Roman" w:hAnsi="Times New Roman"/>
          <w:i/>
          <w:color w:val="auto"/>
          <w:sz w:val="24"/>
          <w:szCs w:val="24"/>
          <w:vertAlign w:val="subscript"/>
        </w:rPr>
        <w:t>i</w:t>
      </w:r>
      <w:r>
        <w:rPr>
          <w:rFonts w:ascii="Times New Roman" w:hAnsi="Times New Roman"/>
          <w:color w:val="auto"/>
          <w:sz w:val="24"/>
          <w:szCs w:val="24"/>
        </w:rPr>
        <w:t>、</w:t>
      </w:r>
      <w:r>
        <w:rPr>
          <w:rFonts w:ascii="Times New Roman" w:hAnsi="Times New Roman"/>
          <w:i/>
          <w:color w:val="auto"/>
          <w:sz w:val="24"/>
          <w:szCs w:val="24"/>
        </w:rPr>
        <w:sym w:font="Symbol" w:char="F06A"/>
      </w:r>
      <w:r>
        <w:rPr>
          <w:rFonts w:ascii="Times New Roman" w:hAnsi="Times New Roman"/>
          <w:i/>
          <w:color w:val="auto"/>
          <w:sz w:val="24"/>
          <w:szCs w:val="24"/>
          <w:vertAlign w:val="subscript"/>
        </w:rPr>
        <w:t>i</w:t>
      </w:r>
      <w:r>
        <w:rPr>
          <w:rFonts w:ascii="Times New Roman" w:hAnsi="Times New Roman"/>
          <w:color w:val="auto"/>
          <w:sz w:val="24"/>
          <w:szCs w:val="24"/>
        </w:rPr>
        <w:t>—分别为第</w:t>
      </w:r>
      <w:r>
        <w:rPr>
          <w:rFonts w:ascii="Times New Roman" w:hAnsi="Times New Roman"/>
          <w:i/>
          <w:color w:val="auto"/>
          <w:sz w:val="24"/>
          <w:szCs w:val="24"/>
        </w:rPr>
        <w:t>i</w:t>
      </w:r>
      <w:r>
        <w:rPr>
          <w:rFonts w:ascii="Times New Roman" w:hAnsi="Times New Roman"/>
          <w:color w:val="auto"/>
          <w:sz w:val="24"/>
          <w:szCs w:val="24"/>
        </w:rPr>
        <w:t>层土的黏聚力（kPa）、内摩擦角（°）。</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color w:val="000000"/>
          <w:sz w:val="24"/>
          <w:szCs w:val="24"/>
        </w:rPr>
      </w:pPr>
      <w:r>
        <w:rPr>
          <w:rFonts w:ascii="Times New Roman" w:hAnsi="Times New Roman"/>
          <w:color w:val="000000"/>
          <w:sz w:val="24"/>
          <w:szCs w:val="24"/>
        </w:rPr>
        <w:t>2  对于水土分算的土层：</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auto"/>
          <w:sz w:val="24"/>
          <w:szCs w:val="24"/>
        </w:rPr>
      </w:pPr>
      <w:r>
        <w:rPr>
          <w:rFonts w:ascii="Times New Roman" w:hAnsi="Times New Roman"/>
          <w:color w:val="auto"/>
          <w:sz w:val="24"/>
          <w:szCs w:val="24"/>
        </w:rPr>
        <w:object>
          <v:shape id="_x0000_i1043" o:spt="75" type="#_x0000_t75" style="height:21.05pt;width:168.15pt;" o:ole="t" fillcolor="#FFFFFF" filled="t" coordsize="21600,21600">
            <v:path/>
            <v:fill on="t" focussize="0,0"/>
            <v:stroke/>
            <v:imagedata r:id="rId53" o:title=""/>
            <o:lock v:ext="edit" aspectratio="t"/>
            <w10:wrap type="none"/>
            <w10:anchorlock/>
          </v:shape>
          <o:OLEObject Type="Embed" ProgID="Equation.DSMT4" ShapeID="_x0000_i1043" DrawAspect="Content" ObjectID="_1468075743" r:id="rId52">
            <o:LockedField>false</o:LockedField>
          </o:OLEObject>
        </w:object>
      </w:r>
      <w:r>
        <w:rPr>
          <w:rFonts w:ascii="Times New Roman" w:hAnsi="Times New Roman"/>
          <w:color w:val="auto"/>
          <w:sz w:val="24"/>
          <w:szCs w:val="24"/>
          <w:lang w:eastAsia="zh-CN"/>
        </w:rPr>
        <w:t xml:space="preserve">            </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-5）</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auto"/>
          <w:sz w:val="24"/>
          <w:szCs w:val="24"/>
        </w:rPr>
      </w:pPr>
      <w:r>
        <w:rPr>
          <w:rFonts w:ascii="Times New Roman" w:hAnsi="Times New Roman"/>
          <w:color w:val="auto"/>
          <w:sz w:val="24"/>
          <w:szCs w:val="24"/>
        </w:rPr>
        <w:object>
          <v:shape id="_x0000_i1044" o:spt="75" type="#_x0000_t75" style="height:21.05pt;width:170.05pt;" o:ole="t" fillcolor="#FFFFFF" filled="t" coordsize="21600,21600">
            <v:path/>
            <v:fill on="t" focussize="0,0"/>
            <v:stroke/>
            <v:imagedata r:id="rId55" o:title=""/>
            <o:lock v:ext="edit" aspectratio="t"/>
            <w10:wrap type="none"/>
            <w10:anchorlock/>
          </v:shape>
          <o:OLEObject Type="Embed" ProgID="Equation.DSMT4" ShapeID="_x0000_i1044" DrawAspect="Content" ObjectID="_1468075744" r:id="rId54">
            <o:LockedField>false</o:LockedField>
          </o:OLEObject>
        </w:object>
      </w:r>
      <w:r>
        <w:rPr>
          <w:rFonts w:ascii="Times New Roman" w:hAnsi="Times New Roman"/>
          <w:color w:val="auto"/>
          <w:sz w:val="24"/>
          <w:szCs w:val="24"/>
          <w:lang w:eastAsia="zh-CN"/>
        </w:rPr>
        <w:t xml:space="preserve">            </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-6）</w:t>
      </w:r>
    </w:p>
    <w:p>
      <w:pPr>
        <w:pStyle w:val="21"/>
        <w:tabs>
          <w:tab w:val="left" w:pos="900"/>
          <w:tab w:val="left" w:pos="1246"/>
          <w:tab w:val="left" w:pos="7020"/>
        </w:tabs>
        <w:topLinePunct/>
        <w:autoSpaceDE w:val="0"/>
        <w:autoSpaceDN w:val="0"/>
        <w:adjustRightInd w:val="0"/>
        <w:snapToGrid w:val="0"/>
        <w:ind w:firstLine="0"/>
        <w:rPr>
          <w:rFonts w:ascii="Times New Roman" w:hAnsi="Times New Roman"/>
          <w:color w:val="auto"/>
          <w:sz w:val="24"/>
          <w:szCs w:val="24"/>
          <w:lang w:eastAsia="zh-CN"/>
        </w:rPr>
      </w:pPr>
      <w:r>
        <w:rPr>
          <w:rFonts w:ascii="Times New Roman" w:hAnsi="Times New Roman"/>
          <w:color w:val="auto"/>
          <w:sz w:val="24"/>
          <w:szCs w:val="24"/>
        </w:rPr>
        <w:t>式中：</w:t>
      </w:r>
      <w:r>
        <w:rPr>
          <w:rFonts w:ascii="Times New Roman" w:hAnsi="Times New Roman"/>
          <w:i/>
          <w:color w:val="auto"/>
          <w:sz w:val="24"/>
          <w:szCs w:val="24"/>
        </w:rPr>
        <w:t>u</w:t>
      </w:r>
      <w:r>
        <w:rPr>
          <w:rFonts w:ascii="Times New Roman" w:hAnsi="Times New Roman"/>
          <w:color w:val="auto"/>
          <w:sz w:val="24"/>
          <w:szCs w:val="24"/>
          <w:vertAlign w:val="subscript"/>
        </w:rPr>
        <w:t>a</w:t>
      </w:r>
      <w:r>
        <w:rPr>
          <w:rFonts w:ascii="Times New Roman" w:hAnsi="Times New Roman"/>
          <w:color w:val="auto"/>
          <w:sz w:val="24"/>
          <w:szCs w:val="24"/>
        </w:rPr>
        <w:t>、</w:t>
      </w:r>
      <w:r>
        <w:rPr>
          <w:rFonts w:ascii="Times New Roman" w:hAnsi="Times New Roman"/>
          <w:i/>
          <w:color w:val="auto"/>
          <w:sz w:val="24"/>
          <w:szCs w:val="24"/>
        </w:rPr>
        <w:t>u</w:t>
      </w:r>
      <w:r>
        <w:rPr>
          <w:rFonts w:ascii="Times New Roman" w:hAnsi="Times New Roman"/>
          <w:color w:val="auto"/>
          <w:sz w:val="24"/>
          <w:szCs w:val="24"/>
          <w:vertAlign w:val="subscript"/>
        </w:rPr>
        <w:t>p</w:t>
      </w:r>
      <w:r>
        <w:rPr>
          <w:rFonts w:ascii="Times New Roman" w:hAnsi="Times New Roman"/>
          <w:b/>
          <w:bCs/>
          <w:color w:val="auto"/>
          <w:sz w:val="24"/>
          <w:szCs w:val="24"/>
        </w:rPr>
        <w:t>—</w:t>
      </w:r>
      <w:r>
        <w:rPr>
          <w:rFonts w:ascii="Times New Roman" w:hAnsi="Times New Roman"/>
          <w:color w:val="auto"/>
          <w:sz w:val="24"/>
          <w:szCs w:val="24"/>
        </w:rPr>
        <w:t>分别为支护结构外侧、内侧计算点的水压力(kPa)。</w:t>
      </w:r>
    </w:p>
    <w:p>
      <w:pPr>
        <w:pStyle w:val="21"/>
        <w:tabs>
          <w:tab w:val="left" w:pos="900"/>
          <w:tab w:val="left" w:pos="1246"/>
          <w:tab w:val="left" w:pos="7020"/>
        </w:tabs>
        <w:topLinePunct/>
        <w:autoSpaceDE w:val="0"/>
        <w:autoSpaceDN w:val="0"/>
        <w:adjustRightInd w:val="0"/>
        <w:snapToGrid w:val="0"/>
        <w:ind w:firstLine="0"/>
        <w:rPr>
          <w:rFonts w:ascii="Times New Roman" w:hAnsi="Times New Roman"/>
          <w:color w:val="auto"/>
          <w:sz w:val="24"/>
          <w:szCs w:val="24"/>
        </w:rPr>
      </w:pPr>
      <w:r>
        <w:rPr>
          <w:rFonts w:ascii="Times New Roman" w:hAnsi="Times New Roman"/>
          <w:b/>
          <w:color w:val="auto"/>
          <w:sz w:val="24"/>
          <w:szCs w:val="24"/>
        </w:rPr>
        <w:t>5.</w:t>
      </w:r>
      <w:r>
        <w:rPr>
          <w:rFonts w:hint="eastAsia" w:ascii="Times New Roman" w:hAnsi="Times New Roman"/>
          <w:b/>
          <w:color w:val="auto"/>
          <w:sz w:val="24"/>
          <w:szCs w:val="24"/>
          <w:lang w:eastAsia="zh-CN"/>
        </w:rPr>
        <w:t>3</w:t>
      </w:r>
      <w:r>
        <w:rPr>
          <w:rFonts w:ascii="Times New Roman" w:hAnsi="Times New Roman"/>
          <w:b/>
          <w:color w:val="auto"/>
          <w:sz w:val="24"/>
          <w:szCs w:val="24"/>
        </w:rPr>
        <w:t>.</w:t>
      </w:r>
      <w:r>
        <w:rPr>
          <w:rFonts w:hint="eastAsia" w:ascii="Times New Roman" w:hAnsi="Times New Roman"/>
          <w:b/>
          <w:color w:val="auto"/>
          <w:sz w:val="24"/>
          <w:szCs w:val="24"/>
          <w:lang w:eastAsia="zh-CN"/>
        </w:rPr>
        <w:t>4</w:t>
      </w:r>
      <w:r>
        <w:rPr>
          <w:rFonts w:ascii="Times New Roman" w:hAnsi="Times New Roman"/>
          <w:b/>
          <w:color w:val="auto"/>
          <w:sz w:val="24"/>
          <w:szCs w:val="24"/>
        </w:rPr>
        <w:t xml:space="preserve">  </w:t>
      </w:r>
      <w:r>
        <w:rPr>
          <w:rFonts w:ascii="Times New Roman" w:hAnsi="Times New Roman"/>
          <w:color w:val="auto"/>
          <w:sz w:val="24"/>
          <w:szCs w:val="24"/>
        </w:rPr>
        <w:t>对</w:t>
      </w:r>
      <w:r>
        <w:rPr>
          <w:rFonts w:hint="eastAsia" w:ascii="Times New Roman" w:hAnsi="Times New Roman"/>
          <w:color w:val="auto"/>
          <w:sz w:val="24"/>
          <w:szCs w:val="24"/>
          <w:lang w:eastAsia="zh-CN"/>
        </w:rPr>
        <w:t>多</w:t>
      </w:r>
      <w:r>
        <w:rPr>
          <w:rFonts w:ascii="Times New Roman" w:hAnsi="Times New Roman"/>
          <w:color w:val="auto"/>
          <w:sz w:val="24"/>
          <w:szCs w:val="24"/>
        </w:rPr>
        <w:t>层土，土压力计算时的各土层计算厚度应符合下列规定：</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1  当土层厚度较均匀、层面坡度较平缓时，应取邻近勘</w:t>
      </w:r>
      <w:r>
        <w:rPr>
          <w:rFonts w:hint="eastAsia" w:ascii="Times New Roman" w:hAnsi="Times New Roman"/>
          <w:color w:val="auto"/>
          <w:sz w:val="24"/>
          <w:szCs w:val="24"/>
          <w:lang w:eastAsia="zh-CN"/>
        </w:rPr>
        <w:t>探</w:t>
      </w:r>
      <w:r>
        <w:rPr>
          <w:rFonts w:ascii="Times New Roman" w:hAnsi="Times New Roman"/>
          <w:color w:val="auto"/>
          <w:sz w:val="24"/>
          <w:szCs w:val="24"/>
        </w:rPr>
        <w:t>孔的各土层厚度，或同一计算剖面内各土层厚度的平均值；</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2  当同一计算剖面内各勘</w:t>
      </w:r>
      <w:r>
        <w:rPr>
          <w:rFonts w:hint="eastAsia" w:ascii="Times New Roman" w:hAnsi="Times New Roman"/>
          <w:color w:val="auto"/>
          <w:sz w:val="24"/>
          <w:szCs w:val="24"/>
          <w:lang w:eastAsia="zh-CN"/>
        </w:rPr>
        <w:t>探</w:t>
      </w:r>
      <w:r>
        <w:rPr>
          <w:rFonts w:ascii="Times New Roman" w:hAnsi="Times New Roman"/>
          <w:color w:val="auto"/>
          <w:sz w:val="24"/>
          <w:szCs w:val="24"/>
        </w:rPr>
        <w:t>孔的土层厚度分布不均时，取最不利勘</w:t>
      </w:r>
      <w:r>
        <w:rPr>
          <w:rFonts w:hint="eastAsia" w:ascii="Times New Roman" w:hAnsi="Times New Roman"/>
          <w:color w:val="auto"/>
          <w:sz w:val="24"/>
          <w:szCs w:val="24"/>
          <w:lang w:eastAsia="zh-CN"/>
        </w:rPr>
        <w:t>探</w:t>
      </w:r>
      <w:r>
        <w:rPr>
          <w:rFonts w:ascii="Times New Roman" w:hAnsi="Times New Roman"/>
          <w:color w:val="auto"/>
          <w:sz w:val="24"/>
          <w:szCs w:val="24"/>
        </w:rPr>
        <w:t>孔的各土层厚度；</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3  对复杂地层且距勘探孔较远时，通过综合分析土层变化趋势后确定土层的计算厚度；</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4  当相邻土层的土性接近，且对土压力的影响可以忽略不计或有利时，可归并为同一计算土层。</w:t>
      </w:r>
    </w:p>
    <w:p>
      <w:pPr>
        <w:pStyle w:val="21"/>
        <w:tabs>
          <w:tab w:val="left" w:pos="900"/>
          <w:tab w:val="left" w:pos="1246"/>
          <w:tab w:val="left" w:pos="7020"/>
        </w:tabs>
        <w:topLinePunct/>
        <w:autoSpaceDE w:val="0"/>
        <w:autoSpaceDN w:val="0"/>
        <w:adjustRightInd w:val="0"/>
        <w:snapToGrid w:val="0"/>
        <w:ind w:firstLine="0"/>
        <w:jc w:val="left"/>
        <w:rPr>
          <w:rFonts w:ascii="Times New Roman" w:hAnsi="Times New Roman"/>
          <w:color w:val="auto"/>
          <w:sz w:val="24"/>
          <w:szCs w:val="24"/>
        </w:rPr>
      </w:pPr>
      <w:r>
        <w:rPr>
          <w:rFonts w:ascii="Times New Roman" w:hAnsi="Times New Roman"/>
          <w:b/>
          <w:color w:val="auto"/>
          <w:sz w:val="24"/>
          <w:szCs w:val="24"/>
        </w:rPr>
        <w:t>5.</w:t>
      </w:r>
      <w:r>
        <w:rPr>
          <w:rFonts w:hint="eastAsia" w:ascii="Times New Roman" w:hAnsi="Times New Roman"/>
          <w:b/>
          <w:color w:val="auto"/>
          <w:sz w:val="24"/>
          <w:szCs w:val="24"/>
          <w:lang w:eastAsia="zh-CN"/>
        </w:rPr>
        <w:t>3</w:t>
      </w:r>
      <w:r>
        <w:rPr>
          <w:rFonts w:ascii="Times New Roman" w:hAnsi="Times New Roman"/>
          <w:b/>
          <w:color w:val="auto"/>
          <w:sz w:val="24"/>
          <w:szCs w:val="24"/>
        </w:rPr>
        <w:t>.</w:t>
      </w:r>
      <w:r>
        <w:rPr>
          <w:rFonts w:hint="eastAsia" w:ascii="Times New Roman" w:hAnsi="Times New Roman"/>
          <w:b/>
          <w:color w:val="auto"/>
          <w:sz w:val="24"/>
          <w:szCs w:val="24"/>
          <w:lang w:eastAsia="zh-CN"/>
        </w:rPr>
        <w:t>5</w:t>
      </w:r>
      <w:r>
        <w:rPr>
          <w:rFonts w:ascii="Times New Roman" w:hAnsi="Times New Roman"/>
          <w:b/>
          <w:color w:val="auto"/>
          <w:sz w:val="24"/>
          <w:szCs w:val="24"/>
        </w:rPr>
        <w:t xml:space="preserve">  </w:t>
      </w:r>
      <w:r>
        <w:rPr>
          <w:rFonts w:ascii="Times New Roman" w:hAnsi="Times New Roman"/>
          <w:color w:val="auto"/>
          <w:sz w:val="24"/>
          <w:szCs w:val="24"/>
        </w:rPr>
        <w:t>静止地下水</w:t>
      </w:r>
      <w:r>
        <w:rPr>
          <w:rFonts w:hint="eastAsia" w:ascii="Times New Roman" w:hAnsi="Times New Roman"/>
          <w:color w:val="auto"/>
          <w:sz w:val="24"/>
          <w:szCs w:val="24"/>
          <w:lang w:eastAsia="zh-CN"/>
        </w:rPr>
        <w:t>的</w:t>
      </w:r>
      <w:r>
        <w:rPr>
          <w:rFonts w:ascii="Times New Roman" w:hAnsi="Times New Roman"/>
          <w:color w:val="auto"/>
          <w:sz w:val="24"/>
          <w:szCs w:val="24"/>
        </w:rPr>
        <w:t>水压力可按式5.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5</w:t>
      </w:r>
      <w:r>
        <w:rPr>
          <w:rFonts w:ascii="Times New Roman" w:hAnsi="Times New Roman"/>
          <w:color w:val="auto"/>
          <w:sz w:val="24"/>
          <w:szCs w:val="24"/>
        </w:rPr>
        <w:t>-1、</w:t>
      </w:r>
      <w:r>
        <w:rPr>
          <w:rFonts w:ascii="Times New Roman" w:hAnsi="Times New Roman"/>
          <w:color w:val="auto"/>
          <w:sz w:val="24"/>
          <w:szCs w:val="24"/>
          <w:lang w:eastAsia="zh-CN"/>
        </w:rPr>
        <w:t>式</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5</w:t>
      </w:r>
      <w:r>
        <w:rPr>
          <w:rFonts w:ascii="Times New Roman" w:hAnsi="Times New Roman"/>
          <w:color w:val="auto"/>
          <w:sz w:val="24"/>
          <w:szCs w:val="24"/>
        </w:rPr>
        <w:t>-2计算。</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sz w:val="24"/>
        </w:rPr>
      </w:pPr>
      <w:r>
        <w:rPr>
          <w:rFonts w:ascii="Times New Roman" w:hAnsi="Times New Roman"/>
          <w:position w:val="-12"/>
          <w:sz w:val="24"/>
        </w:rPr>
        <w:object>
          <v:shape id="_x0000_i1045" o:spt="75" type="#_x0000_t75" style="height:19.15pt;width:52.1pt;" o:ole="t" filled="f" coordsize="21600,21600">
            <v:path/>
            <v:fill on="f" focussize="0,0"/>
            <v:stroke/>
            <v:imagedata r:id="rId57" o:title=""/>
            <o:lock v:ext="edit" aspectratio="t"/>
            <w10:wrap type="none"/>
            <w10:anchorlock/>
          </v:shape>
          <o:OLEObject Type="Embed" ProgID="Equation.DSMT4" ShapeID="_x0000_i1045" DrawAspect="Content" ObjectID="_1468075745" r:id="rId56">
            <o:LockedField>false</o:LockedField>
          </o:OLEObject>
        </w:object>
      </w:r>
      <w:r>
        <w:rPr>
          <w:rFonts w:ascii="Times New Roman" w:hAnsi="Times New Roman"/>
          <w:sz w:val="24"/>
          <w:lang w:eastAsia="zh-CN"/>
        </w:rPr>
        <w:t xml:space="preserve">                     </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5</w:t>
      </w:r>
      <w:r>
        <w:rPr>
          <w:rFonts w:ascii="Times New Roman" w:hAnsi="Times New Roman"/>
          <w:color w:val="auto"/>
          <w:sz w:val="24"/>
          <w:szCs w:val="24"/>
        </w:rPr>
        <w:t>-</w:t>
      </w:r>
      <w:r>
        <w:rPr>
          <w:rFonts w:ascii="Times New Roman" w:hAnsi="Times New Roman"/>
          <w:color w:val="auto"/>
          <w:sz w:val="24"/>
        </w:rPr>
        <w:t>1</w:t>
      </w:r>
      <w:r>
        <w:rPr>
          <w:rFonts w:ascii="Times New Roman" w:hAnsi="Times New Roman"/>
          <w:color w:val="auto"/>
          <w:sz w:val="24"/>
          <w:szCs w:val="24"/>
        </w:rPr>
        <w:t>）</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sz w:val="24"/>
        </w:rPr>
      </w:pPr>
      <w:r>
        <w:rPr>
          <w:rFonts w:ascii="Times New Roman" w:hAnsi="Times New Roman"/>
          <w:position w:val="-14"/>
          <w:sz w:val="24"/>
        </w:rPr>
        <w:object>
          <v:shape id="_x0000_i1046" o:spt="75" type="#_x0000_t75" style="height:19.15pt;width:52.85pt;" o:ole="t" filled="f" coordsize="21600,21600">
            <v:path/>
            <v:fill on="f" focussize="0,0"/>
            <v:stroke/>
            <v:imagedata r:id="rId59" o:title=""/>
            <o:lock v:ext="edit" aspectratio="t"/>
            <w10:wrap type="none"/>
            <w10:anchorlock/>
          </v:shape>
          <o:OLEObject Type="Embed" ProgID="Equation.DSMT4" ShapeID="_x0000_i1046" DrawAspect="Content" ObjectID="_1468075746" r:id="rId58">
            <o:LockedField>false</o:LockedField>
          </o:OLEObject>
        </w:object>
      </w:r>
      <w:r>
        <w:rPr>
          <w:rFonts w:ascii="Times New Roman" w:hAnsi="Times New Roman"/>
          <w:sz w:val="24"/>
          <w:lang w:eastAsia="zh-CN"/>
        </w:rPr>
        <w:t xml:space="preserve">                     </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5</w:t>
      </w:r>
      <w:r>
        <w:rPr>
          <w:rFonts w:ascii="Times New Roman" w:hAnsi="Times New Roman"/>
          <w:color w:val="auto"/>
          <w:sz w:val="24"/>
          <w:szCs w:val="24"/>
        </w:rPr>
        <w:t>-2）</w:t>
      </w:r>
    </w:p>
    <w:p>
      <w:pPr>
        <w:pStyle w:val="9"/>
        <w:adjustRightInd w:val="0"/>
        <w:spacing w:after="0" w:line="360" w:lineRule="auto"/>
        <w:ind w:right="482"/>
        <w:jc w:val="left"/>
        <w:rPr>
          <w:sz w:val="24"/>
        </w:rPr>
      </w:pPr>
      <w:r>
        <w:rPr>
          <w:sz w:val="24"/>
        </w:rPr>
        <w:t>式中：</w:t>
      </w:r>
      <w:r>
        <w:rPr>
          <w:i/>
          <w:sz w:val="24"/>
        </w:rPr>
        <w:t>γ</w:t>
      </w:r>
      <w:r>
        <w:rPr>
          <w:sz w:val="24"/>
          <w:vertAlign w:val="subscript"/>
        </w:rPr>
        <w:t>w</w:t>
      </w:r>
      <w:r>
        <w:rPr>
          <w:sz w:val="24"/>
        </w:rPr>
        <w:t>—地下水的重度(kN/m</w:t>
      </w:r>
      <w:r>
        <w:rPr>
          <w:sz w:val="24"/>
          <w:vertAlign w:val="superscript"/>
        </w:rPr>
        <w:t>3</w:t>
      </w:r>
      <w:r>
        <w:rPr>
          <w:sz w:val="24"/>
        </w:rPr>
        <w:t>)，取</w:t>
      </w:r>
      <w:r>
        <w:rPr>
          <w:i/>
          <w:sz w:val="24"/>
        </w:rPr>
        <w:t>γ</w:t>
      </w:r>
      <w:r>
        <w:rPr>
          <w:sz w:val="24"/>
          <w:vertAlign w:val="subscript"/>
        </w:rPr>
        <w:t>w</w:t>
      </w:r>
      <w:r>
        <w:rPr>
          <w:sz w:val="24"/>
        </w:rPr>
        <w:t>＝10kN/m</w:t>
      </w:r>
      <w:r>
        <w:rPr>
          <w:sz w:val="24"/>
          <w:vertAlign w:val="superscript"/>
        </w:rPr>
        <w:t>3</w:t>
      </w:r>
      <w:r>
        <w:rPr>
          <w:sz w:val="24"/>
        </w:rPr>
        <w:t>；</w:t>
      </w:r>
    </w:p>
    <w:p>
      <w:pPr>
        <w:tabs>
          <w:tab w:val="left" w:pos="0"/>
          <w:tab w:val="left" w:pos="1620"/>
          <w:tab w:val="left" w:pos="7020"/>
        </w:tabs>
        <w:spacing w:line="360" w:lineRule="auto"/>
        <w:ind w:firstLine="600" w:firstLineChars="250"/>
        <w:rPr>
          <w:sz w:val="24"/>
        </w:rPr>
      </w:pPr>
      <w:r>
        <w:rPr>
          <w:i/>
          <w:iCs/>
          <w:sz w:val="24"/>
        </w:rPr>
        <w:t>h</w:t>
      </w:r>
      <w:r>
        <w:rPr>
          <w:sz w:val="24"/>
          <w:vertAlign w:val="subscript"/>
        </w:rPr>
        <w:t>wa</w:t>
      </w:r>
      <w:r>
        <w:rPr>
          <w:sz w:val="24"/>
        </w:rPr>
        <w:t>—基坑外侧地下水位至主动土压力强度计算点的垂直距离(m)；对承压水，</w:t>
      </w:r>
    </w:p>
    <w:p>
      <w:pPr>
        <w:tabs>
          <w:tab w:val="left" w:pos="0"/>
          <w:tab w:val="left" w:pos="1620"/>
          <w:tab w:val="left" w:pos="7020"/>
        </w:tabs>
        <w:spacing w:line="360" w:lineRule="auto"/>
        <w:ind w:firstLine="600" w:firstLineChars="250"/>
        <w:rPr>
          <w:sz w:val="24"/>
        </w:rPr>
      </w:pPr>
      <w:r>
        <w:rPr>
          <w:sz w:val="24"/>
        </w:rPr>
        <w:t xml:space="preserve">     地下水位取测压管水位；当有多个含水层时，应</w:t>
      </w:r>
      <w:r>
        <w:rPr>
          <w:rFonts w:hint="eastAsia"/>
          <w:sz w:val="24"/>
        </w:rPr>
        <w:t>取</w:t>
      </w:r>
      <w:r>
        <w:rPr>
          <w:sz w:val="24"/>
        </w:rPr>
        <w:t>计算点所在含水层的地</w:t>
      </w:r>
    </w:p>
    <w:p>
      <w:pPr>
        <w:tabs>
          <w:tab w:val="left" w:pos="0"/>
          <w:tab w:val="left" w:pos="1620"/>
          <w:tab w:val="left" w:pos="7020"/>
        </w:tabs>
        <w:spacing w:line="360" w:lineRule="auto"/>
        <w:ind w:firstLine="600" w:firstLineChars="250"/>
        <w:rPr>
          <w:sz w:val="24"/>
        </w:rPr>
      </w:pPr>
      <w:r>
        <w:rPr>
          <w:sz w:val="24"/>
        </w:rPr>
        <w:t xml:space="preserve">     下水位；</w:t>
      </w:r>
    </w:p>
    <w:p>
      <w:pPr>
        <w:tabs>
          <w:tab w:val="left" w:pos="0"/>
          <w:tab w:val="left" w:pos="1620"/>
          <w:tab w:val="left" w:pos="7020"/>
        </w:tabs>
        <w:spacing w:line="360" w:lineRule="auto"/>
        <w:ind w:firstLine="600" w:firstLineChars="250"/>
        <w:rPr>
          <w:sz w:val="24"/>
        </w:rPr>
      </w:pPr>
      <w:r>
        <w:rPr>
          <w:i/>
          <w:iCs/>
          <w:sz w:val="24"/>
        </w:rPr>
        <w:t>h</w:t>
      </w:r>
      <w:r>
        <w:rPr>
          <w:sz w:val="24"/>
          <w:vertAlign w:val="subscript"/>
        </w:rPr>
        <w:t>wp</w:t>
      </w:r>
      <w:r>
        <w:rPr>
          <w:sz w:val="24"/>
        </w:rPr>
        <w:t>—</w:t>
      </w:r>
      <w:r>
        <w:rPr>
          <w:iCs/>
          <w:sz w:val="24"/>
        </w:rPr>
        <w:t>基坑</w:t>
      </w:r>
      <w:r>
        <w:rPr>
          <w:sz w:val="24"/>
        </w:rPr>
        <w:t>内侧地下水位至被动土压力强度计算点的垂直距离(m)；对承压水，</w:t>
      </w:r>
    </w:p>
    <w:p>
      <w:pPr>
        <w:tabs>
          <w:tab w:val="left" w:pos="0"/>
          <w:tab w:val="left" w:pos="1620"/>
          <w:tab w:val="left" w:pos="7020"/>
        </w:tabs>
        <w:spacing w:line="360" w:lineRule="auto"/>
        <w:ind w:firstLine="600" w:firstLineChars="250"/>
        <w:rPr>
          <w:sz w:val="24"/>
        </w:rPr>
      </w:pPr>
      <w:r>
        <w:rPr>
          <w:sz w:val="24"/>
        </w:rPr>
        <w:t xml:space="preserve">     地下水位取测压管水位。</w:t>
      </w:r>
    </w:p>
    <w:p>
      <w:pPr>
        <w:pStyle w:val="21"/>
        <w:tabs>
          <w:tab w:val="left" w:pos="900"/>
          <w:tab w:val="left" w:pos="1246"/>
          <w:tab w:val="left" w:pos="7020"/>
        </w:tabs>
        <w:topLinePunct/>
        <w:autoSpaceDE w:val="0"/>
        <w:autoSpaceDN w:val="0"/>
        <w:adjustRightInd w:val="0"/>
        <w:snapToGrid w:val="0"/>
        <w:ind w:firstLine="0"/>
        <w:jc w:val="left"/>
        <w:rPr>
          <w:rFonts w:ascii="Times New Roman" w:hAnsi="Times New Roman"/>
          <w:color w:val="auto"/>
          <w:sz w:val="24"/>
          <w:szCs w:val="24"/>
        </w:rPr>
      </w:pPr>
      <w:r>
        <w:rPr>
          <w:rFonts w:ascii="Times New Roman" w:hAnsi="Times New Roman"/>
          <w:b/>
          <w:color w:val="auto"/>
          <w:sz w:val="24"/>
          <w:szCs w:val="24"/>
        </w:rPr>
        <w:t>5.</w:t>
      </w:r>
      <w:r>
        <w:rPr>
          <w:rFonts w:hint="eastAsia" w:ascii="Times New Roman" w:hAnsi="Times New Roman"/>
          <w:b/>
          <w:color w:val="auto"/>
          <w:sz w:val="24"/>
          <w:szCs w:val="24"/>
          <w:lang w:eastAsia="zh-CN"/>
        </w:rPr>
        <w:t>3</w:t>
      </w:r>
      <w:r>
        <w:rPr>
          <w:rFonts w:ascii="Times New Roman" w:hAnsi="Times New Roman"/>
          <w:b/>
          <w:color w:val="auto"/>
          <w:sz w:val="24"/>
          <w:szCs w:val="24"/>
        </w:rPr>
        <w:t>.</w:t>
      </w:r>
      <w:r>
        <w:rPr>
          <w:rFonts w:hint="eastAsia" w:ascii="Times New Roman" w:hAnsi="Times New Roman"/>
          <w:b/>
          <w:color w:val="auto"/>
          <w:sz w:val="24"/>
          <w:szCs w:val="24"/>
          <w:lang w:eastAsia="zh-CN"/>
        </w:rPr>
        <w:t>6</w:t>
      </w:r>
      <w:r>
        <w:rPr>
          <w:rFonts w:ascii="Times New Roman" w:hAnsi="Times New Roman"/>
          <w:b/>
          <w:color w:val="auto"/>
          <w:sz w:val="24"/>
          <w:szCs w:val="24"/>
        </w:rPr>
        <w:t xml:space="preserve"> </w:t>
      </w:r>
      <w:r>
        <w:rPr>
          <w:rFonts w:hint="eastAsia" w:ascii="Times New Roman" w:hAnsi="Times New Roman"/>
          <w:b/>
          <w:color w:val="auto"/>
          <w:sz w:val="24"/>
          <w:szCs w:val="24"/>
          <w:lang w:eastAsia="zh-CN"/>
        </w:rPr>
        <w:t xml:space="preserve"> </w:t>
      </w:r>
      <w:r>
        <w:rPr>
          <w:rFonts w:ascii="Times New Roman" w:hAnsi="Times New Roman"/>
          <w:color w:val="auto"/>
          <w:sz w:val="24"/>
          <w:szCs w:val="24"/>
        </w:rPr>
        <w:t>土中竖向应力标准值应按式5.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6</w:t>
      </w:r>
      <w:r>
        <w:rPr>
          <w:rFonts w:ascii="Times New Roman" w:hAnsi="Times New Roman"/>
          <w:color w:val="auto"/>
          <w:sz w:val="24"/>
          <w:szCs w:val="24"/>
        </w:rPr>
        <w:t>-1、</w:t>
      </w:r>
      <w:r>
        <w:rPr>
          <w:rFonts w:ascii="Times New Roman" w:hAnsi="Times New Roman"/>
          <w:color w:val="auto"/>
          <w:sz w:val="24"/>
          <w:szCs w:val="24"/>
          <w:lang w:eastAsia="zh-CN"/>
        </w:rPr>
        <w:t>式</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6</w:t>
      </w:r>
      <w:r>
        <w:rPr>
          <w:rFonts w:ascii="Times New Roman" w:hAnsi="Times New Roman"/>
          <w:color w:val="auto"/>
          <w:sz w:val="24"/>
          <w:szCs w:val="24"/>
        </w:rPr>
        <w:t>-2计算。</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auto"/>
          <w:sz w:val="24"/>
        </w:rPr>
      </w:pPr>
      <w:r>
        <w:rPr>
          <w:rFonts w:ascii="Times New Roman" w:hAnsi="Times New Roman"/>
          <w:position w:val="-14"/>
          <w:sz w:val="24"/>
        </w:rPr>
        <w:object>
          <v:shape id="_x0000_i1047" o:spt="75" type="#_x0000_t75" style="height:19.9pt;width:98.05pt;" o:ole="t" filled="f" coordsize="21600,21600">
            <v:path/>
            <v:fill on="f" focussize="0,0"/>
            <v:stroke/>
            <v:imagedata r:id="rId61" o:title=""/>
            <o:lock v:ext="edit" aspectratio="t"/>
            <w10:wrap type="none"/>
            <w10:anchorlock/>
          </v:shape>
          <o:OLEObject Type="Embed" ProgID="Equation.DSMT4" ShapeID="_x0000_i1047" DrawAspect="Content" ObjectID="_1468075747" r:id="rId60">
            <o:LockedField>false</o:LockedField>
          </o:OLEObject>
        </w:object>
      </w:r>
      <w:r>
        <w:rPr>
          <w:rFonts w:ascii="Times New Roman" w:hAnsi="Times New Roman"/>
          <w:sz w:val="24"/>
          <w:lang w:eastAsia="zh-CN"/>
        </w:rPr>
        <w:t xml:space="preserve">                     </w:t>
      </w:r>
      <w:r>
        <w:rPr>
          <w:rFonts w:ascii="Times New Roman" w:hAnsi="Times New Roman"/>
          <w:color w:val="auto"/>
          <w:sz w:val="24"/>
        </w:rPr>
        <w:t>（</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6</w:t>
      </w:r>
      <w:r>
        <w:rPr>
          <w:rFonts w:ascii="Times New Roman" w:hAnsi="Times New Roman"/>
          <w:color w:val="auto"/>
          <w:sz w:val="24"/>
          <w:szCs w:val="24"/>
        </w:rPr>
        <w:t>-1</w:t>
      </w:r>
      <w:r>
        <w:rPr>
          <w:rFonts w:ascii="Times New Roman" w:hAnsi="Times New Roman"/>
          <w:color w:val="auto"/>
          <w:sz w:val="24"/>
        </w:rPr>
        <w:t>）</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auto"/>
          <w:sz w:val="24"/>
        </w:rPr>
      </w:pPr>
      <w:r>
        <w:rPr>
          <w:rFonts w:ascii="Times New Roman" w:hAnsi="Times New Roman"/>
          <w:color w:val="auto"/>
          <w:position w:val="-14"/>
          <w:sz w:val="24"/>
        </w:rPr>
        <w:object>
          <v:shape id="_x0000_i1048" o:spt="75" type="#_x0000_t75" style="height:19.15pt;width:47.85pt;" o:ole="t" filled="f" coordsize="21600,21600">
            <v:path/>
            <v:fill on="f" focussize="0,0"/>
            <v:stroke/>
            <v:imagedata r:id="rId63" o:title=""/>
            <o:lock v:ext="edit" aspectratio="t"/>
            <w10:wrap type="none"/>
            <w10:anchorlock/>
          </v:shape>
          <o:OLEObject Type="Embed" ProgID="Equation.DSMT4" ShapeID="_x0000_i1048" DrawAspect="Content" ObjectID="_1468075748" r:id="rId62">
            <o:LockedField>false</o:LockedField>
          </o:OLEObject>
        </w:object>
      </w:r>
      <w:r>
        <w:rPr>
          <w:rFonts w:ascii="Times New Roman" w:hAnsi="Times New Roman"/>
          <w:color w:val="auto"/>
          <w:sz w:val="24"/>
          <w:lang w:eastAsia="zh-CN"/>
        </w:rPr>
        <w:t xml:space="preserve">                         </w:t>
      </w:r>
      <w:r>
        <w:rPr>
          <w:rFonts w:ascii="Times New Roman" w:hAnsi="Times New Roman"/>
          <w:color w:val="auto"/>
          <w:sz w:val="24"/>
        </w:rPr>
        <w:t>（</w:t>
      </w:r>
      <w:r>
        <w:rPr>
          <w:rFonts w:ascii="Times New Roman" w:hAnsi="Times New Roman"/>
          <w:color w:val="auto"/>
          <w:sz w:val="24"/>
          <w:szCs w:val="24"/>
        </w:rPr>
        <w:t>5.</w:t>
      </w:r>
      <w:r>
        <w:rPr>
          <w:rFonts w:hint="eastAsia" w:ascii="Times New Roman" w:hAnsi="Times New Roman"/>
          <w:color w:val="auto"/>
          <w:sz w:val="24"/>
          <w:szCs w:val="24"/>
          <w:lang w:eastAsia="zh-CN"/>
        </w:rPr>
        <w:t>3</w:t>
      </w:r>
      <w:r>
        <w:rPr>
          <w:rFonts w:ascii="Times New Roman" w:hAnsi="Times New Roman"/>
          <w:color w:val="auto"/>
          <w:sz w:val="24"/>
          <w:szCs w:val="24"/>
        </w:rPr>
        <w:t>.</w:t>
      </w:r>
      <w:r>
        <w:rPr>
          <w:rFonts w:hint="eastAsia" w:ascii="Times New Roman" w:hAnsi="Times New Roman"/>
          <w:color w:val="auto"/>
          <w:sz w:val="24"/>
          <w:szCs w:val="24"/>
          <w:lang w:eastAsia="zh-CN"/>
        </w:rPr>
        <w:t>6-</w:t>
      </w:r>
      <w:r>
        <w:rPr>
          <w:rFonts w:ascii="Times New Roman" w:hAnsi="Times New Roman"/>
          <w:color w:val="auto"/>
          <w:sz w:val="24"/>
          <w:szCs w:val="24"/>
        </w:rPr>
        <w:t>2</w:t>
      </w:r>
      <w:r>
        <w:rPr>
          <w:rFonts w:ascii="Times New Roman" w:hAnsi="Times New Roman"/>
          <w:color w:val="auto"/>
          <w:sz w:val="24"/>
        </w:rPr>
        <w:t>）</w:t>
      </w:r>
    </w:p>
    <w:p>
      <w:pPr>
        <w:spacing w:line="360" w:lineRule="auto"/>
        <w:rPr>
          <w:sz w:val="24"/>
        </w:rPr>
      </w:pPr>
      <w:r>
        <w:rPr>
          <w:sz w:val="24"/>
        </w:rPr>
        <w:t>式中：</w:t>
      </w:r>
      <w:r>
        <w:rPr>
          <w:i/>
          <w:sz w:val="24"/>
        </w:rPr>
        <w:t>σ</w:t>
      </w:r>
      <w:r>
        <w:rPr>
          <w:sz w:val="24"/>
          <w:vertAlign w:val="subscript"/>
        </w:rPr>
        <w:t>ac</w:t>
      </w:r>
      <w:r>
        <w:rPr>
          <w:sz w:val="24"/>
        </w:rPr>
        <w:t>—基坑支护结构外侧计算点，由土的自重产生的竖向总应力（kPa）；</w:t>
      </w:r>
    </w:p>
    <w:p>
      <w:pPr>
        <w:tabs>
          <w:tab w:val="left" w:pos="0"/>
          <w:tab w:val="left" w:pos="1620"/>
          <w:tab w:val="left" w:pos="7020"/>
        </w:tabs>
        <w:spacing w:line="360" w:lineRule="auto"/>
        <w:ind w:left="1230" w:leftChars="300" w:hanging="600" w:hangingChars="250"/>
        <w:rPr>
          <w:sz w:val="24"/>
        </w:rPr>
      </w:pPr>
      <w:r>
        <w:rPr>
          <w:i/>
          <w:sz w:val="24"/>
        </w:rPr>
        <w:t>σ</w:t>
      </w:r>
      <w:r>
        <w:rPr>
          <w:sz w:val="24"/>
          <w:vertAlign w:val="subscript"/>
        </w:rPr>
        <w:t>pc</w:t>
      </w:r>
      <w:r>
        <w:rPr>
          <w:sz w:val="24"/>
        </w:rPr>
        <w:t>—基坑支护结构内侧计算点，由土的自重产生的竖向总应力（kPa）；</w:t>
      </w:r>
    </w:p>
    <w:p>
      <w:pPr>
        <w:tabs>
          <w:tab w:val="left" w:pos="0"/>
          <w:tab w:val="left" w:pos="1620"/>
          <w:tab w:val="left" w:pos="7020"/>
        </w:tabs>
        <w:spacing w:line="360" w:lineRule="auto"/>
        <w:ind w:firstLine="480" w:firstLineChars="200"/>
        <w:jc w:val="left"/>
        <w:rPr>
          <w:sz w:val="24"/>
        </w:rPr>
      </w:pPr>
      <w:r>
        <w:rPr>
          <w:sz w:val="24"/>
        </w:rPr>
        <w:t>Δ</w:t>
      </w:r>
      <w:r>
        <w:rPr>
          <w:i/>
          <w:sz w:val="24"/>
        </w:rPr>
        <w:t>σ</w:t>
      </w:r>
      <w:r>
        <w:rPr>
          <w:sz w:val="24"/>
          <w:vertAlign w:val="subscript"/>
        </w:rPr>
        <w:t>k，</w:t>
      </w:r>
      <w:r>
        <w:rPr>
          <w:i/>
          <w:sz w:val="24"/>
          <w:vertAlign w:val="subscript"/>
        </w:rPr>
        <w:t>j</w:t>
      </w:r>
      <w:r>
        <w:rPr>
          <w:sz w:val="24"/>
        </w:rPr>
        <w:t>—基坑支护结构外侧第</w:t>
      </w:r>
      <w:r>
        <w:rPr>
          <w:i/>
          <w:sz w:val="24"/>
        </w:rPr>
        <w:t>j</w:t>
      </w:r>
      <w:r>
        <w:rPr>
          <w:sz w:val="24"/>
        </w:rPr>
        <w:t>个附加荷载作用下计算点的土中附加竖向应力标准</w:t>
      </w:r>
    </w:p>
    <w:p>
      <w:pPr>
        <w:tabs>
          <w:tab w:val="left" w:pos="0"/>
          <w:tab w:val="left" w:pos="1620"/>
          <w:tab w:val="left" w:pos="7020"/>
        </w:tabs>
        <w:spacing w:line="360" w:lineRule="auto"/>
        <w:ind w:firstLine="480" w:firstLineChars="200"/>
        <w:jc w:val="left"/>
        <w:rPr>
          <w:sz w:val="24"/>
        </w:rPr>
      </w:pPr>
      <w:r>
        <w:rPr>
          <w:sz w:val="24"/>
        </w:rPr>
        <w:t xml:space="preserve">      值（kPa）</w:t>
      </w:r>
      <w:r>
        <w:rPr>
          <w:rFonts w:hint="eastAsia"/>
          <w:sz w:val="24"/>
        </w:rPr>
        <w:t>，应根据附加荷载类型，按本规程第5.3.7条~第5.3.9条计算。</w:t>
      </w:r>
    </w:p>
    <w:p>
      <w:pPr>
        <w:pStyle w:val="21"/>
        <w:tabs>
          <w:tab w:val="left" w:pos="900"/>
          <w:tab w:val="left" w:pos="1246"/>
          <w:tab w:val="left" w:pos="7020"/>
        </w:tabs>
        <w:topLinePunct/>
        <w:autoSpaceDE w:val="0"/>
        <w:autoSpaceDN w:val="0"/>
        <w:adjustRightInd w:val="0"/>
        <w:snapToGrid w:val="0"/>
        <w:ind w:firstLine="0"/>
        <w:jc w:val="left"/>
        <w:rPr>
          <w:rFonts w:ascii="Times New Roman" w:hAnsi="Times New Roman"/>
          <w:color w:val="000000"/>
          <w:sz w:val="24"/>
        </w:rPr>
      </w:pPr>
      <w:r>
        <w:rPr>
          <w:rFonts w:ascii="Times New Roman" w:hAnsi="Times New Roman"/>
          <w:b/>
          <w:color w:val="auto"/>
          <w:sz w:val="24"/>
        </w:rPr>
        <w:t>5.</w:t>
      </w:r>
      <w:r>
        <w:rPr>
          <w:rFonts w:hint="eastAsia" w:ascii="Times New Roman" w:hAnsi="Times New Roman"/>
          <w:b/>
          <w:color w:val="auto"/>
          <w:sz w:val="24"/>
          <w:lang w:eastAsia="zh-CN"/>
        </w:rPr>
        <w:t>3</w:t>
      </w:r>
      <w:r>
        <w:rPr>
          <w:rFonts w:ascii="Times New Roman" w:hAnsi="Times New Roman"/>
          <w:b/>
          <w:color w:val="auto"/>
          <w:sz w:val="24"/>
        </w:rPr>
        <w:t>.</w:t>
      </w:r>
      <w:r>
        <w:rPr>
          <w:rFonts w:hint="eastAsia" w:ascii="Times New Roman" w:hAnsi="Times New Roman"/>
          <w:b/>
          <w:color w:val="auto"/>
          <w:sz w:val="24"/>
          <w:lang w:eastAsia="zh-CN"/>
        </w:rPr>
        <w:t>7</w:t>
      </w:r>
      <w:r>
        <w:rPr>
          <w:rFonts w:ascii="Times New Roman" w:hAnsi="Times New Roman"/>
          <w:b/>
          <w:color w:val="auto"/>
          <w:sz w:val="24"/>
        </w:rPr>
        <w:t xml:space="preserve">  </w:t>
      </w:r>
      <w:r>
        <w:rPr>
          <w:rFonts w:ascii="Times New Roman" w:hAnsi="Times New Roman"/>
          <w:color w:val="000000"/>
          <w:sz w:val="24"/>
        </w:rPr>
        <w:t>均布附加荷载作用下的土中附加竖向应力标准值宜按式5.</w:t>
      </w:r>
      <w:r>
        <w:rPr>
          <w:rFonts w:hint="eastAsia" w:ascii="Times New Roman" w:hAnsi="Times New Roman"/>
          <w:color w:val="000000"/>
          <w:sz w:val="24"/>
          <w:lang w:eastAsia="zh-CN"/>
        </w:rPr>
        <w:t>3</w:t>
      </w:r>
      <w:r>
        <w:rPr>
          <w:rFonts w:ascii="Times New Roman" w:hAnsi="Times New Roman"/>
          <w:color w:val="000000"/>
          <w:sz w:val="24"/>
        </w:rPr>
        <w:t>.</w:t>
      </w:r>
      <w:r>
        <w:rPr>
          <w:rFonts w:hint="eastAsia" w:ascii="Times New Roman" w:hAnsi="Times New Roman"/>
          <w:color w:val="000000"/>
          <w:sz w:val="24"/>
          <w:lang w:eastAsia="zh-CN"/>
        </w:rPr>
        <w:t>7</w:t>
      </w:r>
      <w:r>
        <w:rPr>
          <w:rFonts w:ascii="Times New Roman" w:hAnsi="Times New Roman"/>
          <w:color w:val="000000"/>
          <w:sz w:val="24"/>
        </w:rPr>
        <w:t>计算（图5.</w:t>
      </w:r>
      <w:r>
        <w:rPr>
          <w:rFonts w:hint="eastAsia" w:ascii="Times New Roman" w:hAnsi="Times New Roman"/>
          <w:color w:val="000000"/>
          <w:sz w:val="24"/>
          <w:lang w:eastAsia="zh-CN"/>
        </w:rPr>
        <w:t>3</w:t>
      </w:r>
      <w:r>
        <w:rPr>
          <w:rFonts w:ascii="Times New Roman" w:hAnsi="Times New Roman"/>
          <w:color w:val="000000"/>
          <w:sz w:val="24"/>
        </w:rPr>
        <w:t>.</w:t>
      </w:r>
      <w:r>
        <w:rPr>
          <w:rFonts w:hint="eastAsia" w:ascii="Times New Roman" w:hAnsi="Times New Roman"/>
          <w:color w:val="000000"/>
          <w:sz w:val="24"/>
          <w:lang w:eastAsia="zh-CN"/>
        </w:rPr>
        <w:t>7</w:t>
      </w:r>
      <w:r>
        <w:rPr>
          <w:rFonts w:ascii="Times New Roman" w:hAnsi="Times New Roman"/>
          <w:color w:val="000000"/>
          <w:sz w:val="24"/>
        </w:rPr>
        <w:t>）。</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000000"/>
          <w:sz w:val="24"/>
        </w:rPr>
      </w:pPr>
      <w:r>
        <w:rPr>
          <w:rFonts w:ascii="Times New Roman" w:hAnsi="Times New Roman"/>
          <w:color w:val="000000"/>
          <w:sz w:val="24"/>
        </w:rPr>
        <w:object>
          <v:shape id="_x0000_i1049" o:spt="75" type="#_x0000_t75" style="height:19.15pt;width:52.85pt;" o:ole="t" filled="f" coordsize="21600,21600">
            <v:path/>
            <v:fill on="f" focussize="0,0"/>
            <v:stroke/>
            <v:imagedata r:id="rId65" o:title=""/>
            <o:lock v:ext="edit" aspectratio="t"/>
            <w10:wrap type="none"/>
            <w10:anchorlock/>
          </v:shape>
          <o:OLEObject Type="Embed" ProgID="Equation.3" ShapeID="_x0000_i1049" DrawAspect="Content" ObjectID="_1468075749" r:id="rId64">
            <o:LockedField>false</o:LockedField>
          </o:OLEObject>
        </w:object>
      </w:r>
      <w:r>
        <w:rPr>
          <w:rFonts w:ascii="Times New Roman" w:hAnsi="Times New Roman"/>
          <w:color w:val="000000"/>
          <w:sz w:val="24"/>
          <w:lang w:eastAsia="zh-CN"/>
        </w:rPr>
        <w:t xml:space="preserve">                        </w:t>
      </w:r>
      <w:r>
        <w:rPr>
          <w:rFonts w:ascii="Times New Roman" w:hAnsi="Times New Roman"/>
          <w:color w:val="000000"/>
          <w:sz w:val="24"/>
        </w:rPr>
        <w:t>（5.</w:t>
      </w:r>
      <w:r>
        <w:rPr>
          <w:rFonts w:hint="eastAsia" w:ascii="Times New Roman" w:hAnsi="Times New Roman"/>
          <w:color w:val="000000"/>
          <w:sz w:val="24"/>
          <w:lang w:eastAsia="zh-CN"/>
        </w:rPr>
        <w:t>3</w:t>
      </w:r>
      <w:r>
        <w:rPr>
          <w:rFonts w:ascii="Times New Roman" w:hAnsi="Times New Roman"/>
          <w:color w:val="000000"/>
          <w:sz w:val="24"/>
        </w:rPr>
        <w:t>.</w:t>
      </w:r>
      <w:r>
        <w:rPr>
          <w:rFonts w:hint="eastAsia" w:ascii="Times New Roman" w:hAnsi="Times New Roman"/>
          <w:color w:val="000000"/>
          <w:sz w:val="24"/>
          <w:lang w:eastAsia="zh-CN"/>
        </w:rPr>
        <w:t>7</w:t>
      </w:r>
      <w:r>
        <w:rPr>
          <w:rFonts w:ascii="Times New Roman" w:hAnsi="Times New Roman"/>
          <w:color w:val="000000"/>
          <w:sz w:val="24"/>
        </w:rPr>
        <w:t>）</w:t>
      </w:r>
    </w:p>
    <w:p>
      <w:pPr>
        <w:spacing w:line="360" w:lineRule="auto"/>
        <w:rPr>
          <w:color w:val="000000"/>
          <w:sz w:val="24"/>
        </w:rPr>
      </w:pPr>
      <w:r>
        <w:rPr>
          <w:color w:val="000000"/>
          <w:sz w:val="24"/>
        </w:rPr>
        <w:t>式中：</w:t>
      </w:r>
      <w:r>
        <w:rPr>
          <w:i/>
          <w:color w:val="000000"/>
          <w:sz w:val="24"/>
        </w:rPr>
        <w:t>q</w:t>
      </w:r>
      <w:r>
        <w:rPr>
          <w:color w:val="000000"/>
          <w:sz w:val="24"/>
          <w:vertAlign w:val="subscript"/>
        </w:rPr>
        <w:t>0</w:t>
      </w:r>
      <w:r>
        <w:rPr>
          <w:color w:val="000000"/>
          <w:sz w:val="24"/>
        </w:rPr>
        <w:t>—均布附加荷载标准值（kPa）。</w:t>
      </w:r>
    </w:p>
    <w:p>
      <w:pPr>
        <w:spacing w:line="360" w:lineRule="auto"/>
        <w:jc w:val="center"/>
        <w:rPr>
          <w:sz w:val="24"/>
        </w:rPr>
      </w:pPr>
      <w:r>
        <w:rPr>
          <w:sz w:val="24"/>
        </w:rPr>
        <w:drawing>
          <wp:inline distT="0" distB="0" distL="0" distR="0">
            <wp:extent cx="2681605" cy="2875915"/>
            <wp:effectExtent l="0" t="0" r="4445" b="635"/>
            <wp:docPr id="23" name="图片 23" descr="E:\G规范编制\昆明地区基坑规范编制\2019.6第二次审查修改\插图\图5.3.7  均布竖向附加荷载作用下的土中附加竖向应力计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G规范编制\昆明地区基坑规范编制\2019.6第二次审查修改\插图\图5.3.7  均布竖向附加荷载作用下的土中附加竖向应力计算.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681605" cy="2875915"/>
                    </a:xfrm>
                    <a:prstGeom prst="rect">
                      <a:avLst/>
                    </a:prstGeom>
                    <a:noFill/>
                    <a:ln>
                      <a:noFill/>
                    </a:ln>
                  </pic:spPr>
                </pic:pic>
              </a:graphicData>
            </a:graphic>
          </wp:inline>
        </w:drawing>
      </w:r>
    </w:p>
    <w:p>
      <w:pPr>
        <w:spacing w:line="360" w:lineRule="auto"/>
        <w:jc w:val="center"/>
        <w:rPr>
          <w:b/>
          <w:color w:val="000000"/>
          <w:sz w:val="24"/>
        </w:rPr>
      </w:pPr>
      <w:r>
        <w:rPr>
          <w:b/>
          <w:color w:val="000000"/>
          <w:sz w:val="24"/>
        </w:rPr>
        <w:t>图5.</w:t>
      </w:r>
      <w:r>
        <w:rPr>
          <w:rFonts w:hint="eastAsia"/>
          <w:b/>
          <w:color w:val="000000"/>
          <w:sz w:val="24"/>
        </w:rPr>
        <w:t>3</w:t>
      </w:r>
      <w:r>
        <w:rPr>
          <w:b/>
          <w:color w:val="000000"/>
          <w:sz w:val="24"/>
        </w:rPr>
        <w:t>.</w:t>
      </w:r>
      <w:r>
        <w:rPr>
          <w:rFonts w:hint="eastAsia"/>
          <w:b/>
          <w:color w:val="000000"/>
          <w:sz w:val="24"/>
        </w:rPr>
        <w:t>7</w:t>
      </w:r>
      <w:r>
        <w:rPr>
          <w:b/>
          <w:color w:val="000000"/>
          <w:sz w:val="24"/>
        </w:rPr>
        <w:t xml:space="preserve">  均布竖向附加荷载作用下的</w:t>
      </w:r>
      <w:r>
        <w:rPr>
          <w:b/>
          <w:bCs/>
          <w:color w:val="000000"/>
          <w:sz w:val="24"/>
        </w:rPr>
        <w:t>土中</w:t>
      </w:r>
      <w:r>
        <w:rPr>
          <w:b/>
          <w:color w:val="000000"/>
          <w:sz w:val="24"/>
        </w:rPr>
        <w:t>附加</w:t>
      </w:r>
      <w:r>
        <w:rPr>
          <w:b/>
          <w:bCs/>
          <w:color w:val="000000"/>
          <w:sz w:val="24"/>
        </w:rPr>
        <w:t>竖向应力</w:t>
      </w:r>
      <w:r>
        <w:rPr>
          <w:b/>
          <w:color w:val="000000"/>
          <w:sz w:val="24"/>
        </w:rPr>
        <w:t>计算</w:t>
      </w:r>
    </w:p>
    <w:p>
      <w:pPr>
        <w:pStyle w:val="21"/>
        <w:tabs>
          <w:tab w:val="left" w:pos="900"/>
          <w:tab w:val="left" w:pos="1246"/>
          <w:tab w:val="left" w:pos="7020"/>
        </w:tabs>
        <w:topLinePunct/>
        <w:autoSpaceDE w:val="0"/>
        <w:autoSpaceDN w:val="0"/>
        <w:adjustRightInd w:val="0"/>
        <w:snapToGrid w:val="0"/>
        <w:ind w:firstLine="0"/>
        <w:jc w:val="left"/>
        <w:rPr>
          <w:rFonts w:ascii="Times New Roman" w:hAnsi="Times New Roman"/>
          <w:color w:val="000000"/>
          <w:sz w:val="24"/>
        </w:rPr>
      </w:pPr>
      <w:r>
        <w:rPr>
          <w:rFonts w:ascii="Times New Roman" w:hAnsi="Times New Roman"/>
          <w:b/>
          <w:color w:val="auto"/>
          <w:sz w:val="24"/>
        </w:rPr>
        <w:t>5.</w:t>
      </w:r>
      <w:r>
        <w:rPr>
          <w:rFonts w:hint="eastAsia" w:ascii="Times New Roman" w:hAnsi="Times New Roman"/>
          <w:b/>
          <w:color w:val="auto"/>
          <w:sz w:val="24"/>
          <w:lang w:eastAsia="zh-CN"/>
        </w:rPr>
        <w:t>3</w:t>
      </w:r>
      <w:r>
        <w:rPr>
          <w:rFonts w:ascii="Times New Roman" w:hAnsi="Times New Roman"/>
          <w:b/>
          <w:color w:val="auto"/>
          <w:sz w:val="24"/>
        </w:rPr>
        <w:t>.</w:t>
      </w:r>
      <w:r>
        <w:rPr>
          <w:rFonts w:hint="eastAsia" w:ascii="Times New Roman" w:hAnsi="Times New Roman"/>
          <w:b/>
          <w:color w:val="auto"/>
          <w:sz w:val="24"/>
          <w:lang w:eastAsia="zh-CN"/>
        </w:rPr>
        <w:t>8</w:t>
      </w:r>
      <w:r>
        <w:rPr>
          <w:rFonts w:ascii="Times New Roman" w:hAnsi="Times New Roman"/>
          <w:b/>
          <w:color w:val="auto"/>
          <w:sz w:val="24"/>
        </w:rPr>
        <w:t xml:space="preserve">  </w:t>
      </w:r>
      <w:r>
        <w:rPr>
          <w:rFonts w:ascii="Times New Roman" w:hAnsi="Times New Roman"/>
          <w:color w:val="000000"/>
          <w:sz w:val="24"/>
        </w:rPr>
        <w:t>局部附加荷载作用下的土中附加竖向应力标准值可按下列规定计算：</w:t>
      </w:r>
    </w:p>
    <w:p>
      <w:pPr>
        <w:pStyle w:val="21"/>
        <w:tabs>
          <w:tab w:val="left" w:pos="900"/>
          <w:tab w:val="left" w:pos="1246"/>
          <w:tab w:val="left" w:pos="7020"/>
        </w:tabs>
        <w:topLinePunct/>
        <w:autoSpaceDE w:val="0"/>
        <w:autoSpaceDN w:val="0"/>
        <w:adjustRightInd w:val="0"/>
        <w:snapToGrid w:val="0"/>
        <w:ind w:firstLine="480" w:firstLineChars="200"/>
        <w:rPr>
          <w:rFonts w:ascii="Times New Roman" w:hAnsi="Times New Roman"/>
          <w:bCs/>
          <w:color w:val="000000"/>
          <w:sz w:val="24"/>
        </w:rPr>
      </w:pPr>
      <w:r>
        <w:rPr>
          <w:rFonts w:ascii="Times New Roman" w:hAnsi="Times New Roman"/>
          <w:color w:val="auto"/>
          <w:sz w:val="24"/>
        </w:rPr>
        <w:t>1</w:t>
      </w:r>
      <w:r>
        <w:rPr>
          <w:rFonts w:ascii="Times New Roman" w:hAnsi="Times New Roman"/>
          <w:b/>
          <w:color w:val="FF0000"/>
          <w:sz w:val="24"/>
        </w:rPr>
        <w:t xml:space="preserve">  </w:t>
      </w:r>
      <w:r>
        <w:rPr>
          <w:rFonts w:ascii="Times New Roman" w:hAnsi="Times New Roman"/>
          <w:bCs/>
          <w:color w:val="000000"/>
          <w:sz w:val="24"/>
        </w:rPr>
        <w:t>条形基础下的附加荷载</w:t>
      </w:r>
      <w:r>
        <w:rPr>
          <w:rFonts w:hint="eastAsia" w:ascii="Times New Roman" w:hAnsi="Times New Roman"/>
          <w:bCs/>
          <w:color w:val="000000"/>
          <w:sz w:val="24"/>
          <w:lang w:eastAsia="zh-CN"/>
        </w:rPr>
        <w:t>（图5.3.8-1）</w:t>
      </w:r>
      <w:r>
        <w:rPr>
          <w:rFonts w:ascii="Times New Roman" w:hAnsi="Times New Roman"/>
          <w:color w:val="000000"/>
          <w:sz w:val="24"/>
        </w:rPr>
        <w:t>：</w:t>
      </w:r>
    </w:p>
    <w:p>
      <w:pPr>
        <w:spacing w:line="360" w:lineRule="auto"/>
        <w:ind w:firstLine="720" w:firstLineChars="300"/>
        <w:jc w:val="left"/>
        <w:rPr>
          <w:bCs/>
          <w:color w:val="000000"/>
          <w:sz w:val="24"/>
        </w:rPr>
      </w:pPr>
      <w:r>
        <w:rPr>
          <w:bCs/>
          <w:color w:val="000000"/>
          <w:sz w:val="24"/>
        </w:rPr>
        <w:t>1）当</w:t>
      </w:r>
      <w:r>
        <w:rPr>
          <w:bCs/>
          <w:i/>
          <w:color w:val="000000"/>
          <w:sz w:val="24"/>
        </w:rPr>
        <w:t>d</w:t>
      </w:r>
      <w:r>
        <w:rPr>
          <w:bCs/>
          <w:color w:val="000000"/>
          <w:sz w:val="24"/>
        </w:rPr>
        <w:t>＋</w:t>
      </w:r>
      <w:r>
        <w:rPr>
          <w:bCs/>
          <w:i/>
          <w:color w:val="000000"/>
          <w:sz w:val="24"/>
        </w:rPr>
        <w:t>a</w:t>
      </w:r>
      <w:r>
        <w:rPr>
          <w:bCs/>
          <w:color w:val="000000"/>
          <w:sz w:val="24"/>
        </w:rPr>
        <w:t>/tan</w:t>
      </w:r>
      <w:r>
        <w:rPr>
          <w:bCs/>
          <w:i/>
          <w:color w:val="000000"/>
          <w:sz w:val="24"/>
        </w:rPr>
        <w:t>θ</w:t>
      </w:r>
      <w:r>
        <w:rPr>
          <w:rFonts w:hint="eastAsia"/>
          <w:bCs/>
          <w:color w:val="000000"/>
          <w:sz w:val="24"/>
        </w:rPr>
        <w:t>≤</w:t>
      </w:r>
      <w:r>
        <w:rPr>
          <w:bCs/>
          <w:i/>
          <w:color w:val="000000"/>
          <w:sz w:val="24"/>
        </w:rPr>
        <w:t>z</w:t>
      </w:r>
      <w:r>
        <w:rPr>
          <w:bCs/>
          <w:color w:val="000000"/>
          <w:sz w:val="24"/>
          <w:vertAlign w:val="subscript"/>
        </w:rPr>
        <w:t>a</w:t>
      </w:r>
      <w:r>
        <w:rPr>
          <w:rFonts w:hint="eastAsia"/>
          <w:bCs/>
          <w:color w:val="000000"/>
          <w:sz w:val="24"/>
        </w:rPr>
        <w:t>≤</w:t>
      </w:r>
      <w:r>
        <w:rPr>
          <w:bCs/>
          <w:i/>
          <w:color w:val="000000"/>
          <w:sz w:val="24"/>
        </w:rPr>
        <w:t>d</w:t>
      </w:r>
      <w:r>
        <w:rPr>
          <w:bCs/>
          <w:color w:val="000000"/>
          <w:sz w:val="24"/>
        </w:rPr>
        <w:t>＋(3</w:t>
      </w:r>
      <w:r>
        <w:rPr>
          <w:bCs/>
          <w:i/>
          <w:color w:val="000000"/>
          <w:sz w:val="24"/>
        </w:rPr>
        <w:t>a</w:t>
      </w:r>
      <w:r>
        <w:rPr>
          <w:bCs/>
          <w:color w:val="000000"/>
          <w:sz w:val="24"/>
        </w:rPr>
        <w:t>+</w:t>
      </w:r>
      <w:r>
        <w:rPr>
          <w:bCs/>
          <w:i/>
          <w:color w:val="000000"/>
          <w:sz w:val="24"/>
        </w:rPr>
        <w:t>b</w:t>
      </w:r>
      <w:r>
        <w:rPr>
          <w:bCs/>
          <w:color w:val="000000"/>
          <w:sz w:val="24"/>
        </w:rPr>
        <w:t>)/tan</w:t>
      </w:r>
      <w:r>
        <w:rPr>
          <w:bCs/>
          <w:i/>
          <w:color w:val="000000"/>
          <w:sz w:val="24"/>
        </w:rPr>
        <w:t>θ</w:t>
      </w:r>
      <w:r>
        <w:rPr>
          <w:bCs/>
          <w:color w:val="000000"/>
          <w:sz w:val="24"/>
        </w:rPr>
        <w:t>时</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000000"/>
          <w:sz w:val="24"/>
        </w:rPr>
      </w:pPr>
      <w:r>
        <w:rPr>
          <w:rFonts w:ascii="Times New Roman" w:hAnsi="Times New Roman"/>
          <w:color w:val="000000"/>
          <w:position w:val="-24"/>
          <w:sz w:val="24"/>
        </w:rPr>
        <w:object>
          <v:shape id="_x0000_i1050" o:spt="75" type="#_x0000_t75" style="height:30.65pt;width:75.05pt;" o:ole="t" filled="f" coordsize="21600,21600">
            <v:path/>
            <v:fill on="f" focussize="0,0"/>
            <v:stroke/>
            <v:imagedata r:id="rId68" o:title=""/>
            <o:lock v:ext="edit" aspectratio="t"/>
            <w10:wrap type="none"/>
            <w10:anchorlock/>
          </v:shape>
          <o:OLEObject Type="Embed" ProgID="AutoCAD.Drawing.16" ShapeID="_x0000_i1050" DrawAspect="Icon" ObjectID="_1468075750" r:id="rId67">
            <o:LockedField>false</o:LockedField>
          </o:OLEObject>
        </w:object>
      </w:r>
      <w:r>
        <w:rPr>
          <w:rFonts w:ascii="Times New Roman" w:hAnsi="Times New Roman"/>
          <w:color w:val="000000"/>
          <w:sz w:val="24"/>
          <w:lang w:eastAsia="zh-CN"/>
        </w:rPr>
        <w:t xml:space="preserve">                      </w:t>
      </w:r>
      <w:r>
        <w:rPr>
          <w:rFonts w:ascii="Times New Roman" w:hAnsi="Times New Roman"/>
          <w:color w:val="000000"/>
          <w:sz w:val="24"/>
        </w:rPr>
        <w:t>（5.</w:t>
      </w:r>
      <w:r>
        <w:rPr>
          <w:rFonts w:hint="eastAsia" w:ascii="Times New Roman" w:hAnsi="Times New Roman"/>
          <w:color w:val="000000"/>
          <w:sz w:val="24"/>
          <w:lang w:eastAsia="zh-CN"/>
        </w:rPr>
        <w:t>3</w:t>
      </w:r>
      <w:r>
        <w:rPr>
          <w:rFonts w:ascii="Times New Roman" w:hAnsi="Times New Roman"/>
          <w:color w:val="000000"/>
          <w:sz w:val="24"/>
        </w:rPr>
        <w:t>.</w:t>
      </w:r>
      <w:r>
        <w:rPr>
          <w:rFonts w:hint="eastAsia" w:ascii="Times New Roman" w:hAnsi="Times New Roman"/>
          <w:color w:val="000000"/>
          <w:sz w:val="24"/>
          <w:lang w:eastAsia="zh-CN"/>
        </w:rPr>
        <w:t>8</w:t>
      </w:r>
      <w:r>
        <w:rPr>
          <w:rFonts w:ascii="Times New Roman" w:hAnsi="Times New Roman"/>
          <w:color w:val="000000"/>
          <w:sz w:val="24"/>
        </w:rPr>
        <w:t>-1）</w:t>
      </w:r>
    </w:p>
    <w:p>
      <w:pPr>
        <w:spacing w:line="360" w:lineRule="auto"/>
        <w:jc w:val="left"/>
        <w:rPr>
          <w:color w:val="000000"/>
          <w:sz w:val="24"/>
        </w:rPr>
      </w:pPr>
      <w:r>
        <w:rPr>
          <w:color w:val="000000"/>
          <w:sz w:val="24"/>
        </w:rPr>
        <w:t>式中：</w:t>
      </w:r>
      <w:r>
        <w:rPr>
          <w:i/>
          <w:iCs/>
          <w:color w:val="000000"/>
          <w:sz w:val="24"/>
        </w:rPr>
        <w:t>p</w:t>
      </w:r>
      <w:r>
        <w:rPr>
          <w:iCs/>
          <w:color w:val="000000"/>
          <w:sz w:val="24"/>
          <w:vertAlign w:val="subscript"/>
        </w:rPr>
        <w:t>0</w:t>
      </w:r>
      <w:r>
        <w:rPr>
          <w:color w:val="000000"/>
          <w:sz w:val="24"/>
        </w:rPr>
        <w:t>—</w:t>
      </w:r>
      <w:r>
        <w:rPr>
          <w:bCs/>
          <w:color w:val="000000"/>
          <w:sz w:val="24"/>
        </w:rPr>
        <w:t>基础底面附加压力</w:t>
      </w:r>
      <w:r>
        <w:rPr>
          <w:color w:val="000000"/>
          <w:sz w:val="24"/>
        </w:rPr>
        <w:t>标准值(kPa)；</w:t>
      </w:r>
    </w:p>
    <w:p>
      <w:pPr>
        <w:spacing w:line="360" w:lineRule="auto"/>
        <w:ind w:firstLine="840" w:firstLineChars="350"/>
        <w:jc w:val="left"/>
        <w:rPr>
          <w:color w:val="000000"/>
          <w:sz w:val="24"/>
        </w:rPr>
      </w:pPr>
      <w:r>
        <w:rPr>
          <w:i/>
          <w:iCs/>
          <w:color w:val="000000"/>
          <w:sz w:val="24"/>
        </w:rPr>
        <w:t>d</w:t>
      </w:r>
      <w:r>
        <w:rPr>
          <w:color w:val="000000"/>
          <w:sz w:val="24"/>
        </w:rPr>
        <w:t>—</w:t>
      </w:r>
      <w:r>
        <w:rPr>
          <w:bCs/>
          <w:color w:val="000000"/>
          <w:sz w:val="24"/>
        </w:rPr>
        <w:t>基础埋置深度</w:t>
      </w:r>
      <w:r>
        <w:rPr>
          <w:color w:val="000000"/>
          <w:sz w:val="24"/>
        </w:rPr>
        <w:t>(m)</w:t>
      </w:r>
      <w:r>
        <w:rPr>
          <w:bCs/>
          <w:color w:val="000000"/>
          <w:sz w:val="24"/>
        </w:rPr>
        <w:t>；</w:t>
      </w:r>
    </w:p>
    <w:p>
      <w:pPr>
        <w:spacing w:line="360" w:lineRule="auto"/>
        <w:ind w:firstLine="840" w:firstLineChars="350"/>
        <w:jc w:val="left"/>
        <w:rPr>
          <w:color w:val="000000"/>
          <w:sz w:val="24"/>
        </w:rPr>
      </w:pPr>
      <w:r>
        <w:rPr>
          <w:i/>
          <w:color w:val="000000"/>
          <w:sz w:val="24"/>
        </w:rPr>
        <w:t>b</w:t>
      </w:r>
      <w:r>
        <w:rPr>
          <w:color w:val="000000"/>
          <w:sz w:val="24"/>
        </w:rPr>
        <w:t>—</w:t>
      </w:r>
      <w:r>
        <w:rPr>
          <w:bCs/>
          <w:color w:val="000000"/>
          <w:sz w:val="24"/>
        </w:rPr>
        <w:t>基础宽度</w:t>
      </w:r>
      <w:r>
        <w:rPr>
          <w:color w:val="000000"/>
          <w:sz w:val="24"/>
        </w:rPr>
        <w:t>(m)；</w:t>
      </w:r>
    </w:p>
    <w:p>
      <w:pPr>
        <w:spacing w:line="360" w:lineRule="auto"/>
        <w:ind w:firstLine="840" w:firstLineChars="350"/>
        <w:jc w:val="left"/>
        <w:rPr>
          <w:color w:val="000000"/>
          <w:sz w:val="24"/>
        </w:rPr>
      </w:pPr>
      <w:r>
        <w:rPr>
          <w:i/>
          <w:color w:val="000000"/>
          <w:sz w:val="24"/>
        </w:rPr>
        <w:t>a—</w:t>
      </w:r>
      <w:r>
        <w:rPr>
          <w:color w:val="000000"/>
          <w:sz w:val="24"/>
        </w:rPr>
        <w:t>支护结构外边缘至</w:t>
      </w:r>
      <w:r>
        <w:rPr>
          <w:bCs/>
          <w:color w:val="000000"/>
          <w:sz w:val="24"/>
        </w:rPr>
        <w:t>基础的水平距离</w:t>
      </w:r>
      <w:r>
        <w:rPr>
          <w:color w:val="000000"/>
          <w:sz w:val="24"/>
        </w:rPr>
        <w:t>(m)；</w:t>
      </w:r>
    </w:p>
    <w:p>
      <w:pPr>
        <w:spacing w:line="360" w:lineRule="auto"/>
        <w:ind w:firstLine="840" w:firstLineChars="350"/>
        <w:jc w:val="left"/>
        <w:rPr>
          <w:color w:val="000000"/>
          <w:sz w:val="24"/>
        </w:rPr>
      </w:pPr>
      <w:r>
        <w:rPr>
          <w:bCs/>
          <w:i/>
          <w:color w:val="000000"/>
          <w:sz w:val="24"/>
        </w:rPr>
        <w:t>θ</w:t>
      </w:r>
      <w:r>
        <w:rPr>
          <w:color w:val="000000"/>
          <w:sz w:val="24"/>
        </w:rPr>
        <w:t>—附加荷载的扩散角，宜取</w:t>
      </w:r>
      <w:r>
        <w:rPr>
          <w:bCs/>
          <w:i/>
          <w:color w:val="000000"/>
          <w:sz w:val="24"/>
        </w:rPr>
        <w:t>θ</w:t>
      </w:r>
      <w:r>
        <w:rPr>
          <w:bCs/>
          <w:color w:val="000000"/>
          <w:sz w:val="24"/>
        </w:rPr>
        <w:t>＝45</w:t>
      </w:r>
      <w:r>
        <w:rPr>
          <w:color w:val="000000"/>
          <w:sz w:val="24"/>
        </w:rPr>
        <w:t>°；</w:t>
      </w:r>
    </w:p>
    <w:p>
      <w:pPr>
        <w:spacing w:line="360" w:lineRule="auto"/>
        <w:ind w:firstLine="840" w:firstLineChars="350"/>
        <w:jc w:val="left"/>
        <w:rPr>
          <w:color w:val="000000"/>
          <w:sz w:val="24"/>
        </w:rPr>
      </w:pPr>
      <w:r>
        <w:rPr>
          <w:i/>
          <w:color w:val="000000"/>
          <w:sz w:val="24"/>
        </w:rPr>
        <w:t>z</w:t>
      </w:r>
      <w:r>
        <w:rPr>
          <w:color w:val="000000"/>
          <w:sz w:val="24"/>
          <w:vertAlign w:val="subscript"/>
        </w:rPr>
        <w:t>a</w:t>
      </w:r>
      <w:r>
        <w:rPr>
          <w:color w:val="000000"/>
          <w:sz w:val="24"/>
        </w:rPr>
        <w:t>—支护结构顶面至土中附加竖向应力计算点的竖向距离。</w:t>
      </w:r>
    </w:p>
    <w:p>
      <w:pPr>
        <w:spacing w:line="360" w:lineRule="auto"/>
        <w:ind w:firstLine="720" w:firstLineChars="300"/>
        <w:jc w:val="left"/>
        <w:rPr>
          <w:color w:val="000000"/>
          <w:sz w:val="24"/>
        </w:rPr>
      </w:pPr>
      <w:r>
        <w:rPr>
          <w:bCs/>
          <w:color w:val="000000"/>
          <w:sz w:val="24"/>
        </w:rPr>
        <w:t>2）当</w:t>
      </w:r>
      <w:r>
        <w:rPr>
          <w:bCs/>
          <w:i/>
          <w:color w:val="000000"/>
          <w:sz w:val="24"/>
        </w:rPr>
        <w:t>z</w:t>
      </w:r>
      <w:r>
        <w:rPr>
          <w:bCs/>
          <w:color w:val="000000"/>
          <w:sz w:val="24"/>
          <w:vertAlign w:val="subscript"/>
        </w:rPr>
        <w:t xml:space="preserve">a </w:t>
      </w:r>
      <w:r>
        <w:rPr>
          <w:rFonts w:hint="eastAsia"/>
          <w:bCs/>
          <w:color w:val="000000"/>
          <w:sz w:val="24"/>
        </w:rPr>
        <w:t>＜</w:t>
      </w:r>
      <w:r>
        <w:rPr>
          <w:bCs/>
          <w:i/>
          <w:color w:val="000000"/>
          <w:sz w:val="24"/>
        </w:rPr>
        <w:t>d</w:t>
      </w:r>
      <w:r>
        <w:rPr>
          <w:bCs/>
          <w:color w:val="000000"/>
          <w:sz w:val="24"/>
        </w:rPr>
        <w:t>＋</w:t>
      </w:r>
      <w:r>
        <w:rPr>
          <w:bCs/>
          <w:i/>
          <w:color w:val="000000"/>
          <w:sz w:val="24"/>
        </w:rPr>
        <w:t>a</w:t>
      </w:r>
      <w:r>
        <w:rPr>
          <w:bCs/>
          <w:color w:val="000000"/>
          <w:sz w:val="24"/>
        </w:rPr>
        <w:t>/tan</w:t>
      </w:r>
      <w:r>
        <w:rPr>
          <w:bCs/>
          <w:i/>
          <w:color w:val="000000"/>
          <w:sz w:val="24"/>
        </w:rPr>
        <w:t>θ</w:t>
      </w:r>
      <w:r>
        <w:rPr>
          <w:bCs/>
          <w:color w:val="000000"/>
          <w:sz w:val="24"/>
        </w:rPr>
        <w:t>或</w:t>
      </w:r>
      <w:r>
        <w:rPr>
          <w:bCs/>
          <w:i/>
          <w:color w:val="000000"/>
          <w:sz w:val="24"/>
        </w:rPr>
        <w:t>z</w:t>
      </w:r>
      <w:r>
        <w:rPr>
          <w:bCs/>
          <w:color w:val="000000"/>
          <w:sz w:val="24"/>
          <w:vertAlign w:val="subscript"/>
        </w:rPr>
        <w:t xml:space="preserve">a </w:t>
      </w:r>
      <w:r>
        <w:rPr>
          <w:rFonts w:hint="eastAsia"/>
          <w:bCs/>
          <w:color w:val="000000"/>
          <w:sz w:val="24"/>
        </w:rPr>
        <w:t>＞</w:t>
      </w:r>
      <w:r>
        <w:rPr>
          <w:bCs/>
          <w:i/>
          <w:color w:val="000000"/>
          <w:sz w:val="24"/>
        </w:rPr>
        <w:t>d</w:t>
      </w:r>
      <w:r>
        <w:rPr>
          <w:bCs/>
          <w:color w:val="000000"/>
          <w:sz w:val="24"/>
        </w:rPr>
        <w:t>＋(3</w:t>
      </w:r>
      <w:r>
        <w:rPr>
          <w:bCs/>
          <w:i/>
          <w:color w:val="000000"/>
          <w:sz w:val="24"/>
        </w:rPr>
        <w:t>a</w:t>
      </w:r>
      <w:r>
        <w:rPr>
          <w:bCs/>
          <w:color w:val="000000"/>
          <w:sz w:val="24"/>
        </w:rPr>
        <w:t>+</w:t>
      </w:r>
      <w:r>
        <w:rPr>
          <w:bCs/>
          <w:i/>
          <w:color w:val="000000"/>
          <w:sz w:val="24"/>
        </w:rPr>
        <w:t>b</w:t>
      </w:r>
      <w:r>
        <w:rPr>
          <w:bCs/>
          <w:color w:val="000000"/>
          <w:sz w:val="24"/>
        </w:rPr>
        <w:t>)/tan</w:t>
      </w:r>
      <w:r>
        <w:rPr>
          <w:bCs/>
          <w:i/>
          <w:color w:val="000000"/>
          <w:sz w:val="24"/>
        </w:rPr>
        <w:t>θ</w:t>
      </w:r>
      <w:r>
        <w:rPr>
          <w:bCs/>
          <w:color w:val="000000"/>
          <w:sz w:val="24"/>
        </w:rPr>
        <w:t>时，取</w:t>
      </w:r>
      <w:r>
        <w:rPr>
          <w:color w:val="000000"/>
          <w:sz w:val="24"/>
        </w:rPr>
        <w:t>Δ</w:t>
      </w:r>
      <w:r>
        <w:rPr>
          <w:i/>
          <w:color w:val="000000"/>
          <w:sz w:val="24"/>
        </w:rPr>
        <w:t>σ</w:t>
      </w:r>
      <w:r>
        <w:rPr>
          <w:color w:val="000000"/>
          <w:sz w:val="24"/>
          <w:vertAlign w:val="subscript"/>
        </w:rPr>
        <w:t>k，</w:t>
      </w:r>
      <w:r>
        <w:rPr>
          <w:i/>
          <w:color w:val="000000"/>
          <w:sz w:val="24"/>
          <w:vertAlign w:val="subscript"/>
        </w:rPr>
        <w:t>j</w:t>
      </w:r>
      <w:r>
        <w:rPr>
          <w:color w:val="000000"/>
          <w:sz w:val="24"/>
        </w:rPr>
        <w:t>＝0。</w:t>
      </w:r>
    </w:p>
    <w:p>
      <w:pPr>
        <w:spacing w:line="360" w:lineRule="auto"/>
        <w:ind w:firstLine="480" w:firstLineChars="200"/>
        <w:jc w:val="left"/>
        <w:rPr>
          <w:bCs/>
          <w:color w:val="000000"/>
          <w:sz w:val="24"/>
        </w:rPr>
      </w:pPr>
      <w:r>
        <w:rPr>
          <w:sz w:val="24"/>
        </w:rPr>
        <w:t>2</w:t>
      </w:r>
      <w:r>
        <w:rPr>
          <w:b/>
          <w:sz w:val="24"/>
        </w:rPr>
        <w:t xml:space="preserve">  </w:t>
      </w:r>
      <w:r>
        <w:rPr>
          <w:bCs/>
          <w:color w:val="000000"/>
          <w:sz w:val="24"/>
        </w:rPr>
        <w:t>矩形基础下的附加荷载</w:t>
      </w:r>
      <w:r>
        <w:rPr>
          <w:rFonts w:hint="eastAsia"/>
          <w:bCs/>
          <w:color w:val="000000"/>
          <w:sz w:val="24"/>
        </w:rPr>
        <w:t>（图5.3.8-1）</w:t>
      </w:r>
      <w:r>
        <w:rPr>
          <w:color w:val="000000"/>
          <w:sz w:val="24"/>
        </w:rPr>
        <w:t>：</w:t>
      </w:r>
    </w:p>
    <w:p>
      <w:pPr>
        <w:spacing w:line="360" w:lineRule="auto"/>
        <w:ind w:firstLine="720" w:firstLineChars="300"/>
        <w:jc w:val="left"/>
        <w:rPr>
          <w:bCs/>
          <w:color w:val="000000"/>
          <w:sz w:val="24"/>
        </w:rPr>
      </w:pPr>
      <w:r>
        <w:rPr>
          <w:bCs/>
          <w:color w:val="000000"/>
          <w:sz w:val="24"/>
        </w:rPr>
        <w:t>1）当</w:t>
      </w:r>
      <w:r>
        <w:rPr>
          <w:bCs/>
          <w:i/>
          <w:color w:val="000000"/>
          <w:sz w:val="24"/>
        </w:rPr>
        <w:t>d</w:t>
      </w:r>
      <w:r>
        <w:rPr>
          <w:bCs/>
          <w:color w:val="000000"/>
          <w:sz w:val="24"/>
        </w:rPr>
        <w:t>＋</w:t>
      </w:r>
      <w:r>
        <w:rPr>
          <w:bCs/>
          <w:i/>
          <w:color w:val="000000"/>
          <w:sz w:val="24"/>
        </w:rPr>
        <w:t>a</w:t>
      </w:r>
      <w:r>
        <w:rPr>
          <w:bCs/>
          <w:color w:val="000000"/>
          <w:sz w:val="24"/>
        </w:rPr>
        <w:t>/tan</w:t>
      </w:r>
      <w:r>
        <w:rPr>
          <w:bCs/>
          <w:i/>
          <w:color w:val="000000"/>
          <w:sz w:val="24"/>
        </w:rPr>
        <w:t>θ</w:t>
      </w:r>
      <w:r>
        <w:rPr>
          <w:rFonts w:hint="eastAsia"/>
          <w:bCs/>
          <w:color w:val="000000"/>
          <w:sz w:val="24"/>
        </w:rPr>
        <w:t>≤</w:t>
      </w:r>
      <w:r>
        <w:rPr>
          <w:bCs/>
          <w:i/>
          <w:color w:val="000000"/>
          <w:sz w:val="24"/>
        </w:rPr>
        <w:t>z</w:t>
      </w:r>
      <w:r>
        <w:rPr>
          <w:bCs/>
          <w:color w:val="000000"/>
          <w:sz w:val="24"/>
          <w:vertAlign w:val="subscript"/>
        </w:rPr>
        <w:t>a</w:t>
      </w:r>
      <w:r>
        <w:rPr>
          <w:rFonts w:hint="eastAsia"/>
          <w:bCs/>
          <w:color w:val="000000"/>
          <w:sz w:val="24"/>
        </w:rPr>
        <w:t>≤</w:t>
      </w:r>
      <w:r>
        <w:rPr>
          <w:bCs/>
          <w:color w:val="000000"/>
          <w:sz w:val="24"/>
        </w:rPr>
        <w:t xml:space="preserve"> </w:t>
      </w:r>
      <w:r>
        <w:rPr>
          <w:bCs/>
          <w:i/>
          <w:color w:val="000000"/>
          <w:sz w:val="24"/>
        </w:rPr>
        <w:t>d</w:t>
      </w:r>
      <w:r>
        <w:rPr>
          <w:bCs/>
          <w:color w:val="000000"/>
          <w:sz w:val="24"/>
        </w:rPr>
        <w:t>＋(3</w:t>
      </w:r>
      <w:r>
        <w:rPr>
          <w:bCs/>
          <w:i/>
          <w:color w:val="000000"/>
          <w:sz w:val="24"/>
        </w:rPr>
        <w:t>a</w:t>
      </w:r>
      <w:r>
        <w:rPr>
          <w:bCs/>
          <w:color w:val="000000"/>
          <w:sz w:val="24"/>
        </w:rPr>
        <w:t>+</w:t>
      </w:r>
      <w:r>
        <w:rPr>
          <w:bCs/>
          <w:i/>
          <w:color w:val="000000"/>
          <w:sz w:val="24"/>
        </w:rPr>
        <w:t>b</w:t>
      </w:r>
      <w:r>
        <w:rPr>
          <w:bCs/>
          <w:color w:val="000000"/>
          <w:sz w:val="24"/>
        </w:rPr>
        <w:t>)/tan</w:t>
      </w:r>
      <w:r>
        <w:rPr>
          <w:bCs/>
          <w:i/>
          <w:color w:val="000000"/>
          <w:sz w:val="24"/>
        </w:rPr>
        <w:t>θ</w:t>
      </w:r>
      <w:r>
        <w:rPr>
          <w:bCs/>
          <w:color w:val="000000"/>
          <w:sz w:val="24"/>
        </w:rPr>
        <w:t>时</w:t>
      </w:r>
    </w:p>
    <w:p>
      <w:pPr>
        <w:pStyle w:val="21"/>
        <w:tabs>
          <w:tab w:val="left" w:pos="900"/>
          <w:tab w:val="left" w:pos="1246"/>
          <w:tab w:val="left" w:pos="7020"/>
        </w:tabs>
        <w:topLinePunct/>
        <w:autoSpaceDE w:val="0"/>
        <w:autoSpaceDN w:val="0"/>
        <w:adjustRightInd w:val="0"/>
        <w:snapToGrid w:val="0"/>
        <w:ind w:firstLine="0"/>
        <w:jc w:val="right"/>
        <w:rPr>
          <w:rFonts w:ascii="Times New Roman" w:hAnsi="Times New Roman"/>
          <w:color w:val="000000"/>
          <w:sz w:val="24"/>
        </w:rPr>
      </w:pPr>
      <w:r>
        <w:rPr>
          <w:rFonts w:ascii="Times New Roman" w:hAnsi="Times New Roman"/>
          <w:color w:val="000000"/>
          <w:position w:val="-32"/>
          <w:sz w:val="24"/>
        </w:rPr>
        <w:object>
          <v:shape id="_x0000_i1051" o:spt="75" type="#_x0000_t75" style="height:37.55pt;width:119.85pt;" o:ole="t" filled="f" coordsize="21600,21600">
            <v:path/>
            <v:fill on="f" focussize="0,0"/>
            <v:stroke/>
            <v:imagedata r:id="rId70" o:title=""/>
            <o:lock v:ext="edit" aspectratio="t"/>
            <w10:wrap type="none"/>
            <w10:anchorlock/>
          </v:shape>
          <o:OLEObject Type="Embed" ProgID="Equation.DSMT4" ShapeID="_x0000_i1051" DrawAspect="Content" ObjectID="_1468075751" r:id="rId69">
            <o:LockedField>false</o:LockedField>
          </o:OLEObject>
        </w:object>
      </w:r>
      <w:r>
        <w:rPr>
          <w:rFonts w:ascii="Times New Roman" w:hAnsi="Times New Roman"/>
          <w:color w:val="000000"/>
          <w:sz w:val="24"/>
          <w:lang w:eastAsia="zh-CN"/>
        </w:rPr>
        <w:t xml:space="preserve">                 </w:t>
      </w:r>
      <w:r>
        <w:rPr>
          <w:rFonts w:ascii="Times New Roman" w:hAnsi="Times New Roman"/>
          <w:color w:val="000000"/>
          <w:sz w:val="24"/>
        </w:rPr>
        <w:t>（5.</w:t>
      </w:r>
      <w:r>
        <w:rPr>
          <w:rFonts w:hint="eastAsia" w:ascii="Times New Roman" w:hAnsi="Times New Roman"/>
          <w:color w:val="000000"/>
          <w:sz w:val="24"/>
          <w:lang w:eastAsia="zh-CN"/>
        </w:rPr>
        <w:t>3</w:t>
      </w:r>
      <w:r>
        <w:rPr>
          <w:rFonts w:ascii="Times New Roman" w:hAnsi="Times New Roman"/>
          <w:color w:val="000000"/>
          <w:sz w:val="24"/>
        </w:rPr>
        <w:t>.</w:t>
      </w:r>
      <w:r>
        <w:rPr>
          <w:rFonts w:hint="eastAsia" w:ascii="Times New Roman" w:hAnsi="Times New Roman"/>
          <w:color w:val="000000"/>
          <w:sz w:val="24"/>
          <w:lang w:eastAsia="zh-CN"/>
        </w:rPr>
        <w:t>8</w:t>
      </w:r>
      <w:r>
        <w:rPr>
          <w:rFonts w:ascii="Times New Roman" w:hAnsi="Times New Roman"/>
          <w:color w:val="000000"/>
          <w:sz w:val="24"/>
        </w:rPr>
        <w:t>-2）</w:t>
      </w:r>
    </w:p>
    <w:p>
      <w:pPr>
        <w:spacing w:line="360" w:lineRule="auto"/>
        <w:jc w:val="left"/>
        <w:rPr>
          <w:color w:val="000000"/>
          <w:sz w:val="24"/>
        </w:rPr>
      </w:pPr>
      <w:r>
        <w:rPr>
          <w:color w:val="000000"/>
          <w:sz w:val="24"/>
        </w:rPr>
        <w:t>式中：</w:t>
      </w:r>
      <w:r>
        <w:rPr>
          <w:i/>
          <w:color w:val="000000"/>
          <w:sz w:val="24"/>
        </w:rPr>
        <w:t>b</w:t>
      </w:r>
      <w:r>
        <w:rPr>
          <w:color w:val="000000"/>
          <w:sz w:val="24"/>
        </w:rPr>
        <w:t>—</w:t>
      </w:r>
      <w:r>
        <w:rPr>
          <w:bCs/>
          <w:color w:val="000000"/>
          <w:sz w:val="24"/>
        </w:rPr>
        <w:t>与基坑边垂直方向上的基础尺寸</w:t>
      </w:r>
      <w:r>
        <w:rPr>
          <w:color w:val="000000"/>
          <w:sz w:val="24"/>
        </w:rPr>
        <w:t>(m)；</w:t>
      </w:r>
    </w:p>
    <w:p>
      <w:pPr>
        <w:spacing w:line="360" w:lineRule="auto"/>
        <w:ind w:firstLine="720" w:firstLineChars="300"/>
        <w:jc w:val="left"/>
        <w:rPr>
          <w:color w:val="000000"/>
          <w:sz w:val="24"/>
        </w:rPr>
      </w:pPr>
      <w:r>
        <w:rPr>
          <w:i/>
          <w:iCs/>
          <w:color w:val="000000"/>
          <w:sz w:val="24"/>
        </w:rPr>
        <w:t>l</w:t>
      </w:r>
      <w:r>
        <w:rPr>
          <w:color w:val="000000"/>
          <w:sz w:val="24"/>
        </w:rPr>
        <w:t>—</w:t>
      </w:r>
      <w:r>
        <w:rPr>
          <w:bCs/>
          <w:color w:val="000000"/>
          <w:sz w:val="24"/>
        </w:rPr>
        <w:t>与基坑边平行方向上</w:t>
      </w:r>
      <w:r>
        <w:rPr>
          <w:color w:val="000000"/>
          <w:sz w:val="24"/>
        </w:rPr>
        <w:t>的基础尺寸(m)。</w:t>
      </w:r>
    </w:p>
    <w:p>
      <w:pPr>
        <w:spacing w:line="360" w:lineRule="auto"/>
        <w:ind w:firstLine="720" w:firstLineChars="300"/>
        <w:jc w:val="left"/>
        <w:rPr>
          <w:color w:val="000000"/>
          <w:sz w:val="24"/>
        </w:rPr>
      </w:pPr>
      <w:r>
        <w:rPr>
          <w:bCs/>
          <w:color w:val="000000"/>
          <w:sz w:val="24"/>
        </w:rPr>
        <w:t>2）当</w:t>
      </w:r>
      <w:r>
        <w:rPr>
          <w:bCs/>
          <w:i/>
          <w:color w:val="000000"/>
          <w:sz w:val="24"/>
        </w:rPr>
        <w:t>z</w:t>
      </w:r>
      <w:r>
        <w:rPr>
          <w:bCs/>
          <w:color w:val="000000"/>
          <w:sz w:val="24"/>
          <w:vertAlign w:val="subscript"/>
        </w:rPr>
        <w:t>a</w:t>
      </w:r>
      <w:r>
        <w:rPr>
          <w:rFonts w:hint="eastAsia"/>
          <w:bCs/>
          <w:color w:val="000000"/>
          <w:sz w:val="24"/>
        </w:rPr>
        <w:t>＜</w:t>
      </w:r>
      <w:r>
        <w:rPr>
          <w:bCs/>
          <w:i/>
          <w:color w:val="000000"/>
          <w:sz w:val="24"/>
        </w:rPr>
        <w:t>d</w:t>
      </w:r>
      <w:r>
        <w:rPr>
          <w:bCs/>
          <w:color w:val="000000"/>
          <w:sz w:val="24"/>
        </w:rPr>
        <w:t>＋</w:t>
      </w:r>
      <w:r>
        <w:rPr>
          <w:bCs/>
          <w:i/>
          <w:color w:val="000000"/>
          <w:sz w:val="24"/>
        </w:rPr>
        <w:t>a</w:t>
      </w:r>
      <w:r>
        <w:rPr>
          <w:bCs/>
          <w:color w:val="000000"/>
          <w:sz w:val="24"/>
        </w:rPr>
        <w:t>/tan</w:t>
      </w:r>
      <w:r>
        <w:rPr>
          <w:bCs/>
          <w:i/>
          <w:color w:val="000000"/>
          <w:sz w:val="24"/>
        </w:rPr>
        <w:t>θ</w:t>
      </w:r>
      <w:r>
        <w:rPr>
          <w:bCs/>
          <w:color w:val="000000"/>
          <w:sz w:val="24"/>
        </w:rPr>
        <w:t>或</w:t>
      </w:r>
      <w:r>
        <w:rPr>
          <w:bCs/>
          <w:i/>
          <w:color w:val="000000"/>
          <w:sz w:val="24"/>
        </w:rPr>
        <w:t>z</w:t>
      </w:r>
      <w:r>
        <w:rPr>
          <w:bCs/>
          <w:color w:val="000000"/>
          <w:sz w:val="24"/>
          <w:vertAlign w:val="subscript"/>
        </w:rPr>
        <w:t xml:space="preserve">a </w:t>
      </w:r>
      <w:r>
        <w:rPr>
          <w:rFonts w:hint="eastAsia"/>
          <w:bCs/>
          <w:color w:val="000000"/>
          <w:sz w:val="24"/>
        </w:rPr>
        <w:t>＞</w:t>
      </w:r>
      <w:r>
        <w:rPr>
          <w:bCs/>
          <w:i/>
          <w:color w:val="000000"/>
          <w:sz w:val="24"/>
        </w:rPr>
        <w:t>d</w:t>
      </w:r>
      <w:r>
        <w:rPr>
          <w:bCs/>
          <w:color w:val="000000"/>
          <w:sz w:val="24"/>
        </w:rPr>
        <w:t>＋(3</w:t>
      </w:r>
      <w:r>
        <w:rPr>
          <w:bCs/>
          <w:i/>
          <w:color w:val="000000"/>
          <w:sz w:val="24"/>
        </w:rPr>
        <w:t>a</w:t>
      </w:r>
      <w:r>
        <w:rPr>
          <w:bCs/>
          <w:color w:val="000000"/>
          <w:sz w:val="24"/>
        </w:rPr>
        <w:t>+</w:t>
      </w:r>
      <w:r>
        <w:rPr>
          <w:bCs/>
          <w:i/>
          <w:color w:val="000000"/>
          <w:sz w:val="24"/>
        </w:rPr>
        <w:t>b</w:t>
      </w:r>
      <w:r>
        <w:rPr>
          <w:bCs/>
          <w:color w:val="000000"/>
          <w:sz w:val="24"/>
        </w:rPr>
        <w:t>)/tan</w:t>
      </w:r>
      <w:r>
        <w:rPr>
          <w:bCs/>
          <w:i/>
          <w:color w:val="000000"/>
          <w:sz w:val="24"/>
        </w:rPr>
        <w:t>θ</w:t>
      </w:r>
      <w:r>
        <w:rPr>
          <w:bCs/>
          <w:color w:val="000000"/>
          <w:sz w:val="24"/>
        </w:rPr>
        <w:t>时，取</w:t>
      </w:r>
      <w:r>
        <w:rPr>
          <w:color w:val="000000"/>
          <w:sz w:val="24"/>
        </w:rPr>
        <w:t>Δ</w:t>
      </w:r>
      <w:r>
        <w:rPr>
          <w:i/>
          <w:color w:val="000000"/>
          <w:sz w:val="24"/>
        </w:rPr>
        <w:t>σ</w:t>
      </w:r>
      <w:r>
        <w:rPr>
          <w:color w:val="000000"/>
          <w:sz w:val="24"/>
          <w:vertAlign w:val="subscript"/>
        </w:rPr>
        <w:t>k</w:t>
      </w:r>
      <w:r>
        <w:rPr>
          <w:i/>
          <w:color w:val="000000"/>
          <w:sz w:val="24"/>
          <w:vertAlign w:val="subscript"/>
        </w:rPr>
        <w:t>，j</w:t>
      </w:r>
      <w:r>
        <w:rPr>
          <w:color w:val="000000"/>
          <w:sz w:val="24"/>
        </w:rPr>
        <w:t>＝0。</w:t>
      </w:r>
    </w:p>
    <w:p>
      <w:pPr>
        <w:spacing w:line="360" w:lineRule="auto"/>
        <w:jc w:val="center"/>
        <w:rPr>
          <w:color w:val="000000"/>
          <w:sz w:val="24"/>
        </w:rPr>
      </w:pPr>
      <w:r>
        <w:rPr>
          <w:color w:val="000000"/>
          <w:sz w:val="24"/>
        </w:rPr>
        <w:drawing>
          <wp:inline distT="0" distB="0" distL="0" distR="0">
            <wp:extent cx="2569210" cy="2436495"/>
            <wp:effectExtent l="0" t="0" r="2540" b="1905"/>
            <wp:docPr id="21" name="图片 21" descr="E:\G规范编制\昆明地区基坑规范编制\2019.6第二次审查修改\插图\图5.3.8 -1  条形或矩形基础作用下的土中附加竖向应力计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G规范编制\昆明地区基坑规范编制\2019.6第二次审查修改\插图\图5.3.8 -1  条形或矩形基础作用下的土中附加竖向应力计算.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569210" cy="2436495"/>
                    </a:xfrm>
                    <a:prstGeom prst="rect">
                      <a:avLst/>
                    </a:prstGeom>
                    <a:noFill/>
                    <a:ln>
                      <a:noFill/>
                    </a:ln>
                  </pic:spPr>
                </pic:pic>
              </a:graphicData>
            </a:graphic>
          </wp:inline>
        </w:drawing>
      </w:r>
    </w:p>
    <w:p>
      <w:pPr>
        <w:spacing w:line="360" w:lineRule="auto"/>
        <w:jc w:val="center"/>
        <w:rPr>
          <w:b/>
          <w:sz w:val="24"/>
        </w:rPr>
      </w:pPr>
      <w:r>
        <w:rPr>
          <w:b/>
          <w:sz w:val="24"/>
        </w:rPr>
        <w:t>图5.</w:t>
      </w:r>
      <w:r>
        <w:rPr>
          <w:rFonts w:hint="eastAsia"/>
          <w:b/>
          <w:sz w:val="24"/>
        </w:rPr>
        <w:t>3</w:t>
      </w:r>
      <w:r>
        <w:rPr>
          <w:b/>
          <w:sz w:val="24"/>
        </w:rPr>
        <w:t>.</w:t>
      </w:r>
      <w:r>
        <w:rPr>
          <w:rFonts w:hint="eastAsia"/>
          <w:b/>
          <w:sz w:val="24"/>
        </w:rPr>
        <w:t>8</w:t>
      </w:r>
      <w:r>
        <w:rPr>
          <w:b/>
          <w:sz w:val="24"/>
        </w:rPr>
        <w:t>-1  条形或矩形基础作用下的</w:t>
      </w:r>
      <w:r>
        <w:rPr>
          <w:b/>
          <w:bCs/>
          <w:sz w:val="24"/>
        </w:rPr>
        <w:t>土中</w:t>
      </w:r>
      <w:r>
        <w:rPr>
          <w:b/>
          <w:sz w:val="24"/>
        </w:rPr>
        <w:t>附加</w:t>
      </w:r>
      <w:r>
        <w:rPr>
          <w:b/>
          <w:bCs/>
          <w:sz w:val="24"/>
        </w:rPr>
        <w:t>竖向应力</w:t>
      </w:r>
      <w:r>
        <w:rPr>
          <w:b/>
          <w:sz w:val="24"/>
        </w:rPr>
        <w:t>计算</w:t>
      </w:r>
    </w:p>
    <w:p>
      <w:pPr>
        <w:spacing w:line="360" w:lineRule="auto"/>
        <w:ind w:firstLine="480" w:firstLineChars="200"/>
        <w:jc w:val="left"/>
        <w:rPr>
          <w:sz w:val="24"/>
        </w:rPr>
      </w:pPr>
      <w:r>
        <w:rPr>
          <w:bCs/>
          <w:sz w:val="24"/>
        </w:rPr>
        <w:t>3</w:t>
      </w:r>
      <w:r>
        <w:rPr>
          <w:b/>
          <w:bCs/>
          <w:sz w:val="24"/>
        </w:rPr>
        <w:t xml:space="preserve">  </w:t>
      </w:r>
      <w:r>
        <w:rPr>
          <w:sz w:val="24"/>
        </w:rPr>
        <w:t>对作用在地面的条形</w:t>
      </w:r>
      <w:r>
        <w:rPr>
          <w:bCs/>
          <w:sz w:val="24"/>
        </w:rPr>
        <w:t>、矩形附加荷载，按本条第1、2款计算</w:t>
      </w:r>
      <w:r>
        <w:rPr>
          <w:sz w:val="24"/>
        </w:rPr>
        <w:t>土中附加竖向应力标准值Δ</w:t>
      </w:r>
      <w:r>
        <w:rPr>
          <w:i/>
          <w:sz w:val="24"/>
        </w:rPr>
        <w:t>σ</w:t>
      </w:r>
      <w:r>
        <w:rPr>
          <w:sz w:val="24"/>
          <w:vertAlign w:val="subscript"/>
        </w:rPr>
        <w:t>k，</w:t>
      </w:r>
      <w:r>
        <w:rPr>
          <w:i/>
          <w:sz w:val="24"/>
          <w:vertAlign w:val="subscript"/>
        </w:rPr>
        <w:t>j</w:t>
      </w:r>
      <w:r>
        <w:rPr>
          <w:sz w:val="24"/>
        </w:rPr>
        <w:t>时，应取</w:t>
      </w:r>
      <w:r>
        <w:rPr>
          <w:i/>
          <w:sz w:val="24"/>
        </w:rPr>
        <w:t>d</w:t>
      </w:r>
      <w:r>
        <w:rPr>
          <w:sz w:val="24"/>
        </w:rPr>
        <w:t>＝0（图5.</w:t>
      </w:r>
      <w:r>
        <w:rPr>
          <w:rFonts w:hint="eastAsia"/>
          <w:sz w:val="24"/>
        </w:rPr>
        <w:t>3</w:t>
      </w:r>
      <w:r>
        <w:rPr>
          <w:sz w:val="24"/>
        </w:rPr>
        <w:t>.</w:t>
      </w:r>
      <w:r>
        <w:rPr>
          <w:rFonts w:hint="eastAsia"/>
          <w:sz w:val="24"/>
        </w:rPr>
        <w:t>8</w:t>
      </w:r>
      <w:r>
        <w:rPr>
          <w:sz w:val="24"/>
        </w:rPr>
        <w:t>-2）。</w:t>
      </w:r>
    </w:p>
    <w:p>
      <w:pPr>
        <w:spacing w:line="360" w:lineRule="auto"/>
        <w:jc w:val="center"/>
        <w:rPr>
          <w:color w:val="7030A0"/>
          <w:sz w:val="24"/>
        </w:rPr>
      </w:pPr>
      <w:r>
        <w:rPr>
          <w:color w:val="7030A0"/>
          <w:sz w:val="24"/>
        </w:rPr>
        <w:drawing>
          <wp:inline distT="0" distB="0" distL="0" distR="0">
            <wp:extent cx="2569210" cy="2880995"/>
            <wp:effectExtent l="0" t="0" r="2540" b="0"/>
            <wp:docPr id="24" name="图片 24" descr="E:\G规范编制\昆明地区基坑规范编制\2019.6第二次审查修改\插图\图5.3.8-2  地面条形或矩形附加荷载作用下的土中附加竖向应力计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G规范编制\昆明地区基坑规范编制\2019.6第二次审查修改\插图\图5.3.8-2  地面条形或矩形附加荷载作用下的土中附加竖向应力计算.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69210" cy="2880995"/>
                    </a:xfrm>
                    <a:prstGeom prst="rect">
                      <a:avLst/>
                    </a:prstGeom>
                    <a:noFill/>
                    <a:ln>
                      <a:noFill/>
                    </a:ln>
                  </pic:spPr>
                </pic:pic>
              </a:graphicData>
            </a:graphic>
          </wp:inline>
        </w:drawing>
      </w:r>
    </w:p>
    <w:p>
      <w:pPr>
        <w:spacing w:line="360" w:lineRule="auto"/>
        <w:jc w:val="center"/>
        <w:rPr>
          <w:b/>
          <w:sz w:val="24"/>
        </w:rPr>
      </w:pPr>
      <w:r>
        <w:rPr>
          <w:b/>
          <w:sz w:val="24"/>
        </w:rPr>
        <w:t>图5.</w:t>
      </w:r>
      <w:r>
        <w:rPr>
          <w:rFonts w:hint="eastAsia"/>
          <w:b/>
          <w:sz w:val="24"/>
        </w:rPr>
        <w:t>3</w:t>
      </w:r>
      <w:r>
        <w:rPr>
          <w:b/>
          <w:sz w:val="24"/>
        </w:rPr>
        <w:t>.</w:t>
      </w:r>
      <w:r>
        <w:rPr>
          <w:rFonts w:hint="eastAsia"/>
          <w:b/>
          <w:sz w:val="24"/>
        </w:rPr>
        <w:t>8</w:t>
      </w:r>
      <w:r>
        <w:rPr>
          <w:b/>
          <w:sz w:val="24"/>
        </w:rPr>
        <w:t>-2  地面条形或矩形附加荷载作用下的</w:t>
      </w:r>
      <w:r>
        <w:rPr>
          <w:b/>
          <w:bCs/>
          <w:sz w:val="24"/>
        </w:rPr>
        <w:t>土中</w:t>
      </w:r>
      <w:r>
        <w:rPr>
          <w:b/>
          <w:sz w:val="24"/>
        </w:rPr>
        <w:t>附加</w:t>
      </w:r>
      <w:r>
        <w:rPr>
          <w:b/>
          <w:bCs/>
          <w:sz w:val="24"/>
        </w:rPr>
        <w:t>竖向应力</w:t>
      </w:r>
      <w:r>
        <w:rPr>
          <w:b/>
          <w:sz w:val="24"/>
        </w:rPr>
        <w:t>计算</w:t>
      </w:r>
    </w:p>
    <w:p>
      <w:pPr>
        <w:spacing w:line="360" w:lineRule="auto"/>
        <w:jc w:val="left"/>
        <w:rPr>
          <w:b/>
          <w:sz w:val="24"/>
        </w:rPr>
      </w:pPr>
      <w:r>
        <w:rPr>
          <w:b/>
          <w:sz w:val="24"/>
        </w:rPr>
        <w:t>5.</w:t>
      </w:r>
      <w:r>
        <w:rPr>
          <w:rFonts w:hint="eastAsia"/>
          <w:b/>
          <w:sz w:val="24"/>
        </w:rPr>
        <w:t>3</w:t>
      </w:r>
      <w:r>
        <w:rPr>
          <w:b/>
          <w:sz w:val="24"/>
        </w:rPr>
        <w:t>.</w:t>
      </w:r>
      <w:r>
        <w:rPr>
          <w:rFonts w:hint="eastAsia"/>
          <w:b/>
          <w:sz w:val="24"/>
        </w:rPr>
        <w:t>9</w:t>
      </w:r>
      <w:r>
        <w:rPr>
          <w:b/>
          <w:sz w:val="24"/>
        </w:rPr>
        <w:t xml:space="preserve">  </w:t>
      </w:r>
      <w:r>
        <w:rPr>
          <w:rFonts w:hint="eastAsia"/>
          <w:sz w:val="24"/>
        </w:rPr>
        <w:t>当支护结构顶部低于地面，其上方采用放坡或土钉墙时，支护结构顶面以上土体对支护结构的作用宜按库仑土压力理论计算，也可将其视作附加荷载并按下列公式计算土中附加竖向应力标准值（图5.3.9）。</w:t>
      </w:r>
    </w:p>
    <w:p>
      <w:pPr>
        <w:spacing w:line="360" w:lineRule="auto"/>
        <w:ind w:firstLine="480" w:firstLineChars="200"/>
        <w:jc w:val="left"/>
        <w:rPr>
          <w:sz w:val="24"/>
        </w:rPr>
      </w:pPr>
      <w:r>
        <w:rPr>
          <w:sz w:val="24"/>
        </w:rPr>
        <w:t>1</w:t>
      </w:r>
      <w:r>
        <w:rPr>
          <w:rFonts w:hint="eastAsia"/>
          <w:sz w:val="24"/>
        </w:rPr>
        <w:t xml:space="preserve">  当</w:t>
      </w:r>
      <w:r>
        <w:rPr>
          <w:i/>
          <w:sz w:val="24"/>
        </w:rPr>
        <w:t>a</w:t>
      </w:r>
      <w:r>
        <w:rPr>
          <w:rFonts w:hint="eastAsia"/>
          <w:sz w:val="24"/>
        </w:rPr>
        <w:t>/</w:t>
      </w:r>
      <w:r>
        <w:rPr>
          <w:rFonts w:hint="eastAsia"/>
          <w:i/>
          <w:sz w:val="24"/>
        </w:rPr>
        <w:t>tan</w:t>
      </w:r>
      <w:r>
        <w:rPr>
          <w:bCs/>
          <w:i/>
          <w:sz w:val="24"/>
        </w:rPr>
        <w:t>θ</w:t>
      </w:r>
      <w:r>
        <w:rPr>
          <w:rFonts w:hint="eastAsia"/>
          <w:bCs/>
          <w:sz w:val="24"/>
        </w:rPr>
        <w:t>≤</w:t>
      </w:r>
      <w:r>
        <w:rPr>
          <w:bCs/>
          <w:i/>
          <w:sz w:val="24"/>
        </w:rPr>
        <w:t>z</w:t>
      </w:r>
      <w:r>
        <w:rPr>
          <w:bCs/>
          <w:sz w:val="24"/>
          <w:vertAlign w:val="subscript"/>
        </w:rPr>
        <w:t>a</w:t>
      </w:r>
      <w:r>
        <w:rPr>
          <w:rFonts w:hint="eastAsia"/>
          <w:bCs/>
          <w:sz w:val="24"/>
        </w:rPr>
        <w:t>≤（</w:t>
      </w:r>
      <w:r>
        <w:rPr>
          <w:i/>
          <w:sz w:val="24"/>
        </w:rPr>
        <w:t>a</w:t>
      </w:r>
      <w:r>
        <w:rPr>
          <w:rFonts w:hint="eastAsia"/>
          <w:i/>
          <w:sz w:val="24"/>
        </w:rPr>
        <w:t>+b</w:t>
      </w:r>
      <w:r>
        <w:rPr>
          <w:rFonts w:hint="eastAsia"/>
          <w:sz w:val="24"/>
          <w:vertAlign w:val="subscript"/>
        </w:rPr>
        <w:t>1</w:t>
      </w:r>
      <w:r>
        <w:rPr>
          <w:rFonts w:hint="eastAsia"/>
          <w:sz w:val="24"/>
        </w:rPr>
        <w:t>）/</w:t>
      </w:r>
      <w:r>
        <w:rPr>
          <w:rFonts w:hint="eastAsia"/>
          <w:i/>
          <w:sz w:val="24"/>
        </w:rPr>
        <w:t>tan</w:t>
      </w:r>
      <w:r>
        <w:rPr>
          <w:bCs/>
          <w:i/>
          <w:sz w:val="24"/>
        </w:rPr>
        <w:t>θ</w:t>
      </w:r>
      <w:r>
        <w:rPr>
          <w:sz w:val="24"/>
        </w:rPr>
        <w:t>时</w:t>
      </w:r>
    </w:p>
    <w:p>
      <w:pPr>
        <w:spacing w:line="360" w:lineRule="auto"/>
        <w:ind w:firstLine="480" w:firstLineChars="200"/>
        <w:jc w:val="right"/>
        <w:rPr>
          <w:sz w:val="24"/>
        </w:rPr>
      </w:pPr>
      <w:r>
        <w:rPr>
          <w:color w:val="000000"/>
          <w:position w:val="-30"/>
          <w:sz w:val="24"/>
        </w:rPr>
        <w:object>
          <v:shape id="_x0000_i1052" o:spt="75" type="#_x0000_t75" style="height:34.45pt;width:179.6pt;" o:ole="t" filled="f" coordsize="21600,21600">
            <v:path/>
            <v:fill on="f" focussize="0,0"/>
            <v:stroke/>
            <v:imagedata r:id="rId74" o:title=""/>
            <o:lock v:ext="edit" aspectratio="t"/>
            <w10:wrap type="none"/>
            <w10:anchorlock/>
          </v:shape>
          <o:OLEObject Type="Embed" ProgID="Equation.DSMT4" ShapeID="_x0000_i1052" DrawAspect="Content" ObjectID="_1468075752" r:id="rId73">
            <o:LockedField>false</o:LockedField>
          </o:OLEObject>
        </w:object>
      </w:r>
      <w:r>
        <w:rPr>
          <w:rFonts w:hint="eastAsia"/>
          <w:sz w:val="32"/>
          <w:szCs w:val="32"/>
        </w:rPr>
        <w:t xml:space="preserve"> </w:t>
      </w:r>
      <w:r>
        <w:rPr>
          <w:rFonts w:hint="eastAsia"/>
          <w:sz w:val="24"/>
        </w:rPr>
        <w:t xml:space="preserve">          </w:t>
      </w:r>
      <w:r>
        <w:rPr>
          <w:sz w:val="24"/>
        </w:rPr>
        <w:t>（5.</w:t>
      </w:r>
      <w:r>
        <w:rPr>
          <w:rFonts w:hint="eastAsia"/>
          <w:sz w:val="24"/>
        </w:rPr>
        <w:t>3</w:t>
      </w:r>
      <w:r>
        <w:rPr>
          <w:sz w:val="24"/>
        </w:rPr>
        <w:t>.</w:t>
      </w:r>
      <w:r>
        <w:rPr>
          <w:rFonts w:hint="eastAsia"/>
          <w:sz w:val="24"/>
        </w:rPr>
        <w:t>9</w:t>
      </w:r>
      <w:r>
        <w:rPr>
          <w:sz w:val="24"/>
        </w:rPr>
        <w:t>-</w:t>
      </w:r>
      <w:r>
        <w:rPr>
          <w:rFonts w:hint="eastAsia"/>
          <w:sz w:val="24"/>
        </w:rPr>
        <w:t>1</w:t>
      </w:r>
      <w:r>
        <w:rPr>
          <w:sz w:val="24"/>
        </w:rPr>
        <w:t>）</w:t>
      </w:r>
    </w:p>
    <w:p>
      <w:pPr>
        <w:wordWrap w:val="0"/>
        <w:spacing w:line="360" w:lineRule="auto"/>
        <w:ind w:firstLine="480" w:firstLineChars="200"/>
        <w:jc w:val="right"/>
        <w:rPr>
          <w:sz w:val="24"/>
        </w:rPr>
      </w:pPr>
      <w:r>
        <w:rPr>
          <w:color w:val="000000"/>
          <w:position w:val="-28"/>
          <w:sz w:val="24"/>
        </w:rPr>
        <w:object>
          <v:shape id="_x0000_i1053" o:spt="75" type="#_x0000_t75" style="height:37.55pt;width:158.55pt;" o:ole="t" filled="f" coordsize="21600,21600">
            <v:path/>
            <v:fill on="f" focussize="0,0"/>
            <v:stroke/>
            <v:imagedata r:id="rId76" o:title=""/>
            <o:lock v:ext="edit" aspectratio="t"/>
            <w10:wrap type="none"/>
            <w10:anchorlock/>
          </v:shape>
          <o:OLEObject Type="Embed" ProgID="Equation.DSMT4" ShapeID="_x0000_i1053" DrawAspect="Content" ObjectID="_1468075753" r:id="rId75">
            <o:LockedField>false</o:LockedField>
          </o:OLEObject>
        </w:object>
      </w:r>
      <w:r>
        <w:rPr>
          <w:rFonts w:hint="eastAsia"/>
          <w:sz w:val="32"/>
          <w:szCs w:val="32"/>
        </w:rPr>
        <w:t xml:space="preserve">         </w:t>
      </w:r>
      <w:r>
        <w:rPr>
          <w:sz w:val="24"/>
        </w:rPr>
        <w:t>（5.</w:t>
      </w:r>
      <w:r>
        <w:rPr>
          <w:rFonts w:hint="eastAsia"/>
          <w:sz w:val="24"/>
        </w:rPr>
        <w:t>3</w:t>
      </w:r>
      <w:r>
        <w:rPr>
          <w:sz w:val="24"/>
        </w:rPr>
        <w:t>.</w:t>
      </w:r>
      <w:r>
        <w:rPr>
          <w:rFonts w:hint="eastAsia"/>
          <w:sz w:val="24"/>
        </w:rPr>
        <w:t>9</w:t>
      </w:r>
      <w:r>
        <w:rPr>
          <w:sz w:val="24"/>
        </w:rPr>
        <w:t>-</w:t>
      </w:r>
      <w:r>
        <w:rPr>
          <w:rFonts w:hint="eastAsia"/>
          <w:sz w:val="24"/>
        </w:rPr>
        <w:t>2</w:t>
      </w:r>
      <w:r>
        <w:rPr>
          <w:sz w:val="24"/>
        </w:rPr>
        <w:t>）</w:t>
      </w:r>
    </w:p>
    <w:p>
      <w:pPr>
        <w:spacing w:line="360" w:lineRule="auto"/>
        <w:ind w:firstLine="480" w:firstLineChars="200"/>
        <w:jc w:val="left"/>
        <w:rPr>
          <w:sz w:val="24"/>
        </w:rPr>
      </w:pPr>
      <w:r>
        <w:rPr>
          <w:rFonts w:hint="eastAsia"/>
          <w:sz w:val="24"/>
        </w:rPr>
        <w:t>2  当</w:t>
      </w:r>
      <w:r>
        <w:rPr>
          <w:bCs/>
          <w:i/>
          <w:sz w:val="24"/>
        </w:rPr>
        <w:t>z</w:t>
      </w:r>
      <w:r>
        <w:rPr>
          <w:bCs/>
          <w:sz w:val="24"/>
          <w:vertAlign w:val="subscript"/>
        </w:rPr>
        <w:t>a</w:t>
      </w:r>
      <w:r>
        <w:rPr>
          <w:rFonts w:hint="eastAsia"/>
          <w:bCs/>
          <w:sz w:val="24"/>
        </w:rPr>
        <w:t>＞（</w:t>
      </w:r>
      <w:r>
        <w:rPr>
          <w:i/>
          <w:sz w:val="24"/>
        </w:rPr>
        <w:t>a</w:t>
      </w:r>
      <w:r>
        <w:rPr>
          <w:rFonts w:hint="eastAsia"/>
          <w:i/>
          <w:sz w:val="24"/>
        </w:rPr>
        <w:t>+b</w:t>
      </w:r>
      <w:r>
        <w:rPr>
          <w:rFonts w:hint="eastAsia"/>
          <w:sz w:val="24"/>
          <w:vertAlign w:val="subscript"/>
        </w:rPr>
        <w:t>1</w:t>
      </w:r>
      <w:r>
        <w:rPr>
          <w:rFonts w:hint="eastAsia"/>
          <w:sz w:val="24"/>
        </w:rPr>
        <w:t>）/</w:t>
      </w:r>
      <w:r>
        <w:rPr>
          <w:rFonts w:hint="eastAsia"/>
          <w:i/>
          <w:sz w:val="24"/>
        </w:rPr>
        <w:t>tan</w:t>
      </w:r>
      <w:r>
        <w:rPr>
          <w:bCs/>
          <w:i/>
          <w:sz w:val="24"/>
        </w:rPr>
        <w:t>θ</w:t>
      </w:r>
      <w:r>
        <w:rPr>
          <w:sz w:val="24"/>
        </w:rPr>
        <w:t>时</w:t>
      </w:r>
    </w:p>
    <w:p>
      <w:pPr>
        <w:wordWrap w:val="0"/>
        <w:spacing w:line="360" w:lineRule="auto"/>
        <w:ind w:firstLine="480" w:firstLineChars="200"/>
        <w:jc w:val="right"/>
        <w:rPr>
          <w:sz w:val="24"/>
        </w:rPr>
      </w:pPr>
      <w:r>
        <w:rPr>
          <w:color w:val="000000"/>
          <w:position w:val="-12"/>
          <w:sz w:val="24"/>
        </w:rPr>
        <w:object>
          <v:shape id="_x0000_i1054" o:spt="75" type="#_x0000_t75" style="height:19.15pt;width:50.95pt;" o:ole="t" filled="f" coordsize="21600,21600">
            <v:path/>
            <v:fill on="f" focussize="0,0"/>
            <v:stroke/>
            <v:imagedata r:id="rId78" o:title=""/>
            <o:lock v:ext="edit" aspectratio="t"/>
            <w10:wrap type="none"/>
            <w10:anchorlock/>
          </v:shape>
          <o:OLEObject Type="Embed" ProgID="Equation.DSMT4" ShapeID="_x0000_i1054" DrawAspect="Content" ObjectID="_1468075754" r:id="rId77">
            <o:LockedField>false</o:LockedField>
          </o:OLEObject>
        </w:object>
      </w:r>
      <w:r>
        <w:rPr>
          <w:rFonts w:hint="eastAsia"/>
          <w:sz w:val="32"/>
          <w:szCs w:val="32"/>
        </w:rPr>
        <w:t xml:space="preserve"> </w:t>
      </w:r>
      <w:r>
        <w:rPr>
          <w:rFonts w:hint="eastAsia"/>
          <w:sz w:val="24"/>
        </w:rPr>
        <w:t xml:space="preserve">                  </w:t>
      </w:r>
      <w:r>
        <w:rPr>
          <w:sz w:val="24"/>
        </w:rPr>
        <w:t>（5.</w:t>
      </w:r>
      <w:r>
        <w:rPr>
          <w:rFonts w:hint="eastAsia"/>
          <w:sz w:val="24"/>
        </w:rPr>
        <w:t>3</w:t>
      </w:r>
      <w:r>
        <w:rPr>
          <w:sz w:val="24"/>
        </w:rPr>
        <w:t>.</w:t>
      </w:r>
      <w:r>
        <w:rPr>
          <w:rFonts w:hint="eastAsia"/>
          <w:sz w:val="24"/>
        </w:rPr>
        <w:t>9</w:t>
      </w:r>
      <w:r>
        <w:rPr>
          <w:sz w:val="24"/>
        </w:rPr>
        <w:t>-</w:t>
      </w:r>
      <w:r>
        <w:rPr>
          <w:rFonts w:hint="eastAsia"/>
          <w:sz w:val="24"/>
        </w:rPr>
        <w:t>3</w:t>
      </w:r>
      <w:r>
        <w:rPr>
          <w:sz w:val="24"/>
        </w:rPr>
        <w:t>）</w:t>
      </w:r>
    </w:p>
    <w:p>
      <w:pPr>
        <w:spacing w:line="360" w:lineRule="auto"/>
        <w:ind w:firstLine="480" w:firstLineChars="200"/>
        <w:jc w:val="left"/>
        <w:rPr>
          <w:sz w:val="24"/>
        </w:rPr>
      </w:pPr>
      <w:r>
        <w:rPr>
          <w:rFonts w:hint="eastAsia"/>
          <w:sz w:val="24"/>
        </w:rPr>
        <w:t>3  当</w:t>
      </w:r>
      <w:r>
        <w:rPr>
          <w:bCs/>
          <w:i/>
          <w:sz w:val="24"/>
        </w:rPr>
        <w:t>z</w:t>
      </w:r>
      <w:r>
        <w:rPr>
          <w:bCs/>
          <w:sz w:val="24"/>
          <w:vertAlign w:val="subscript"/>
        </w:rPr>
        <w:t>a</w:t>
      </w:r>
      <w:r>
        <w:rPr>
          <w:rFonts w:hint="eastAsia"/>
          <w:bCs/>
          <w:sz w:val="24"/>
        </w:rPr>
        <w:t>＜</w:t>
      </w:r>
      <w:r>
        <w:rPr>
          <w:i/>
          <w:sz w:val="24"/>
        </w:rPr>
        <w:t>a</w:t>
      </w:r>
      <w:r>
        <w:rPr>
          <w:rFonts w:hint="eastAsia"/>
          <w:sz w:val="24"/>
        </w:rPr>
        <w:t>/</w:t>
      </w:r>
      <w:r>
        <w:rPr>
          <w:rFonts w:hint="eastAsia"/>
          <w:i/>
          <w:sz w:val="24"/>
        </w:rPr>
        <w:t>tan</w:t>
      </w:r>
      <w:r>
        <w:rPr>
          <w:bCs/>
          <w:i/>
          <w:sz w:val="24"/>
        </w:rPr>
        <w:t>θ</w:t>
      </w:r>
      <w:r>
        <w:rPr>
          <w:sz w:val="24"/>
        </w:rPr>
        <w:t>时</w:t>
      </w:r>
    </w:p>
    <w:p>
      <w:pPr>
        <w:wordWrap w:val="0"/>
        <w:spacing w:line="360" w:lineRule="auto"/>
        <w:ind w:firstLine="480" w:firstLineChars="200"/>
        <w:jc w:val="right"/>
        <w:rPr>
          <w:sz w:val="24"/>
        </w:rPr>
      </w:pPr>
      <w:r>
        <w:rPr>
          <w:color w:val="000000"/>
          <w:position w:val="-12"/>
          <w:sz w:val="24"/>
        </w:rPr>
        <w:object>
          <v:shape id="_x0000_i1055" o:spt="75" type="#_x0000_t75" style="height:19.15pt;width:42.9pt;" o:ole="t" filled="f" coordsize="21600,21600">
            <v:path/>
            <v:fill on="f" focussize="0,0"/>
            <v:stroke/>
            <v:imagedata r:id="rId80" o:title=""/>
            <o:lock v:ext="edit" aspectratio="t"/>
            <w10:wrap type="none"/>
            <w10:anchorlock/>
          </v:shape>
          <o:OLEObject Type="Embed" ProgID="Equation.DSMT4" ShapeID="_x0000_i1055" DrawAspect="Content" ObjectID="_1468075755" r:id="rId79">
            <o:LockedField>false</o:LockedField>
          </o:OLEObject>
        </w:object>
      </w:r>
      <w:r>
        <w:rPr>
          <w:rFonts w:hint="eastAsia"/>
          <w:sz w:val="32"/>
          <w:szCs w:val="32"/>
        </w:rPr>
        <w:t xml:space="preserve"> </w:t>
      </w:r>
      <w:r>
        <w:rPr>
          <w:rFonts w:hint="eastAsia"/>
          <w:sz w:val="24"/>
        </w:rPr>
        <w:t xml:space="preserve">                  </w:t>
      </w:r>
      <w:r>
        <w:rPr>
          <w:sz w:val="24"/>
        </w:rPr>
        <w:t>（5.</w:t>
      </w:r>
      <w:r>
        <w:rPr>
          <w:rFonts w:hint="eastAsia"/>
          <w:sz w:val="24"/>
        </w:rPr>
        <w:t>3</w:t>
      </w:r>
      <w:r>
        <w:rPr>
          <w:sz w:val="24"/>
        </w:rPr>
        <w:t>.</w:t>
      </w:r>
      <w:r>
        <w:rPr>
          <w:rFonts w:hint="eastAsia"/>
          <w:sz w:val="24"/>
        </w:rPr>
        <w:t>9</w:t>
      </w:r>
      <w:r>
        <w:rPr>
          <w:sz w:val="24"/>
        </w:rPr>
        <w:t>-</w:t>
      </w:r>
      <w:r>
        <w:rPr>
          <w:rFonts w:hint="eastAsia"/>
          <w:sz w:val="24"/>
        </w:rPr>
        <w:t>4</w:t>
      </w:r>
      <w:r>
        <w:rPr>
          <w:sz w:val="24"/>
        </w:rPr>
        <w:t>）</w:t>
      </w:r>
    </w:p>
    <w:p>
      <w:pPr>
        <w:spacing w:line="360" w:lineRule="auto"/>
        <w:jc w:val="left"/>
        <w:rPr>
          <w:color w:val="000000"/>
          <w:sz w:val="24"/>
        </w:rPr>
      </w:pPr>
      <w:r>
        <w:rPr>
          <w:color w:val="000000"/>
          <w:sz w:val="24"/>
        </w:rPr>
        <w:t>式中：</w:t>
      </w:r>
      <w:r>
        <w:rPr>
          <w:i/>
          <w:color w:val="000000"/>
          <w:sz w:val="24"/>
        </w:rPr>
        <w:t>z</w:t>
      </w:r>
      <w:r>
        <w:rPr>
          <w:color w:val="000000"/>
          <w:sz w:val="24"/>
          <w:vertAlign w:val="subscript"/>
        </w:rPr>
        <w:t>a</w:t>
      </w:r>
      <w:r>
        <w:rPr>
          <w:color w:val="000000"/>
          <w:sz w:val="24"/>
        </w:rPr>
        <w:t xml:space="preserve">—支护结构顶面至土中附加竖向应力计算点的竖向距离 (m) </w:t>
      </w:r>
      <w:r>
        <w:rPr>
          <w:rFonts w:hint="eastAsia"/>
          <w:color w:val="000000"/>
          <w:sz w:val="24"/>
        </w:rPr>
        <w:t>；</w:t>
      </w:r>
    </w:p>
    <w:p>
      <w:pPr>
        <w:spacing w:line="360" w:lineRule="auto"/>
        <w:ind w:left="1215" w:leftChars="350" w:hanging="480" w:hangingChars="200"/>
        <w:jc w:val="left"/>
        <w:rPr>
          <w:color w:val="000000"/>
          <w:sz w:val="24"/>
        </w:rPr>
      </w:pPr>
      <w:r>
        <w:rPr>
          <w:i/>
          <w:color w:val="000000"/>
          <w:sz w:val="24"/>
        </w:rPr>
        <w:t>a—</w:t>
      </w:r>
      <w:r>
        <w:rPr>
          <w:color w:val="000000"/>
          <w:sz w:val="24"/>
        </w:rPr>
        <w:t>支护结构外边缘至</w:t>
      </w:r>
      <w:r>
        <w:rPr>
          <w:rFonts w:hint="eastAsia"/>
          <w:bCs/>
          <w:color w:val="000000"/>
          <w:sz w:val="24"/>
        </w:rPr>
        <w:t>放坡坡脚</w:t>
      </w:r>
      <w:r>
        <w:rPr>
          <w:bCs/>
          <w:color w:val="000000"/>
          <w:sz w:val="24"/>
        </w:rPr>
        <w:t>的水平距离</w:t>
      </w:r>
      <w:r>
        <w:rPr>
          <w:color w:val="000000"/>
          <w:sz w:val="24"/>
        </w:rPr>
        <w:t>(m)；</w:t>
      </w:r>
    </w:p>
    <w:p>
      <w:pPr>
        <w:spacing w:line="360" w:lineRule="auto"/>
        <w:ind w:left="1215" w:leftChars="350" w:hanging="480" w:hangingChars="200"/>
        <w:jc w:val="left"/>
        <w:rPr>
          <w:color w:val="000000"/>
          <w:sz w:val="24"/>
        </w:rPr>
      </w:pPr>
      <w:r>
        <w:rPr>
          <w:i/>
          <w:color w:val="000000"/>
          <w:sz w:val="24"/>
        </w:rPr>
        <w:t>b</w:t>
      </w:r>
      <w:r>
        <w:rPr>
          <w:rFonts w:hint="eastAsia"/>
          <w:color w:val="000000"/>
          <w:sz w:val="24"/>
          <w:vertAlign w:val="subscript"/>
        </w:rPr>
        <w:t>1</w:t>
      </w:r>
      <w:r>
        <w:rPr>
          <w:color w:val="000000"/>
          <w:sz w:val="24"/>
        </w:rPr>
        <w:t>—</w:t>
      </w:r>
      <w:r>
        <w:rPr>
          <w:rFonts w:hint="eastAsia"/>
          <w:bCs/>
          <w:color w:val="000000"/>
          <w:sz w:val="24"/>
        </w:rPr>
        <w:t>放坡坡面的水平尺寸</w:t>
      </w:r>
      <w:r>
        <w:rPr>
          <w:color w:val="000000"/>
          <w:sz w:val="24"/>
        </w:rPr>
        <w:t>(m)；</w:t>
      </w:r>
    </w:p>
    <w:p>
      <w:pPr>
        <w:spacing w:line="360" w:lineRule="auto"/>
        <w:ind w:left="1215" w:leftChars="350" w:hanging="480" w:hangingChars="200"/>
        <w:jc w:val="left"/>
        <w:rPr>
          <w:i/>
          <w:iCs/>
          <w:color w:val="000000"/>
          <w:sz w:val="24"/>
        </w:rPr>
      </w:pPr>
      <w:r>
        <w:rPr>
          <w:bCs/>
          <w:i/>
          <w:color w:val="000000"/>
          <w:sz w:val="24"/>
        </w:rPr>
        <w:t>θ</w:t>
      </w:r>
      <w:r>
        <w:rPr>
          <w:color w:val="000000"/>
          <w:sz w:val="24"/>
        </w:rPr>
        <w:t>—扩散角(°)，宜取</w:t>
      </w:r>
      <w:r>
        <w:rPr>
          <w:bCs/>
          <w:i/>
          <w:color w:val="000000"/>
          <w:sz w:val="24"/>
        </w:rPr>
        <w:t>θ</w:t>
      </w:r>
      <w:r>
        <w:rPr>
          <w:bCs/>
          <w:color w:val="000000"/>
          <w:sz w:val="24"/>
        </w:rPr>
        <w:t>＝45</w:t>
      </w:r>
      <w:r>
        <w:rPr>
          <w:color w:val="000000"/>
          <w:sz w:val="24"/>
        </w:rPr>
        <w:t>°</w:t>
      </w:r>
    </w:p>
    <w:p>
      <w:pPr>
        <w:spacing w:line="360" w:lineRule="auto"/>
        <w:ind w:left="1215" w:leftChars="350" w:hanging="480" w:hangingChars="200"/>
        <w:jc w:val="left"/>
        <w:rPr>
          <w:color w:val="000000"/>
          <w:sz w:val="24"/>
        </w:rPr>
      </w:pPr>
      <w:r>
        <w:rPr>
          <w:rFonts w:hint="eastAsia"/>
          <w:i/>
          <w:color w:val="000000"/>
          <w:sz w:val="24"/>
        </w:rPr>
        <w:t>h</w:t>
      </w:r>
      <w:r>
        <w:rPr>
          <w:rFonts w:hint="eastAsia"/>
          <w:color w:val="000000"/>
          <w:sz w:val="24"/>
          <w:vertAlign w:val="subscript"/>
        </w:rPr>
        <w:t>1</w:t>
      </w:r>
      <w:r>
        <w:rPr>
          <w:color w:val="000000"/>
          <w:sz w:val="24"/>
        </w:rPr>
        <w:t>—</w:t>
      </w:r>
      <w:r>
        <w:rPr>
          <w:rFonts w:hint="eastAsia"/>
          <w:color w:val="000000"/>
          <w:sz w:val="24"/>
        </w:rPr>
        <w:t>地面至支护结构顶部的竖向距离</w:t>
      </w:r>
      <w:r>
        <w:rPr>
          <w:color w:val="000000"/>
          <w:sz w:val="24"/>
        </w:rPr>
        <w:t xml:space="preserve"> (m)；</w:t>
      </w:r>
    </w:p>
    <w:p>
      <w:pPr>
        <w:spacing w:line="360" w:lineRule="auto"/>
        <w:ind w:left="1215" w:leftChars="350" w:hanging="480" w:hangingChars="200"/>
        <w:jc w:val="left"/>
        <w:rPr>
          <w:color w:val="000000"/>
          <w:sz w:val="24"/>
        </w:rPr>
      </w:pPr>
      <w:r>
        <w:rPr>
          <w:rFonts w:hint="eastAsia"/>
          <w:i/>
          <w:iCs/>
          <w:color w:val="000000"/>
          <w:sz w:val="24"/>
        </w:rPr>
        <w:t>γ</w:t>
      </w:r>
      <w:r>
        <w:rPr>
          <w:color w:val="000000"/>
          <w:sz w:val="24"/>
        </w:rPr>
        <w:t>—</w:t>
      </w:r>
      <w:r>
        <w:rPr>
          <w:rFonts w:hint="eastAsia"/>
          <w:bCs/>
          <w:color w:val="000000"/>
          <w:sz w:val="24"/>
        </w:rPr>
        <w:t>支护结构顶面以上土的天然重度(kN/m</w:t>
      </w:r>
      <w:r>
        <w:rPr>
          <w:rFonts w:hint="eastAsia"/>
          <w:bCs/>
          <w:color w:val="000000"/>
          <w:sz w:val="24"/>
          <w:vertAlign w:val="superscript"/>
        </w:rPr>
        <w:t>3</w:t>
      </w:r>
      <w:r>
        <w:rPr>
          <w:rFonts w:hint="eastAsia"/>
          <w:bCs/>
          <w:color w:val="000000"/>
          <w:sz w:val="24"/>
        </w:rPr>
        <w:t>)；对多层土取各层土按厚度加权的平均值</w:t>
      </w:r>
      <w:r>
        <w:rPr>
          <w:bCs/>
          <w:color w:val="000000"/>
          <w:sz w:val="24"/>
        </w:rPr>
        <w:t>；</w:t>
      </w:r>
    </w:p>
    <w:p>
      <w:pPr>
        <w:spacing w:line="360" w:lineRule="auto"/>
        <w:ind w:left="1215" w:leftChars="350" w:hanging="480" w:hangingChars="200"/>
        <w:jc w:val="left"/>
        <w:rPr>
          <w:color w:val="000000"/>
          <w:sz w:val="24"/>
        </w:rPr>
      </w:pPr>
      <w:r>
        <w:rPr>
          <w:rFonts w:hint="eastAsia"/>
          <w:i/>
          <w:color w:val="000000"/>
          <w:sz w:val="24"/>
        </w:rPr>
        <w:t>c</w:t>
      </w:r>
      <w:r>
        <w:rPr>
          <w:i/>
          <w:color w:val="000000"/>
          <w:sz w:val="24"/>
        </w:rPr>
        <w:t>—</w:t>
      </w:r>
      <w:r>
        <w:rPr>
          <w:rFonts w:hint="eastAsia"/>
          <w:color w:val="000000"/>
          <w:sz w:val="24"/>
        </w:rPr>
        <w:t>支护结构顶面以上土的黏聚力</w:t>
      </w:r>
      <w:r>
        <w:rPr>
          <w:color w:val="000000"/>
          <w:sz w:val="24"/>
        </w:rPr>
        <w:t>(</w:t>
      </w:r>
      <w:r>
        <w:rPr>
          <w:rFonts w:hint="eastAsia"/>
          <w:color w:val="000000"/>
          <w:sz w:val="24"/>
        </w:rPr>
        <w:t>kPa</w:t>
      </w:r>
      <w:r>
        <w:rPr>
          <w:color w:val="000000"/>
          <w:sz w:val="24"/>
        </w:rPr>
        <w:t>)；</w:t>
      </w:r>
    </w:p>
    <w:p>
      <w:pPr>
        <w:spacing w:line="360" w:lineRule="auto"/>
        <w:ind w:left="1215" w:leftChars="350" w:hanging="480" w:hangingChars="200"/>
        <w:jc w:val="left"/>
        <w:rPr>
          <w:color w:val="000000"/>
          <w:sz w:val="24"/>
        </w:rPr>
      </w:pPr>
      <w:r>
        <w:rPr>
          <w:rFonts w:hint="eastAsia"/>
          <w:i/>
          <w:color w:val="000000"/>
          <w:sz w:val="24"/>
        </w:rPr>
        <w:t>K</w:t>
      </w:r>
      <w:r>
        <w:rPr>
          <w:rFonts w:hint="eastAsia"/>
          <w:color w:val="000000"/>
          <w:sz w:val="24"/>
          <w:vertAlign w:val="subscript"/>
        </w:rPr>
        <w:t>a</w:t>
      </w:r>
      <w:r>
        <w:rPr>
          <w:i/>
          <w:color w:val="000000"/>
          <w:sz w:val="24"/>
        </w:rPr>
        <w:t>—</w:t>
      </w:r>
      <w:r>
        <w:rPr>
          <w:rFonts w:hint="eastAsia"/>
          <w:color w:val="000000"/>
          <w:sz w:val="24"/>
        </w:rPr>
        <w:t>支护结构顶面以上土的主动土压力系数；对多层土取各层土按厚度加权的平均值</w:t>
      </w:r>
      <w:r>
        <w:rPr>
          <w:color w:val="000000"/>
          <w:sz w:val="24"/>
        </w:rPr>
        <w:t>；</w:t>
      </w:r>
    </w:p>
    <w:p>
      <w:pPr>
        <w:spacing w:line="360" w:lineRule="auto"/>
        <w:ind w:left="1215" w:leftChars="350" w:hanging="480" w:hangingChars="200"/>
        <w:jc w:val="left"/>
        <w:rPr>
          <w:color w:val="FF0000"/>
          <w:sz w:val="24"/>
        </w:rPr>
      </w:pPr>
      <w:r>
        <w:rPr>
          <w:rFonts w:hint="eastAsia"/>
          <w:i/>
          <w:color w:val="000000"/>
          <w:sz w:val="24"/>
        </w:rPr>
        <w:t>E</w:t>
      </w:r>
      <w:r>
        <w:rPr>
          <w:rFonts w:hint="eastAsia"/>
          <w:color w:val="000000"/>
          <w:sz w:val="24"/>
          <w:vertAlign w:val="subscript"/>
        </w:rPr>
        <w:t>ak1</w:t>
      </w:r>
      <w:r>
        <w:rPr>
          <w:i/>
          <w:color w:val="000000"/>
          <w:sz w:val="24"/>
        </w:rPr>
        <w:t>—</w:t>
      </w:r>
      <w:r>
        <w:rPr>
          <w:rFonts w:hint="eastAsia"/>
          <w:color w:val="000000"/>
          <w:sz w:val="24"/>
        </w:rPr>
        <w:t>支护结构顶面以上土体的自重所产生的单位宽度主动土压力标准值</w:t>
      </w:r>
      <w:r>
        <w:rPr>
          <w:color w:val="000000"/>
          <w:sz w:val="24"/>
        </w:rPr>
        <w:t xml:space="preserve"> (</w:t>
      </w:r>
      <w:r>
        <w:rPr>
          <w:rFonts w:hint="eastAsia"/>
          <w:color w:val="000000"/>
          <w:sz w:val="24"/>
        </w:rPr>
        <w:t>kN/m</w:t>
      </w:r>
      <w:r>
        <w:rPr>
          <w:color w:val="000000"/>
          <w:sz w:val="24"/>
        </w:rPr>
        <w:t>)</w:t>
      </w:r>
      <w:r>
        <w:rPr>
          <w:rFonts w:hint="eastAsia"/>
          <w:color w:val="000000"/>
          <w:sz w:val="24"/>
        </w:rPr>
        <w:t>。</w:t>
      </w:r>
    </w:p>
    <w:p>
      <w:pPr>
        <w:spacing w:line="360" w:lineRule="auto"/>
        <w:jc w:val="center"/>
        <w:rPr>
          <w:color w:val="FF0000"/>
          <w:sz w:val="24"/>
        </w:rPr>
      </w:pPr>
      <w:r>
        <w:rPr>
          <w:color w:val="FF0000"/>
          <w:sz w:val="24"/>
        </w:rPr>
        <w:drawing>
          <wp:inline distT="0" distB="0" distL="0" distR="0">
            <wp:extent cx="2441575" cy="3131185"/>
            <wp:effectExtent l="0" t="0" r="0" b="0"/>
            <wp:docPr id="25" name="图片 25" descr="E:\G规范编制\昆明地区基坑规范编制\2019.6第二次审查修改\插图\图5.3.9  支护结构顶部以上采用放坡或土钉墙时土中附加竖向应力计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G规范编制\昆明地区基坑规范编制\2019.6第二次审查修改\插图\图5.3.9  支护结构顶部以上采用放坡或土钉墙时土中附加竖向应力计算.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441575" cy="3131185"/>
                    </a:xfrm>
                    <a:prstGeom prst="rect">
                      <a:avLst/>
                    </a:prstGeom>
                    <a:noFill/>
                    <a:ln>
                      <a:noFill/>
                    </a:ln>
                  </pic:spPr>
                </pic:pic>
              </a:graphicData>
            </a:graphic>
          </wp:inline>
        </w:drawing>
      </w:r>
    </w:p>
    <w:p>
      <w:pPr>
        <w:spacing w:line="360" w:lineRule="auto"/>
        <w:jc w:val="center"/>
        <w:rPr>
          <w:b/>
          <w:sz w:val="24"/>
        </w:rPr>
      </w:pPr>
      <w:r>
        <w:rPr>
          <w:b/>
          <w:sz w:val="24"/>
        </w:rPr>
        <w:t>图5.</w:t>
      </w:r>
      <w:r>
        <w:rPr>
          <w:rFonts w:hint="eastAsia"/>
          <w:b/>
          <w:sz w:val="24"/>
        </w:rPr>
        <w:t>3</w:t>
      </w:r>
      <w:r>
        <w:rPr>
          <w:b/>
          <w:sz w:val="24"/>
        </w:rPr>
        <w:t>.</w:t>
      </w:r>
      <w:r>
        <w:rPr>
          <w:rFonts w:hint="eastAsia"/>
          <w:b/>
          <w:sz w:val="24"/>
        </w:rPr>
        <w:t>9</w:t>
      </w:r>
      <w:r>
        <w:rPr>
          <w:b/>
          <w:sz w:val="24"/>
        </w:rPr>
        <w:t xml:space="preserve">  </w:t>
      </w:r>
      <w:r>
        <w:rPr>
          <w:rFonts w:hint="eastAsia"/>
          <w:b/>
          <w:sz w:val="24"/>
        </w:rPr>
        <w:t>支护结构顶部以上采用放坡或土钉墙时土中附加竖向应力计算</w:t>
      </w:r>
    </w:p>
    <w:p>
      <w:pPr>
        <w:pStyle w:val="24"/>
        <w:topLinePunct/>
        <w:autoSpaceDE w:val="0"/>
        <w:autoSpaceDN w:val="0"/>
        <w:adjustRightInd w:val="0"/>
        <w:snapToGrid w:val="0"/>
        <w:spacing w:line="360" w:lineRule="auto"/>
        <w:rPr>
          <w:b/>
          <w:kern w:val="2"/>
        </w:rPr>
      </w:pPr>
      <w:r>
        <w:rPr>
          <w:rFonts w:hint="eastAsia"/>
          <w:b/>
        </w:rPr>
        <w:t xml:space="preserve">5.3.10  </w:t>
      </w:r>
      <w:r>
        <w:rPr>
          <w:rFonts w:hint="eastAsia"/>
        </w:rPr>
        <w:t>上部放坡较高，坑底附近存在软土层时，应按沿软土底部以上滑动的剩余下滑力复核水平荷载取值。</w:t>
      </w:r>
    </w:p>
    <w:p>
      <w:pPr>
        <w:pStyle w:val="24"/>
        <w:topLinePunct/>
        <w:autoSpaceDE w:val="0"/>
        <w:autoSpaceDN w:val="0"/>
        <w:adjustRightInd w:val="0"/>
        <w:snapToGrid w:val="0"/>
        <w:spacing w:line="360" w:lineRule="auto"/>
        <w:rPr>
          <w:b/>
          <w:kern w:val="2"/>
        </w:rPr>
      </w:pPr>
      <w:r>
        <w:rPr>
          <w:b/>
          <w:kern w:val="2"/>
        </w:rPr>
        <w:t>5.</w:t>
      </w:r>
      <w:r>
        <w:rPr>
          <w:rFonts w:hint="eastAsia"/>
          <w:b/>
          <w:kern w:val="2"/>
        </w:rPr>
        <w:t>3</w:t>
      </w:r>
      <w:r>
        <w:rPr>
          <w:b/>
          <w:kern w:val="2"/>
        </w:rPr>
        <w:t>.1</w:t>
      </w:r>
      <w:r>
        <w:rPr>
          <w:rFonts w:hint="eastAsia"/>
          <w:b/>
          <w:kern w:val="2"/>
        </w:rPr>
        <w:t xml:space="preserve">1  </w:t>
      </w:r>
      <w:r>
        <w:rPr>
          <w:rFonts w:hint="eastAsia"/>
          <w:kern w:val="2"/>
        </w:rPr>
        <w:t>其它特殊情况下的土压力分布模式可参考附录A选用。</w:t>
      </w:r>
    </w:p>
    <w:p>
      <w:pPr>
        <w:pStyle w:val="24"/>
        <w:topLinePunct/>
        <w:autoSpaceDE w:val="0"/>
        <w:autoSpaceDN w:val="0"/>
        <w:adjustRightInd w:val="0"/>
        <w:snapToGrid w:val="0"/>
        <w:spacing w:line="360" w:lineRule="auto"/>
        <w:rPr>
          <w:b/>
          <w:kern w:val="2"/>
        </w:rPr>
      </w:pPr>
      <w:r>
        <w:rPr>
          <w:b/>
          <w:kern w:val="2"/>
        </w:rPr>
        <w:t>5.</w:t>
      </w:r>
      <w:r>
        <w:rPr>
          <w:rFonts w:hint="eastAsia"/>
          <w:b/>
          <w:kern w:val="2"/>
        </w:rPr>
        <w:t>3</w:t>
      </w:r>
      <w:r>
        <w:rPr>
          <w:b/>
          <w:kern w:val="2"/>
        </w:rPr>
        <w:t>.1</w:t>
      </w:r>
      <w:r>
        <w:rPr>
          <w:rFonts w:hint="eastAsia"/>
          <w:b/>
          <w:kern w:val="2"/>
        </w:rPr>
        <w:t xml:space="preserve">2  </w:t>
      </w:r>
      <w:r>
        <w:rPr>
          <w:rFonts w:hint="eastAsia"/>
          <w:kern w:val="2"/>
        </w:rPr>
        <w:t>土岩组合情况下的侧向岩土压力：</w:t>
      </w:r>
    </w:p>
    <w:p>
      <w:pPr>
        <w:spacing w:line="360" w:lineRule="auto"/>
        <w:ind w:firstLine="480" w:firstLineChars="200"/>
        <w:jc w:val="left"/>
        <w:rPr>
          <w:sz w:val="24"/>
        </w:rPr>
      </w:pPr>
      <w:r>
        <w:rPr>
          <w:rFonts w:hint="eastAsia"/>
          <w:sz w:val="24"/>
        </w:rPr>
        <w:t>1  土岩组合情况下的侧向岩土压力计算应在分别对土质坑壁段、岩质坑壁段及组合情况下的整体稳定性进行分析评价的基础上进行；</w:t>
      </w:r>
    </w:p>
    <w:p>
      <w:pPr>
        <w:spacing w:line="360" w:lineRule="auto"/>
        <w:ind w:firstLine="480" w:firstLineChars="200"/>
        <w:jc w:val="left"/>
        <w:rPr>
          <w:sz w:val="24"/>
        </w:rPr>
      </w:pPr>
      <w:r>
        <w:rPr>
          <w:rFonts w:hint="eastAsia"/>
          <w:sz w:val="24"/>
        </w:rPr>
        <w:t>2  应充分预测岩质坑壁段可能的破坏模式并进行对比分析，取稳定系数最低的破坏模式与土质坑壁段组合作为侧向岩土压力计算模型；</w:t>
      </w:r>
    </w:p>
    <w:p>
      <w:pPr>
        <w:spacing w:line="360" w:lineRule="auto"/>
        <w:ind w:firstLine="480" w:firstLineChars="200"/>
        <w:jc w:val="left"/>
        <w:rPr>
          <w:sz w:val="24"/>
        </w:rPr>
      </w:pPr>
      <w:r>
        <w:rPr>
          <w:rFonts w:hint="eastAsia"/>
          <w:sz w:val="24"/>
        </w:rPr>
        <w:t>3  土岩组合情况下的稳定性分析及侧压力计算可参照附录A的方法进行。</w:t>
      </w:r>
    </w:p>
    <w:p>
      <w:pPr>
        <w:spacing w:line="360" w:lineRule="auto"/>
        <w:jc w:val="center"/>
        <w:outlineLvl w:val="1"/>
        <w:rPr>
          <w:b/>
          <w:sz w:val="24"/>
        </w:rPr>
      </w:pPr>
      <w:bookmarkStart w:id="43" w:name="_Toc87018266"/>
      <w:bookmarkStart w:id="44" w:name="_Toc87018335"/>
      <w:r>
        <w:rPr>
          <w:b/>
          <w:sz w:val="24"/>
        </w:rPr>
        <w:t>5.</w:t>
      </w:r>
      <w:r>
        <w:rPr>
          <w:rFonts w:hint="eastAsia"/>
          <w:b/>
          <w:sz w:val="24"/>
        </w:rPr>
        <w:t>4</w:t>
      </w:r>
      <w:r>
        <w:rPr>
          <w:b/>
          <w:sz w:val="24"/>
        </w:rPr>
        <w:t xml:space="preserve">  </w:t>
      </w:r>
      <w:r>
        <w:rPr>
          <w:rFonts w:hint="eastAsia"/>
          <w:b/>
          <w:sz w:val="24"/>
        </w:rPr>
        <w:t>稳定性验算</w:t>
      </w:r>
      <w:bookmarkEnd w:id="43"/>
      <w:bookmarkEnd w:id="44"/>
    </w:p>
    <w:p>
      <w:pPr>
        <w:pStyle w:val="24"/>
        <w:topLinePunct/>
        <w:autoSpaceDE w:val="0"/>
        <w:autoSpaceDN w:val="0"/>
        <w:adjustRightInd w:val="0"/>
        <w:snapToGrid w:val="0"/>
        <w:spacing w:line="360" w:lineRule="auto"/>
      </w:pPr>
      <w:r>
        <w:rPr>
          <w:rFonts w:hint="eastAsia"/>
          <w:b/>
          <w:kern w:val="2"/>
        </w:rPr>
        <w:t>5.4.1</w:t>
      </w:r>
      <w:r>
        <w:rPr>
          <w:b/>
          <w:kern w:val="2"/>
        </w:rPr>
        <w:t xml:space="preserve">  </w:t>
      </w:r>
      <w:r>
        <w:t>各类支护形式的基坑，包括支挡式结构、土钉墙和坡率法，应验算相关稳定性内容。</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1</w:t>
      </w:r>
      <w:r>
        <w:rPr>
          <w:rFonts w:ascii="Times New Roman" w:hAnsi="Times New Roman"/>
          <w:color w:val="auto"/>
          <w:sz w:val="24"/>
          <w:szCs w:val="24"/>
          <w:lang w:eastAsia="zh-CN"/>
        </w:rPr>
        <w:t xml:space="preserve">  </w:t>
      </w:r>
      <w:r>
        <w:rPr>
          <w:rFonts w:ascii="Times New Roman" w:hAnsi="Times New Roman"/>
          <w:color w:val="auto"/>
          <w:sz w:val="24"/>
          <w:szCs w:val="24"/>
        </w:rPr>
        <w:t>支挡式结构支护的稳定性验算内容包括：整体稳定性、抗倾覆稳定性、抗隆起稳定性、</w:t>
      </w:r>
      <w:r>
        <w:rPr>
          <w:rFonts w:hint="eastAsia" w:ascii="Times New Roman" w:hAnsi="Times New Roman"/>
          <w:color w:val="auto"/>
          <w:sz w:val="24"/>
          <w:szCs w:val="24"/>
          <w:lang w:eastAsia="zh-CN"/>
        </w:rPr>
        <w:t>流土</w:t>
      </w:r>
      <w:r>
        <w:rPr>
          <w:rFonts w:ascii="Times New Roman" w:hAnsi="Times New Roman"/>
          <w:color w:val="auto"/>
          <w:sz w:val="24"/>
          <w:szCs w:val="24"/>
        </w:rPr>
        <w:t>稳定性、突涌稳定性；</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ascii="Times New Roman" w:hAnsi="Times New Roman"/>
          <w:color w:val="auto"/>
          <w:sz w:val="24"/>
          <w:szCs w:val="24"/>
        </w:rPr>
        <w:t>2</w:t>
      </w:r>
      <w:r>
        <w:rPr>
          <w:rFonts w:ascii="Times New Roman" w:hAnsi="Times New Roman"/>
          <w:color w:val="auto"/>
          <w:sz w:val="24"/>
          <w:szCs w:val="24"/>
          <w:lang w:eastAsia="zh-CN"/>
        </w:rPr>
        <w:t xml:space="preserve">  </w:t>
      </w:r>
      <w:r>
        <w:rPr>
          <w:rFonts w:ascii="Times New Roman" w:hAnsi="Times New Roman"/>
          <w:color w:val="auto"/>
          <w:sz w:val="24"/>
          <w:szCs w:val="24"/>
        </w:rPr>
        <w:t>土钉墙支护的稳定性验算内容包括：整体稳定性、抗隆起稳定性、</w:t>
      </w:r>
      <w:r>
        <w:rPr>
          <w:rFonts w:hint="eastAsia" w:ascii="Times New Roman" w:hAnsi="Times New Roman"/>
          <w:color w:val="auto"/>
          <w:sz w:val="24"/>
          <w:szCs w:val="24"/>
          <w:lang w:eastAsia="zh-CN"/>
        </w:rPr>
        <w:t>流土</w:t>
      </w:r>
      <w:r>
        <w:rPr>
          <w:rFonts w:ascii="Times New Roman" w:hAnsi="Times New Roman"/>
          <w:color w:val="auto"/>
          <w:sz w:val="24"/>
          <w:szCs w:val="24"/>
        </w:rPr>
        <w:t>稳定性</w:t>
      </w:r>
      <w:r>
        <w:rPr>
          <w:rFonts w:hint="eastAsia" w:ascii="Times New Roman" w:hAnsi="Times New Roman"/>
          <w:color w:val="auto"/>
          <w:sz w:val="24"/>
          <w:szCs w:val="24"/>
          <w:lang w:eastAsia="zh-CN"/>
        </w:rPr>
        <w:t>、</w:t>
      </w:r>
      <w:r>
        <w:rPr>
          <w:rFonts w:ascii="Times New Roman" w:hAnsi="Times New Roman"/>
          <w:color w:val="auto"/>
          <w:sz w:val="24"/>
          <w:szCs w:val="24"/>
        </w:rPr>
        <w:t>突涌稳定性；</w:t>
      </w:r>
    </w:p>
    <w:p>
      <w:pPr>
        <w:pStyle w:val="21"/>
        <w:tabs>
          <w:tab w:val="left" w:pos="900"/>
          <w:tab w:val="left" w:pos="1246"/>
          <w:tab w:val="left" w:pos="7020"/>
        </w:tabs>
        <w:topLinePunct/>
        <w:autoSpaceDE w:val="0"/>
        <w:autoSpaceDN w:val="0"/>
        <w:adjustRightInd w:val="0"/>
        <w:snapToGrid w:val="0"/>
        <w:ind w:firstLine="480" w:firstLineChars="200"/>
        <w:jc w:val="left"/>
        <w:rPr>
          <w:rFonts w:ascii="Times New Roman" w:hAnsi="Times New Roman"/>
          <w:color w:val="auto"/>
          <w:sz w:val="24"/>
          <w:szCs w:val="24"/>
        </w:rPr>
      </w:pPr>
      <w:r>
        <w:rPr>
          <w:rFonts w:hint="eastAsia" w:ascii="Times New Roman" w:hAnsi="Times New Roman"/>
          <w:color w:val="auto"/>
          <w:sz w:val="24"/>
          <w:szCs w:val="24"/>
          <w:lang w:eastAsia="zh-CN"/>
        </w:rPr>
        <w:t>3</w:t>
      </w:r>
      <w:r>
        <w:rPr>
          <w:rFonts w:ascii="Times New Roman" w:hAnsi="Times New Roman"/>
          <w:color w:val="auto"/>
          <w:sz w:val="24"/>
          <w:szCs w:val="24"/>
          <w:lang w:eastAsia="zh-CN"/>
        </w:rPr>
        <w:t xml:space="preserve">  </w:t>
      </w:r>
      <w:r>
        <w:rPr>
          <w:rFonts w:ascii="Times New Roman" w:hAnsi="Times New Roman"/>
          <w:color w:val="auto"/>
          <w:sz w:val="24"/>
          <w:szCs w:val="24"/>
        </w:rPr>
        <w:t>坡率法应验算边坡的整体稳定性</w:t>
      </w:r>
      <w:r>
        <w:rPr>
          <w:rFonts w:hint="eastAsia" w:ascii="Times New Roman" w:hAnsi="Times New Roman"/>
          <w:color w:val="auto"/>
          <w:sz w:val="24"/>
          <w:szCs w:val="24"/>
          <w:lang w:eastAsia="zh-CN"/>
        </w:rPr>
        <w:t>、</w:t>
      </w:r>
      <w:r>
        <w:rPr>
          <w:rFonts w:ascii="Times New Roman" w:hAnsi="Times New Roman"/>
          <w:color w:val="auto"/>
          <w:sz w:val="24"/>
          <w:szCs w:val="24"/>
        </w:rPr>
        <w:t>抗隆起稳定性，对多级边坡尚应验算各级边坡的稳定性。</w:t>
      </w:r>
    </w:p>
    <w:p>
      <w:pPr>
        <w:pStyle w:val="21"/>
        <w:tabs>
          <w:tab w:val="left" w:pos="900"/>
          <w:tab w:val="left" w:pos="1246"/>
          <w:tab w:val="left" w:pos="7020"/>
        </w:tabs>
        <w:topLinePunct/>
        <w:autoSpaceDE w:val="0"/>
        <w:autoSpaceDN w:val="0"/>
        <w:adjustRightInd w:val="0"/>
        <w:snapToGrid w:val="0"/>
        <w:ind w:firstLine="0"/>
        <w:rPr>
          <w:rFonts w:ascii="Times New Roman" w:hAnsi="Times New Roman"/>
          <w:color w:val="FF0000"/>
          <w:sz w:val="24"/>
          <w:szCs w:val="24"/>
          <w:lang w:eastAsia="zh-CN"/>
        </w:rPr>
      </w:pPr>
      <w:r>
        <w:rPr>
          <w:rFonts w:ascii="Times New Roman" w:hAnsi="Times New Roman"/>
          <w:b/>
          <w:color w:val="auto"/>
          <w:sz w:val="24"/>
          <w:szCs w:val="24"/>
        </w:rPr>
        <w:t>5.</w:t>
      </w:r>
      <w:r>
        <w:rPr>
          <w:rFonts w:hint="eastAsia" w:ascii="Times New Roman" w:hAnsi="Times New Roman"/>
          <w:b/>
          <w:color w:val="auto"/>
          <w:sz w:val="24"/>
          <w:szCs w:val="24"/>
          <w:lang w:eastAsia="zh-CN"/>
        </w:rPr>
        <w:t>4</w:t>
      </w:r>
      <w:r>
        <w:rPr>
          <w:rFonts w:ascii="Times New Roman" w:hAnsi="Times New Roman"/>
          <w:b/>
          <w:color w:val="auto"/>
          <w:sz w:val="24"/>
          <w:szCs w:val="24"/>
        </w:rPr>
        <w:t>.</w:t>
      </w:r>
      <w:r>
        <w:rPr>
          <w:rFonts w:hint="eastAsia" w:ascii="Times New Roman" w:hAnsi="Times New Roman"/>
          <w:b/>
          <w:color w:val="auto"/>
          <w:sz w:val="24"/>
          <w:szCs w:val="24"/>
          <w:lang w:eastAsia="zh-CN"/>
        </w:rPr>
        <w:t>2</w:t>
      </w:r>
      <w:r>
        <w:rPr>
          <w:rFonts w:ascii="Times New Roman" w:hAnsi="Times New Roman"/>
          <w:b/>
          <w:color w:val="auto"/>
          <w:sz w:val="24"/>
          <w:szCs w:val="24"/>
        </w:rPr>
        <w:t xml:space="preserve">  </w:t>
      </w:r>
      <w:r>
        <w:rPr>
          <w:rFonts w:ascii="Times New Roman" w:hAnsi="Times New Roman"/>
          <w:color w:val="auto"/>
          <w:sz w:val="24"/>
          <w:szCs w:val="24"/>
        </w:rPr>
        <w:t>支挡式结构基坑的整体稳定性验算可采用圆弧滑动条分法验算其整体稳定性</w:t>
      </w:r>
      <w:r>
        <w:rPr>
          <w:rFonts w:hint="eastAsia" w:ascii="Times New Roman" w:hAnsi="Times New Roman"/>
          <w:color w:val="auto"/>
          <w:sz w:val="24"/>
          <w:szCs w:val="24"/>
          <w:lang w:eastAsia="zh-CN"/>
        </w:rPr>
        <w:t>，</w:t>
      </w:r>
      <w:r>
        <w:rPr>
          <w:rFonts w:hint="eastAsia" w:ascii="Times New Roman" w:hAnsi="Times New Roman"/>
          <w:color w:val="auto"/>
          <w:sz w:val="24"/>
          <w:szCs w:val="24"/>
        </w:rPr>
        <w:t>当挡土构件底端以下存在软弱下卧土层时，整体稳定性验算滑动面中尚应包括由圆弧与软弱土层层面组成的复合滑动面</w:t>
      </w:r>
      <w:r>
        <w:rPr>
          <w:rFonts w:ascii="Times New Roman" w:hAnsi="Times New Roman"/>
          <w:color w:val="auto"/>
          <w:sz w:val="24"/>
          <w:szCs w:val="24"/>
        </w:rPr>
        <w:t>（图5.</w:t>
      </w:r>
      <w:r>
        <w:rPr>
          <w:rFonts w:hint="eastAsia" w:ascii="Times New Roman" w:hAnsi="Times New Roman"/>
          <w:color w:val="auto"/>
          <w:sz w:val="24"/>
          <w:szCs w:val="24"/>
          <w:lang w:eastAsia="zh-CN"/>
        </w:rPr>
        <w:t>4</w:t>
      </w:r>
      <w:r>
        <w:rPr>
          <w:rFonts w:ascii="Times New Roman" w:hAnsi="Times New Roman"/>
          <w:color w:val="auto"/>
          <w:sz w:val="24"/>
          <w:szCs w:val="24"/>
        </w:rPr>
        <w:t>.</w:t>
      </w:r>
      <w:r>
        <w:rPr>
          <w:rFonts w:hint="eastAsia" w:ascii="Times New Roman" w:hAnsi="Times New Roman"/>
          <w:color w:val="auto"/>
          <w:sz w:val="24"/>
          <w:szCs w:val="24"/>
          <w:lang w:eastAsia="zh-CN"/>
        </w:rPr>
        <w:t>2</w:t>
      </w:r>
      <w:r>
        <w:rPr>
          <w:rFonts w:ascii="Times New Roman" w:hAnsi="Times New Roman"/>
          <w:color w:val="auto"/>
          <w:sz w:val="24"/>
          <w:szCs w:val="24"/>
        </w:rPr>
        <w:t>）。</w:t>
      </w:r>
    </w:p>
    <w:p>
      <w:pPr>
        <w:wordWrap w:val="0"/>
        <w:spacing w:line="360" w:lineRule="auto"/>
        <w:jc w:val="right"/>
        <w:rPr>
          <w:sz w:val="24"/>
        </w:rPr>
      </w:pPr>
      <w:r>
        <w:rPr>
          <w:position w:val="-16"/>
          <w:sz w:val="24"/>
        </w:rPr>
        <w:object>
          <v:shape id="_x0000_i1056" o:spt="75" type="#_x0000_t75" style="height:21.05pt;width:151.3pt;" o:ole="t" filled="f" coordsize="21600,21600">
            <v:path/>
            <v:fill on="f" focussize="0,0"/>
            <v:stroke/>
            <v:imagedata r:id="rId83" o:title=""/>
            <o:lock v:ext="edit" aspectratio="t"/>
            <w10:wrap type="none"/>
            <w10:anchorlock/>
          </v:shape>
          <o:OLEObject Type="Embed" ProgID="Equation.DSMT4" ShapeID="_x0000_i1056" DrawAspect="Content" ObjectID="_1468075756" r:id="rId82">
            <o:LockedField>false</o:LockedField>
          </o:OLEObject>
        </w:object>
      </w:r>
      <w:r>
        <w:rPr>
          <w:sz w:val="24"/>
        </w:rPr>
        <w:t xml:space="preserve">    </w:t>
      </w:r>
      <w:r>
        <w:rPr>
          <w:rFonts w:hint="eastAsia"/>
          <w:sz w:val="24"/>
        </w:rPr>
        <w:t xml:space="preserve">     </w:t>
      </w:r>
      <w:r>
        <w:rPr>
          <w:sz w:val="24"/>
        </w:rPr>
        <w:t xml:space="preserve">      （5.</w:t>
      </w:r>
      <w:r>
        <w:rPr>
          <w:rFonts w:hint="eastAsia"/>
          <w:sz w:val="24"/>
        </w:rPr>
        <w:t>4</w:t>
      </w:r>
      <w:r>
        <w:rPr>
          <w:sz w:val="24"/>
        </w:rPr>
        <w:t>.</w:t>
      </w:r>
      <w:r>
        <w:rPr>
          <w:rFonts w:hint="eastAsia"/>
          <w:sz w:val="24"/>
        </w:rPr>
        <w:t>2</w:t>
      </w:r>
      <w:r>
        <w:rPr>
          <w:sz w:val="24"/>
        </w:rPr>
        <w:t>-1）</w:t>
      </w:r>
    </w:p>
    <w:p>
      <w:pPr>
        <w:spacing w:line="360" w:lineRule="auto"/>
        <w:jc w:val="right"/>
        <w:rPr>
          <w:sz w:val="24"/>
        </w:rPr>
      </w:pPr>
      <w:r>
        <w:rPr>
          <w:position w:val="-36"/>
        </w:rPr>
        <w:object>
          <v:shape id="_x0000_i1057" o:spt="75" type="#_x0000_t75" style="height:45.95pt;width:409.4pt;" o:ole="t" filled="f" coordsize="21600,21600">
            <v:path/>
            <v:fill on="f" focussize="0,0"/>
            <v:stroke/>
            <v:imagedata r:id="rId85" o:title=""/>
            <o:lock v:ext="edit" aspectratio="t"/>
            <w10:wrap type="none"/>
            <w10:anchorlock/>
          </v:shape>
          <o:OLEObject Type="Embed" ProgID="Equation.DSMT4" ShapeID="_x0000_i1057" DrawAspect="Content" ObjectID="_1468075757" r:id="rId84">
            <o:LockedField>false</o:LockedField>
          </o:OLEObject>
        </w:object>
      </w:r>
      <w:r>
        <w:rPr>
          <w:sz w:val="24"/>
        </w:rPr>
        <w:t>（5.</w:t>
      </w:r>
      <w:r>
        <w:rPr>
          <w:rFonts w:hint="eastAsia"/>
          <w:sz w:val="24"/>
        </w:rPr>
        <w:t>4</w:t>
      </w:r>
      <w:r>
        <w:rPr>
          <w:sz w:val="24"/>
        </w:rPr>
        <w:t>.</w:t>
      </w:r>
      <w:r>
        <w:rPr>
          <w:rFonts w:hint="eastAsia"/>
          <w:sz w:val="24"/>
        </w:rPr>
        <w:t>2</w:t>
      </w:r>
      <w:r>
        <w:rPr>
          <w:sz w:val="24"/>
        </w:rPr>
        <w:t>-2）</w:t>
      </w:r>
    </w:p>
    <w:p>
      <w:pPr>
        <w:tabs>
          <w:tab w:val="left" w:pos="672"/>
          <w:tab w:val="left" w:pos="1036"/>
          <w:tab w:val="left" w:pos="1620"/>
          <w:tab w:val="left" w:pos="2160"/>
          <w:tab w:val="left" w:pos="7020"/>
        </w:tabs>
        <w:spacing w:line="360" w:lineRule="auto"/>
        <w:ind w:left="1200" w:hanging="1200" w:hangingChars="500"/>
        <w:rPr>
          <w:sz w:val="24"/>
        </w:rPr>
      </w:pPr>
      <w:r>
        <w:rPr>
          <w:sz w:val="24"/>
        </w:rPr>
        <w:t>式中：</w:t>
      </w:r>
      <w:r>
        <w:rPr>
          <w:i/>
          <w:sz w:val="24"/>
        </w:rPr>
        <w:t>K</w:t>
      </w:r>
      <w:r>
        <w:rPr>
          <w:sz w:val="24"/>
          <w:vertAlign w:val="subscript"/>
        </w:rPr>
        <w:t>s</w:t>
      </w:r>
      <w:r>
        <w:rPr>
          <w:color w:val="000000"/>
          <w:sz w:val="24"/>
        </w:rPr>
        <w:t>—</w:t>
      </w:r>
      <w:r>
        <w:rPr>
          <w:sz w:val="24"/>
        </w:rPr>
        <w:t>圆弧滑动整体稳定安全系数；安全等级为一级、二级、三级的支挡</w:t>
      </w:r>
      <w:r>
        <w:rPr>
          <w:rFonts w:hint="eastAsia"/>
          <w:sz w:val="24"/>
        </w:rPr>
        <w:t>式</w:t>
      </w:r>
      <w:r>
        <w:rPr>
          <w:sz w:val="24"/>
        </w:rPr>
        <w:t>结构，</w:t>
      </w:r>
      <w:r>
        <w:rPr>
          <w:i/>
          <w:sz w:val="24"/>
        </w:rPr>
        <w:t>K</w:t>
      </w:r>
      <w:r>
        <w:rPr>
          <w:sz w:val="24"/>
          <w:vertAlign w:val="subscript"/>
        </w:rPr>
        <w:t>s</w:t>
      </w:r>
      <w:r>
        <w:rPr>
          <w:sz w:val="24"/>
        </w:rPr>
        <w:t>分别不应小于1.35、1.3、1.25；</w:t>
      </w:r>
    </w:p>
    <w:p>
      <w:pPr>
        <w:tabs>
          <w:tab w:val="left" w:pos="672"/>
          <w:tab w:val="left" w:pos="1036"/>
          <w:tab w:val="left" w:pos="2160"/>
          <w:tab w:val="left" w:pos="7020"/>
        </w:tabs>
        <w:spacing w:line="360" w:lineRule="auto"/>
        <w:ind w:left="1125" w:leftChars="250" w:hanging="600" w:hangingChars="250"/>
        <w:rPr>
          <w:sz w:val="24"/>
        </w:rPr>
      </w:pPr>
      <w:r>
        <w:rPr>
          <w:i/>
          <w:sz w:val="24"/>
        </w:rPr>
        <w:t>K</w:t>
      </w:r>
      <w:r>
        <w:rPr>
          <w:sz w:val="24"/>
          <w:vertAlign w:val="subscript"/>
        </w:rPr>
        <w:t>s</w:t>
      </w:r>
      <w:r>
        <w:rPr>
          <w:i/>
          <w:sz w:val="24"/>
          <w:vertAlign w:val="subscript"/>
        </w:rPr>
        <w:t>，i</w:t>
      </w:r>
      <w:r>
        <w:rPr>
          <w:color w:val="000000"/>
          <w:sz w:val="24"/>
        </w:rPr>
        <w:t>—</w:t>
      </w:r>
      <w:r>
        <w:rPr>
          <w:sz w:val="24"/>
        </w:rPr>
        <w:t>第</w:t>
      </w:r>
      <w:r>
        <w:rPr>
          <w:i/>
          <w:sz w:val="24"/>
        </w:rPr>
        <w:t>i</w:t>
      </w:r>
      <w:r>
        <w:rPr>
          <w:sz w:val="24"/>
        </w:rPr>
        <w:t>个滑动圆弧的抗滑力矩与滑动力矩的比值；抗滑力矩与滑动力矩之比的最小值宜通过搜索不同圆心及半径的所有潜在滑动圆弧确定；</w:t>
      </w:r>
    </w:p>
    <w:p>
      <w:pPr>
        <w:tabs>
          <w:tab w:val="left" w:pos="658"/>
          <w:tab w:val="left" w:pos="1036"/>
          <w:tab w:val="left" w:pos="1620"/>
          <w:tab w:val="left" w:pos="2160"/>
          <w:tab w:val="left" w:pos="7020"/>
        </w:tabs>
        <w:spacing w:line="360" w:lineRule="auto"/>
        <w:ind w:left="1050" w:leftChars="100" w:hanging="840" w:hangingChars="350"/>
        <w:rPr>
          <w:sz w:val="24"/>
        </w:rPr>
      </w:pPr>
      <w:r>
        <w:rPr>
          <w:i/>
          <w:sz w:val="24"/>
        </w:rPr>
        <w:t>c</w:t>
      </w:r>
      <w:r>
        <w:rPr>
          <w:i/>
          <w:sz w:val="24"/>
          <w:vertAlign w:val="subscript"/>
        </w:rPr>
        <w:t>j</w:t>
      </w:r>
      <w:r>
        <w:rPr>
          <w:sz w:val="24"/>
        </w:rPr>
        <w:t>、</w:t>
      </w:r>
      <w:r>
        <w:rPr>
          <w:i/>
          <w:sz w:val="24"/>
        </w:rPr>
        <w:sym w:font="Symbol" w:char="F06A"/>
      </w:r>
      <w:r>
        <w:rPr>
          <w:i/>
          <w:sz w:val="24"/>
          <w:vertAlign w:val="subscript"/>
        </w:rPr>
        <w:t>j</w:t>
      </w:r>
      <w:r>
        <w:rPr>
          <w:sz w:val="24"/>
          <w:vertAlign w:val="subscript"/>
        </w:rPr>
        <w:t xml:space="preserve"> </w:t>
      </w:r>
      <w:r>
        <w:rPr>
          <w:color w:val="000000"/>
          <w:sz w:val="24"/>
        </w:rPr>
        <w:t>—</w:t>
      </w:r>
      <w:r>
        <w:rPr>
          <w:sz w:val="24"/>
        </w:rPr>
        <w:t>第</w:t>
      </w:r>
      <w:r>
        <w:rPr>
          <w:i/>
          <w:sz w:val="24"/>
        </w:rPr>
        <w:t>j</w:t>
      </w:r>
      <w:r>
        <w:rPr>
          <w:sz w:val="24"/>
        </w:rPr>
        <w:t>土条滑弧面处土的粘聚力(kPa)、内摩擦角(°)；</w:t>
      </w:r>
    </w:p>
    <w:p>
      <w:pPr>
        <w:tabs>
          <w:tab w:val="left" w:pos="658"/>
          <w:tab w:val="left" w:pos="1134"/>
          <w:tab w:val="left" w:pos="1372"/>
          <w:tab w:val="left" w:pos="2160"/>
          <w:tab w:val="left" w:pos="3060"/>
          <w:tab w:val="left" w:pos="4680"/>
          <w:tab w:val="left" w:pos="7020"/>
        </w:tabs>
        <w:spacing w:line="360" w:lineRule="auto"/>
        <w:ind w:left="1110" w:leftChars="300" w:hanging="480" w:hangingChars="200"/>
        <w:rPr>
          <w:sz w:val="24"/>
        </w:rPr>
      </w:pPr>
      <w:r>
        <w:rPr>
          <w:i/>
          <w:sz w:val="24"/>
        </w:rPr>
        <w:t>b</w:t>
      </w:r>
      <w:r>
        <w:rPr>
          <w:i/>
          <w:sz w:val="24"/>
          <w:vertAlign w:val="subscript"/>
        </w:rPr>
        <w:t>j</w:t>
      </w:r>
      <w:r>
        <w:rPr>
          <w:color w:val="000000"/>
          <w:sz w:val="24"/>
        </w:rPr>
        <w:t>—</w:t>
      </w:r>
      <w:r>
        <w:rPr>
          <w:sz w:val="24"/>
        </w:rPr>
        <w:t>第</w:t>
      </w:r>
      <w:r>
        <w:rPr>
          <w:i/>
          <w:sz w:val="24"/>
        </w:rPr>
        <w:t>j</w:t>
      </w:r>
      <w:r>
        <w:rPr>
          <w:sz w:val="24"/>
        </w:rPr>
        <w:t>土条的宽度(m)；</w:t>
      </w:r>
    </w:p>
    <w:p>
      <w:pPr>
        <w:tabs>
          <w:tab w:val="left" w:pos="658"/>
          <w:tab w:val="left" w:pos="1120"/>
          <w:tab w:val="left" w:pos="1372"/>
          <w:tab w:val="left" w:pos="2160"/>
          <w:tab w:val="left" w:pos="3060"/>
          <w:tab w:val="left" w:pos="4680"/>
          <w:tab w:val="left" w:pos="7020"/>
        </w:tabs>
        <w:spacing w:line="360" w:lineRule="auto"/>
        <w:ind w:left="1110" w:leftChars="300" w:hanging="480" w:hangingChars="200"/>
        <w:rPr>
          <w:sz w:val="24"/>
        </w:rPr>
      </w:pPr>
      <w:r>
        <w:rPr>
          <w:i/>
          <w:sz w:val="24"/>
        </w:rPr>
        <w:t>θ</w:t>
      </w:r>
      <w:r>
        <w:rPr>
          <w:i/>
          <w:sz w:val="24"/>
          <w:vertAlign w:val="subscript"/>
        </w:rPr>
        <w:t>j</w:t>
      </w:r>
      <w:r>
        <w:rPr>
          <w:color w:val="000000"/>
          <w:sz w:val="24"/>
        </w:rPr>
        <w:t>—</w:t>
      </w:r>
      <w:r>
        <w:rPr>
          <w:sz w:val="24"/>
        </w:rPr>
        <w:t>第</w:t>
      </w:r>
      <w:r>
        <w:rPr>
          <w:i/>
          <w:sz w:val="24"/>
        </w:rPr>
        <w:t>j</w:t>
      </w:r>
      <w:r>
        <w:rPr>
          <w:sz w:val="24"/>
        </w:rPr>
        <w:t>土条滑弧面中点处的法线与垂直面的夹角(°)；</w:t>
      </w:r>
    </w:p>
    <w:p>
      <w:pPr>
        <w:tabs>
          <w:tab w:val="left" w:pos="658"/>
          <w:tab w:val="left" w:pos="1134"/>
          <w:tab w:val="left" w:pos="1372"/>
          <w:tab w:val="left" w:pos="2160"/>
          <w:tab w:val="left" w:pos="3060"/>
          <w:tab w:val="left" w:pos="4680"/>
          <w:tab w:val="left" w:pos="7020"/>
        </w:tabs>
        <w:spacing w:line="360" w:lineRule="auto"/>
        <w:ind w:left="1110" w:leftChars="300" w:hanging="480" w:hangingChars="200"/>
        <w:rPr>
          <w:sz w:val="24"/>
        </w:rPr>
      </w:pPr>
      <w:r>
        <w:rPr>
          <w:i/>
          <w:sz w:val="24"/>
        </w:rPr>
        <w:t>l</w:t>
      </w:r>
      <w:r>
        <w:rPr>
          <w:i/>
          <w:sz w:val="24"/>
          <w:vertAlign w:val="subscript"/>
        </w:rPr>
        <w:t>j</w:t>
      </w:r>
      <w:r>
        <w:rPr>
          <w:color w:val="000000"/>
          <w:sz w:val="24"/>
        </w:rPr>
        <w:t>—</w:t>
      </w:r>
      <w:r>
        <w:rPr>
          <w:sz w:val="24"/>
        </w:rPr>
        <w:t>第</w:t>
      </w:r>
      <w:r>
        <w:rPr>
          <w:i/>
          <w:sz w:val="24"/>
        </w:rPr>
        <w:t>j</w:t>
      </w:r>
      <w:r>
        <w:rPr>
          <w:sz w:val="24"/>
        </w:rPr>
        <w:t>土条的滑弧段长度(m)，取</w:t>
      </w:r>
      <w:r>
        <w:rPr>
          <w:i/>
          <w:sz w:val="24"/>
        </w:rPr>
        <w:t>l</w:t>
      </w:r>
      <w:r>
        <w:rPr>
          <w:i/>
          <w:sz w:val="24"/>
          <w:vertAlign w:val="subscript"/>
        </w:rPr>
        <w:t>j</w:t>
      </w:r>
      <w:r>
        <w:rPr>
          <w:sz w:val="24"/>
        </w:rPr>
        <w:t>＝</w:t>
      </w:r>
      <w:r>
        <w:rPr>
          <w:i/>
          <w:sz w:val="24"/>
        </w:rPr>
        <w:t>b</w:t>
      </w:r>
      <w:r>
        <w:rPr>
          <w:i/>
          <w:sz w:val="24"/>
          <w:vertAlign w:val="subscript"/>
        </w:rPr>
        <w:t>j</w:t>
      </w:r>
      <w:r>
        <w:rPr>
          <w:sz w:val="24"/>
          <w:vertAlign w:val="subscript"/>
        </w:rPr>
        <w:t xml:space="preserve"> </w:t>
      </w:r>
      <w:r>
        <w:rPr>
          <w:sz w:val="24"/>
        </w:rPr>
        <w:t>/cos</w:t>
      </w:r>
      <w:r>
        <w:rPr>
          <w:i/>
          <w:sz w:val="24"/>
        </w:rPr>
        <w:t>θ</w:t>
      </w:r>
      <w:r>
        <w:rPr>
          <w:i/>
          <w:sz w:val="24"/>
          <w:vertAlign w:val="subscript"/>
        </w:rPr>
        <w:t>j</w:t>
      </w:r>
      <w:r>
        <w:rPr>
          <w:sz w:val="24"/>
        </w:rPr>
        <w:t>；</w:t>
      </w:r>
    </w:p>
    <w:p>
      <w:pPr>
        <w:tabs>
          <w:tab w:val="left" w:pos="658"/>
          <w:tab w:val="left" w:pos="1134"/>
          <w:tab w:val="left" w:pos="1372"/>
          <w:tab w:val="left" w:pos="2160"/>
          <w:tab w:val="left" w:pos="3060"/>
          <w:tab w:val="left" w:pos="4680"/>
          <w:tab w:val="left" w:pos="7020"/>
        </w:tabs>
        <w:spacing w:line="360" w:lineRule="auto"/>
        <w:ind w:left="1110" w:leftChars="300" w:hanging="480" w:hangingChars="200"/>
        <w:rPr>
          <w:sz w:val="24"/>
        </w:rPr>
      </w:pPr>
      <w:r>
        <w:rPr>
          <w:i/>
          <w:sz w:val="24"/>
        </w:rPr>
        <w:t>q</w:t>
      </w:r>
      <w:r>
        <w:rPr>
          <w:i/>
          <w:sz w:val="24"/>
          <w:vertAlign w:val="subscript"/>
        </w:rPr>
        <w:t>j</w:t>
      </w:r>
      <w:r>
        <w:rPr>
          <w:color w:val="000000"/>
          <w:sz w:val="24"/>
        </w:rPr>
        <w:t>—</w:t>
      </w:r>
      <w:r>
        <w:rPr>
          <w:sz w:val="24"/>
        </w:rPr>
        <w:t>作用在第</w:t>
      </w:r>
      <w:r>
        <w:rPr>
          <w:i/>
          <w:sz w:val="24"/>
        </w:rPr>
        <w:t>j</w:t>
      </w:r>
      <w:r>
        <w:rPr>
          <w:sz w:val="24"/>
        </w:rPr>
        <w:t>土条上的附加分布荷载标准值(kPa)；</w:t>
      </w:r>
    </w:p>
    <w:p>
      <w:pPr>
        <w:tabs>
          <w:tab w:val="left" w:pos="660"/>
          <w:tab w:val="left" w:pos="1120"/>
          <w:tab w:val="left" w:pos="1372"/>
          <w:tab w:val="left" w:pos="2160"/>
          <w:tab w:val="left" w:pos="3060"/>
          <w:tab w:val="left" w:pos="4680"/>
          <w:tab w:val="left" w:pos="7020"/>
        </w:tabs>
        <w:spacing w:line="360" w:lineRule="auto"/>
        <w:ind w:left="900" w:leftChars="200" w:hanging="480" w:hangingChars="200"/>
        <w:rPr>
          <w:sz w:val="24"/>
        </w:rPr>
      </w:pPr>
      <w:r>
        <w:rPr>
          <w:i/>
          <w:sz w:val="24"/>
        </w:rPr>
        <w:t>ΔG</w:t>
      </w:r>
      <w:r>
        <w:rPr>
          <w:sz w:val="24"/>
          <w:vertAlign w:val="subscript"/>
        </w:rPr>
        <w:t>j</w:t>
      </w:r>
      <w:r>
        <w:rPr>
          <w:color w:val="000000"/>
          <w:sz w:val="24"/>
        </w:rPr>
        <w:t>—</w:t>
      </w:r>
      <w:r>
        <w:rPr>
          <w:sz w:val="24"/>
        </w:rPr>
        <w:t>第</w:t>
      </w:r>
      <w:r>
        <w:rPr>
          <w:i/>
          <w:sz w:val="24"/>
        </w:rPr>
        <w:t>j</w:t>
      </w:r>
      <w:r>
        <w:rPr>
          <w:sz w:val="24"/>
        </w:rPr>
        <w:t>土条的自重(kN)，按天然重度计算；</w:t>
      </w:r>
    </w:p>
    <w:p>
      <w:pPr>
        <w:tabs>
          <w:tab w:val="left" w:pos="1120"/>
          <w:tab w:val="left" w:pos="1372"/>
          <w:tab w:val="left" w:pos="2160"/>
          <w:tab w:val="left" w:pos="3060"/>
          <w:tab w:val="left" w:pos="4680"/>
          <w:tab w:val="left" w:pos="7020"/>
        </w:tabs>
        <w:spacing w:line="360" w:lineRule="auto"/>
        <w:ind w:left="990" w:leftChars="300" w:hanging="360" w:hangingChars="150"/>
        <w:rPr>
          <w:sz w:val="24"/>
        </w:rPr>
      </w:pPr>
      <w:r>
        <w:rPr>
          <w:i/>
          <w:sz w:val="24"/>
        </w:rPr>
        <w:t>u</w:t>
      </w:r>
      <w:r>
        <w:rPr>
          <w:i/>
          <w:sz w:val="24"/>
          <w:vertAlign w:val="subscript"/>
        </w:rPr>
        <w:t>j</w:t>
      </w:r>
      <w:r>
        <w:rPr>
          <w:color w:val="000000"/>
          <w:sz w:val="24"/>
        </w:rPr>
        <w:t>—</w:t>
      </w:r>
      <w:r>
        <w:rPr>
          <w:sz w:val="24"/>
        </w:rPr>
        <w:t>第</w:t>
      </w:r>
      <w:r>
        <w:rPr>
          <w:i/>
          <w:sz w:val="24"/>
        </w:rPr>
        <w:t>j</w:t>
      </w:r>
      <w:r>
        <w:rPr>
          <w:sz w:val="24"/>
        </w:rPr>
        <w:t>土条在滑弧面上的孔隙水压力(kPa)；基坑采用落底式截水帷幕时，对地下水位以下的砂土、碎石土、粉土，在基坑外侧，可取</w:t>
      </w:r>
      <w:r>
        <w:rPr>
          <w:i/>
          <w:sz w:val="24"/>
        </w:rPr>
        <w:t>u</w:t>
      </w:r>
      <w:r>
        <w:rPr>
          <w:i/>
          <w:sz w:val="24"/>
          <w:vertAlign w:val="subscript"/>
        </w:rPr>
        <w:t>j</w:t>
      </w:r>
      <w:r>
        <w:rPr>
          <w:sz w:val="24"/>
        </w:rPr>
        <w:t>＝</w:t>
      </w:r>
      <w:r>
        <w:rPr>
          <w:i/>
          <w:sz w:val="24"/>
        </w:rPr>
        <w:t>γ</w:t>
      </w:r>
      <w:r>
        <w:rPr>
          <w:sz w:val="24"/>
          <w:vertAlign w:val="subscript"/>
        </w:rPr>
        <w:t>w</w:t>
      </w:r>
      <w:r>
        <w:rPr>
          <w:sz w:val="24"/>
        </w:rPr>
        <w:t>h</w:t>
      </w:r>
      <w:r>
        <w:rPr>
          <w:sz w:val="24"/>
          <w:vertAlign w:val="subscript"/>
        </w:rPr>
        <w:t>wa，</w:t>
      </w:r>
      <w:r>
        <w:rPr>
          <w:i/>
          <w:sz w:val="24"/>
          <w:vertAlign w:val="subscript"/>
        </w:rPr>
        <w:t>j</w:t>
      </w:r>
      <w:r>
        <w:rPr>
          <w:sz w:val="24"/>
        </w:rPr>
        <w:t>，在基坑内侧，可取</w:t>
      </w:r>
      <w:r>
        <w:rPr>
          <w:i/>
          <w:sz w:val="24"/>
        </w:rPr>
        <w:t>u</w:t>
      </w:r>
      <w:r>
        <w:rPr>
          <w:i/>
          <w:sz w:val="24"/>
          <w:vertAlign w:val="subscript"/>
        </w:rPr>
        <w:t>j</w:t>
      </w:r>
      <w:r>
        <w:rPr>
          <w:sz w:val="24"/>
        </w:rPr>
        <w:t>＝</w:t>
      </w:r>
      <w:r>
        <w:rPr>
          <w:i/>
          <w:sz w:val="24"/>
        </w:rPr>
        <w:t>γ</w:t>
      </w:r>
      <w:r>
        <w:rPr>
          <w:sz w:val="24"/>
          <w:vertAlign w:val="subscript"/>
        </w:rPr>
        <w:t>w</w:t>
      </w:r>
      <w:r>
        <w:rPr>
          <w:sz w:val="24"/>
        </w:rPr>
        <w:t>h</w:t>
      </w:r>
      <w:r>
        <w:rPr>
          <w:sz w:val="24"/>
          <w:vertAlign w:val="subscript"/>
        </w:rPr>
        <w:t>wp，</w:t>
      </w:r>
      <w:r>
        <w:rPr>
          <w:i/>
          <w:sz w:val="24"/>
          <w:vertAlign w:val="subscript"/>
        </w:rPr>
        <w:t>j</w:t>
      </w:r>
      <w:r>
        <w:rPr>
          <w:sz w:val="24"/>
        </w:rPr>
        <w:t>；在地下水位以上或对地下水位以下的粘性土，取</w:t>
      </w:r>
      <w:r>
        <w:rPr>
          <w:i/>
          <w:sz w:val="24"/>
        </w:rPr>
        <w:t>u</w:t>
      </w:r>
      <w:r>
        <w:rPr>
          <w:i/>
          <w:sz w:val="24"/>
          <w:vertAlign w:val="subscript"/>
        </w:rPr>
        <w:t>j</w:t>
      </w:r>
      <w:r>
        <w:rPr>
          <w:sz w:val="24"/>
        </w:rPr>
        <w:t>＝0；</w:t>
      </w:r>
    </w:p>
    <w:p>
      <w:pPr>
        <w:tabs>
          <w:tab w:val="left" w:pos="658"/>
          <w:tab w:val="left" w:pos="1372"/>
          <w:tab w:val="left" w:pos="2160"/>
          <w:tab w:val="left" w:pos="3060"/>
          <w:tab w:val="left" w:pos="4680"/>
          <w:tab w:val="left" w:pos="7020"/>
        </w:tabs>
        <w:spacing w:line="360" w:lineRule="auto"/>
        <w:ind w:left="1110" w:leftChars="300" w:hanging="480" w:hangingChars="200"/>
        <w:rPr>
          <w:sz w:val="24"/>
        </w:rPr>
      </w:pPr>
      <w:r>
        <w:rPr>
          <w:i/>
          <w:sz w:val="24"/>
        </w:rPr>
        <w:t>γ</w:t>
      </w:r>
      <w:r>
        <w:rPr>
          <w:sz w:val="24"/>
          <w:vertAlign w:val="subscript"/>
        </w:rPr>
        <w:t>w</w:t>
      </w:r>
      <w:r>
        <w:rPr>
          <w:color w:val="000000"/>
          <w:sz w:val="24"/>
        </w:rPr>
        <w:t>—</w:t>
      </w:r>
      <w:r>
        <w:rPr>
          <w:sz w:val="24"/>
        </w:rPr>
        <w:t>地下水重度(kN/m</w:t>
      </w:r>
      <w:r>
        <w:rPr>
          <w:sz w:val="24"/>
          <w:vertAlign w:val="superscript"/>
        </w:rPr>
        <w:t>3</w:t>
      </w:r>
      <w:r>
        <w:rPr>
          <w:sz w:val="24"/>
        </w:rPr>
        <w:t>)；</w:t>
      </w:r>
    </w:p>
    <w:p>
      <w:pPr>
        <w:tabs>
          <w:tab w:val="left" w:pos="658"/>
          <w:tab w:val="left" w:pos="1134"/>
          <w:tab w:val="left" w:pos="1372"/>
          <w:tab w:val="left" w:pos="2160"/>
          <w:tab w:val="left" w:pos="3060"/>
          <w:tab w:val="left" w:pos="4680"/>
          <w:tab w:val="left" w:pos="7020"/>
        </w:tabs>
        <w:spacing w:line="360" w:lineRule="auto"/>
        <w:ind w:left="1140" w:leftChars="200" w:hanging="720" w:hangingChars="300"/>
        <w:rPr>
          <w:sz w:val="24"/>
        </w:rPr>
      </w:pPr>
      <w:r>
        <w:rPr>
          <w:position w:val="-14"/>
          <w:sz w:val="24"/>
        </w:rPr>
        <w:object>
          <v:shape id="_x0000_i1058" o:spt="75" type="#_x0000_t75" style="height:19.15pt;width:24.15pt;" o:ole="t" filled="f" coordsize="21600,21600">
            <v:path/>
            <v:fill on="f" focussize="0,0"/>
            <v:stroke/>
            <v:imagedata r:id="rId87" o:title=""/>
            <o:lock v:ext="edit" aspectratio="t"/>
            <w10:wrap type="none"/>
            <w10:anchorlock/>
          </v:shape>
          <o:OLEObject Type="Embed" ProgID="Equation.DSMT4" ShapeID="_x0000_i1058" DrawAspect="Content" ObjectID="_1468075758" r:id="rId86">
            <o:LockedField>false</o:LockedField>
          </o:OLEObject>
        </w:object>
      </w:r>
      <w:r>
        <w:rPr>
          <w:color w:val="000000"/>
          <w:sz w:val="24"/>
        </w:rPr>
        <w:t>—</w:t>
      </w:r>
      <w:r>
        <w:rPr>
          <w:sz w:val="24"/>
        </w:rPr>
        <w:t>基坑外</w:t>
      </w:r>
      <w:r>
        <w:rPr>
          <w:rFonts w:hint="eastAsia"/>
          <w:sz w:val="24"/>
        </w:rPr>
        <w:t>侧</w:t>
      </w:r>
      <w:r>
        <w:rPr>
          <w:sz w:val="24"/>
        </w:rPr>
        <w:t>地下水位至第</w:t>
      </w:r>
      <w:r>
        <w:rPr>
          <w:i/>
          <w:sz w:val="24"/>
        </w:rPr>
        <w:t>j</w:t>
      </w:r>
      <w:r>
        <w:rPr>
          <w:sz w:val="24"/>
        </w:rPr>
        <w:t>土条滑弧面中点的</w:t>
      </w:r>
      <w:r>
        <w:rPr>
          <w:rFonts w:hint="eastAsia"/>
          <w:sz w:val="24"/>
        </w:rPr>
        <w:t>压力水头</w:t>
      </w:r>
      <w:r>
        <w:rPr>
          <w:sz w:val="24"/>
        </w:rPr>
        <w:t>(m)；</w:t>
      </w:r>
    </w:p>
    <w:p>
      <w:pPr>
        <w:tabs>
          <w:tab w:val="left" w:pos="658"/>
          <w:tab w:val="left" w:pos="1134"/>
          <w:tab w:val="left" w:pos="1372"/>
          <w:tab w:val="left" w:pos="2160"/>
          <w:tab w:val="left" w:pos="3060"/>
          <w:tab w:val="left" w:pos="4680"/>
          <w:tab w:val="left" w:pos="7020"/>
        </w:tabs>
        <w:spacing w:line="360" w:lineRule="auto"/>
        <w:ind w:left="1140" w:leftChars="200" w:hanging="720" w:hangingChars="300"/>
        <w:rPr>
          <w:sz w:val="24"/>
        </w:rPr>
      </w:pPr>
      <w:r>
        <w:rPr>
          <w:position w:val="-14"/>
          <w:sz w:val="24"/>
        </w:rPr>
        <w:object>
          <v:shape id="_x0000_i1059" o:spt="75" type="#_x0000_t75" style="height:19.15pt;width:24.15pt;" o:ole="t" filled="f" coordsize="21600,21600">
            <v:path/>
            <v:fill on="f" focussize="0,0"/>
            <v:stroke/>
            <v:imagedata r:id="rId89" o:title=""/>
            <o:lock v:ext="edit" aspectratio="t"/>
            <w10:wrap type="none"/>
            <w10:anchorlock/>
          </v:shape>
          <o:OLEObject Type="Embed" ProgID="Equation.DSMT4" ShapeID="_x0000_i1059" DrawAspect="Content" ObjectID="_1468075759" r:id="rId88">
            <o:LockedField>false</o:LockedField>
          </o:OLEObject>
        </w:object>
      </w:r>
      <w:r>
        <w:rPr>
          <w:color w:val="000000"/>
          <w:sz w:val="24"/>
        </w:rPr>
        <w:t>—</w:t>
      </w:r>
      <w:r>
        <w:rPr>
          <w:sz w:val="24"/>
        </w:rPr>
        <w:t>基坑内</w:t>
      </w:r>
      <w:r>
        <w:rPr>
          <w:rFonts w:hint="eastAsia"/>
          <w:sz w:val="24"/>
        </w:rPr>
        <w:t>侧</w:t>
      </w:r>
      <w:r>
        <w:rPr>
          <w:sz w:val="24"/>
        </w:rPr>
        <w:t>地下水位至第</w:t>
      </w:r>
      <w:r>
        <w:rPr>
          <w:i/>
          <w:sz w:val="24"/>
        </w:rPr>
        <w:t>j</w:t>
      </w:r>
      <w:r>
        <w:rPr>
          <w:sz w:val="24"/>
        </w:rPr>
        <w:t>土条滑弧面中点的</w:t>
      </w:r>
      <w:r>
        <w:rPr>
          <w:rFonts w:hint="eastAsia"/>
          <w:sz w:val="24"/>
        </w:rPr>
        <w:t>压力水头</w:t>
      </w:r>
      <w:r>
        <w:rPr>
          <w:sz w:val="24"/>
        </w:rPr>
        <w:t xml:space="preserve"> (m)；</w:t>
      </w:r>
    </w:p>
    <w:p>
      <w:pPr>
        <w:tabs>
          <w:tab w:val="left" w:pos="1120"/>
          <w:tab w:val="left" w:pos="1372"/>
          <w:tab w:val="left" w:pos="2160"/>
          <w:tab w:val="left" w:pos="3060"/>
          <w:tab w:val="left" w:pos="4680"/>
          <w:tab w:val="left" w:pos="7020"/>
        </w:tabs>
        <w:spacing w:line="360" w:lineRule="auto"/>
        <w:ind w:left="1140" w:leftChars="200" w:hanging="720" w:hangingChars="300"/>
        <w:rPr>
          <w:sz w:val="24"/>
        </w:rPr>
      </w:pPr>
      <w:r>
        <w:rPr>
          <w:position w:val="-14"/>
          <w:sz w:val="24"/>
        </w:rPr>
        <w:object>
          <v:shape id="_x0000_i1060" o:spt="75" type="#_x0000_t75" style="height:19.9pt;width:24.15pt;" o:ole="t" filled="f" coordsize="21600,21600">
            <v:path/>
            <v:fill on="f" focussize="0,0"/>
            <v:stroke/>
            <v:imagedata r:id="rId91" o:title=""/>
            <o:lock v:ext="edit" aspectratio="t"/>
            <w10:wrap type="none"/>
            <w10:anchorlock/>
          </v:shape>
          <o:OLEObject Type="Embed" ProgID="Equation.DSMT4" ShapeID="_x0000_i1060" DrawAspect="Content" ObjectID="_1468075760" r:id="rId90">
            <o:LockedField>false</o:LockedField>
          </o:OLEObject>
        </w:object>
      </w:r>
      <w:r>
        <w:rPr>
          <w:color w:val="000000"/>
          <w:sz w:val="24"/>
        </w:rPr>
        <w:t>—</w:t>
      </w:r>
      <w:r>
        <w:rPr>
          <w:sz w:val="24"/>
        </w:rPr>
        <w:t>第</w:t>
      </w:r>
      <w:r>
        <w:rPr>
          <w:i/>
          <w:sz w:val="24"/>
        </w:rPr>
        <w:t>k</w:t>
      </w:r>
      <w:r>
        <w:rPr>
          <w:sz w:val="24"/>
        </w:rPr>
        <w:t>层锚杆对圆弧滑动体的极限拉力值(kN)；应取锚杆在滑动面以外的锚固体极限抗拔承载力标准值与锚杆杆体受拉承载力标准值（</w:t>
      </w:r>
      <w:r>
        <w:rPr>
          <w:i/>
          <w:sz w:val="24"/>
        </w:rPr>
        <w:t>f</w:t>
      </w:r>
      <w:r>
        <w:rPr>
          <w:sz w:val="24"/>
          <w:vertAlign w:val="subscript"/>
        </w:rPr>
        <w:t>ptk</w:t>
      </w:r>
      <w:r>
        <w:rPr>
          <w:i/>
          <w:sz w:val="24"/>
        </w:rPr>
        <w:t>A</w:t>
      </w:r>
      <w:r>
        <w:rPr>
          <w:sz w:val="24"/>
          <w:vertAlign w:val="subscript"/>
        </w:rPr>
        <w:t>p</w:t>
      </w:r>
      <w:r>
        <w:rPr>
          <w:sz w:val="24"/>
        </w:rPr>
        <w:t>或</w:t>
      </w:r>
      <w:r>
        <w:rPr>
          <w:i/>
          <w:sz w:val="24"/>
        </w:rPr>
        <w:t>f</w:t>
      </w:r>
      <w:r>
        <w:rPr>
          <w:sz w:val="24"/>
          <w:vertAlign w:val="subscript"/>
        </w:rPr>
        <w:t>yk</w:t>
      </w:r>
      <w:r>
        <w:rPr>
          <w:i/>
          <w:sz w:val="24"/>
        </w:rPr>
        <w:t>A</w:t>
      </w:r>
      <w:r>
        <w:rPr>
          <w:sz w:val="24"/>
          <w:vertAlign w:val="subscript"/>
        </w:rPr>
        <w:t>s</w:t>
      </w:r>
      <w:r>
        <w:rPr>
          <w:sz w:val="24"/>
        </w:rPr>
        <w:t>）的较小值；锚固体的极限抗拔承载力应按本规程第</w:t>
      </w:r>
      <w:r>
        <w:rPr>
          <w:rFonts w:hint="eastAsia"/>
          <w:sz w:val="24"/>
        </w:rPr>
        <w:t>5.6.2</w:t>
      </w:r>
      <w:r>
        <w:rPr>
          <w:sz w:val="24"/>
        </w:rPr>
        <w:t>条的规定计算，但锚固段应取滑动面以外的长度；对悬臂式、双排桩支挡结构，采用公式（5.</w:t>
      </w:r>
      <w:r>
        <w:rPr>
          <w:rFonts w:hint="eastAsia"/>
          <w:sz w:val="24"/>
        </w:rPr>
        <w:t>4</w:t>
      </w:r>
      <w:r>
        <w:rPr>
          <w:sz w:val="24"/>
        </w:rPr>
        <w:t>.2-2）时不考虑</w:t>
      </w:r>
      <w:r>
        <w:rPr>
          <w:position w:val="-16"/>
          <w:sz w:val="24"/>
        </w:rPr>
        <w:object>
          <v:shape id="_x0000_i1061" o:spt="75" type="#_x0000_t75" style="height:21.85pt;width:155.5pt;" o:ole="t" filled="f" coordsize="21600,21600">
            <v:path/>
            <v:fill on="f" focussize="0,0"/>
            <v:stroke/>
            <v:imagedata r:id="rId93" o:title=""/>
            <o:lock v:ext="edit" aspectratio="t"/>
            <w10:wrap type="none"/>
            <w10:anchorlock/>
          </v:shape>
          <o:OLEObject Type="Embed" ProgID="Equation.DSMT4" ShapeID="_x0000_i1061" DrawAspect="Content" ObjectID="_1468075761" r:id="rId92">
            <o:LockedField>false</o:LockedField>
          </o:OLEObject>
        </w:object>
      </w:r>
      <w:r>
        <w:rPr>
          <w:sz w:val="24"/>
        </w:rPr>
        <w:t>项；</w:t>
      </w:r>
    </w:p>
    <w:p>
      <w:pPr>
        <w:tabs>
          <w:tab w:val="left" w:pos="870"/>
          <w:tab w:val="left" w:pos="1120"/>
          <w:tab w:val="left" w:pos="1372"/>
          <w:tab w:val="left" w:pos="2160"/>
          <w:tab w:val="left" w:pos="3060"/>
          <w:tab w:val="left" w:pos="4680"/>
          <w:tab w:val="left" w:pos="7020"/>
        </w:tabs>
        <w:spacing w:line="360" w:lineRule="auto"/>
        <w:ind w:left="1110" w:leftChars="300" w:hanging="480" w:hangingChars="200"/>
        <w:rPr>
          <w:sz w:val="24"/>
        </w:rPr>
      </w:pPr>
      <w:r>
        <w:rPr>
          <w:i/>
          <w:sz w:val="24"/>
        </w:rPr>
        <w:t>α</w:t>
      </w:r>
      <w:r>
        <w:rPr>
          <w:i/>
          <w:sz w:val="24"/>
          <w:vertAlign w:val="subscript"/>
        </w:rPr>
        <w:t>k</w:t>
      </w:r>
      <w:r>
        <w:rPr>
          <w:color w:val="000000"/>
          <w:sz w:val="24"/>
        </w:rPr>
        <w:t>—</w:t>
      </w:r>
      <w:r>
        <w:rPr>
          <w:sz w:val="24"/>
        </w:rPr>
        <w:t>第</w:t>
      </w:r>
      <w:r>
        <w:rPr>
          <w:i/>
          <w:sz w:val="24"/>
        </w:rPr>
        <w:t>k</w:t>
      </w:r>
      <w:r>
        <w:rPr>
          <w:sz w:val="24"/>
        </w:rPr>
        <w:t>层锚杆的倾角(°)；</w:t>
      </w:r>
    </w:p>
    <w:p>
      <w:pPr>
        <w:tabs>
          <w:tab w:val="left" w:pos="765"/>
          <w:tab w:val="left" w:pos="1440"/>
          <w:tab w:val="left" w:pos="1620"/>
          <w:tab w:val="left" w:pos="2160"/>
          <w:tab w:val="left" w:pos="3060"/>
          <w:tab w:val="left" w:pos="4680"/>
          <w:tab w:val="left" w:pos="7020"/>
        </w:tabs>
        <w:spacing w:line="360" w:lineRule="auto"/>
        <w:ind w:left="1005" w:leftChars="250" w:hanging="480" w:hangingChars="200"/>
        <w:rPr>
          <w:sz w:val="24"/>
        </w:rPr>
      </w:pPr>
      <w:r>
        <w:rPr>
          <w:position w:val="-14"/>
          <w:sz w:val="24"/>
        </w:rPr>
        <w:object>
          <v:shape id="_x0000_i1062" o:spt="75" type="#_x0000_t75" style="height:19.15pt;width:19.15pt;" o:ole="t" filled="f" coordsize="21600,21600">
            <v:path/>
            <v:fill on="f" focussize="0,0"/>
            <v:stroke/>
            <v:imagedata r:id="rId95" o:title=""/>
            <o:lock v:ext="edit" aspectratio="t"/>
            <w10:wrap type="none"/>
            <w10:anchorlock/>
          </v:shape>
          <o:OLEObject Type="Embed" ProgID="Equation.DSMT4" ShapeID="_x0000_i1062" DrawAspect="Content" ObjectID="_1468075762" r:id="rId94">
            <o:LockedField>false</o:LockedField>
          </o:OLEObject>
        </w:object>
      </w:r>
      <w:r>
        <w:rPr>
          <w:color w:val="000000"/>
          <w:sz w:val="24"/>
        </w:rPr>
        <w:t>—</w:t>
      </w:r>
      <w:r>
        <w:rPr>
          <w:sz w:val="24"/>
        </w:rPr>
        <w:t>第</w:t>
      </w:r>
      <w:r>
        <w:rPr>
          <w:i/>
          <w:sz w:val="24"/>
        </w:rPr>
        <w:t>k</w:t>
      </w:r>
      <w:r>
        <w:rPr>
          <w:sz w:val="24"/>
        </w:rPr>
        <w:t>层锚杆的水平间距(m)；</w:t>
      </w:r>
    </w:p>
    <w:p>
      <w:pPr>
        <w:tabs>
          <w:tab w:val="left" w:pos="870"/>
          <w:tab w:val="left" w:pos="930"/>
          <w:tab w:val="left" w:pos="1620"/>
          <w:tab w:val="left" w:pos="2160"/>
          <w:tab w:val="left" w:pos="3060"/>
          <w:tab w:val="left" w:pos="4680"/>
          <w:tab w:val="left" w:pos="7020"/>
        </w:tabs>
        <w:spacing w:line="360" w:lineRule="auto"/>
        <w:ind w:left="1110" w:leftChars="300" w:hanging="480" w:hangingChars="200"/>
        <w:rPr>
          <w:sz w:val="24"/>
        </w:rPr>
      </w:pPr>
      <w:r>
        <w:rPr>
          <w:i/>
          <w:sz w:val="24"/>
        </w:rPr>
        <w:t>ψ</w:t>
      </w:r>
      <w:r>
        <w:rPr>
          <w:sz w:val="24"/>
          <w:vertAlign w:val="subscript"/>
        </w:rPr>
        <w:t>v</w:t>
      </w:r>
      <w:r>
        <w:rPr>
          <w:color w:val="000000"/>
          <w:sz w:val="24"/>
        </w:rPr>
        <w:t>—</w:t>
      </w:r>
      <w:r>
        <w:rPr>
          <w:sz w:val="24"/>
        </w:rPr>
        <w:t>计算系数；可按</w:t>
      </w:r>
      <w:r>
        <w:rPr>
          <w:i/>
          <w:sz w:val="24"/>
        </w:rPr>
        <w:t>ψ</w:t>
      </w:r>
      <w:r>
        <w:rPr>
          <w:sz w:val="24"/>
          <w:vertAlign w:val="subscript"/>
        </w:rPr>
        <w:t>v</w:t>
      </w:r>
      <w:r>
        <w:rPr>
          <w:sz w:val="24"/>
        </w:rPr>
        <w:t>＝0.5sin（</w:t>
      </w:r>
      <w:r>
        <w:rPr>
          <w:i/>
          <w:iCs/>
          <w:sz w:val="24"/>
        </w:rPr>
        <w:t>θ</w:t>
      </w:r>
      <w:r>
        <w:rPr>
          <w:iCs/>
          <w:sz w:val="24"/>
          <w:vertAlign w:val="subscript"/>
        </w:rPr>
        <w:t>k</w:t>
      </w:r>
      <w:r>
        <w:rPr>
          <w:iCs/>
          <w:sz w:val="24"/>
        </w:rPr>
        <w:t>＋</w:t>
      </w:r>
      <w:r>
        <w:rPr>
          <w:i/>
          <w:sz w:val="24"/>
        </w:rPr>
        <w:t>α</w:t>
      </w:r>
      <w:r>
        <w:rPr>
          <w:sz w:val="24"/>
          <w:vertAlign w:val="subscript"/>
        </w:rPr>
        <w:t>k</w:t>
      </w:r>
      <w:r>
        <w:rPr>
          <w:sz w:val="24"/>
        </w:rPr>
        <w:t>）tan</w:t>
      </w:r>
      <w:r>
        <w:rPr>
          <w:i/>
          <w:sz w:val="24"/>
        </w:rPr>
        <w:sym w:font="Symbol" w:char="F06A"/>
      </w:r>
      <w:r>
        <w:rPr>
          <w:sz w:val="24"/>
        </w:rPr>
        <w:t>取值；</w:t>
      </w:r>
    </w:p>
    <w:p>
      <w:pPr>
        <w:tabs>
          <w:tab w:val="left" w:pos="870"/>
          <w:tab w:val="left" w:pos="930"/>
          <w:tab w:val="left" w:pos="1620"/>
          <w:tab w:val="left" w:pos="2160"/>
          <w:tab w:val="left" w:pos="3060"/>
          <w:tab w:val="left" w:pos="4680"/>
          <w:tab w:val="left" w:pos="7020"/>
        </w:tabs>
        <w:spacing w:line="360" w:lineRule="auto"/>
        <w:ind w:left="1110" w:leftChars="300" w:hanging="480" w:hangingChars="200"/>
        <w:rPr>
          <w:sz w:val="24"/>
        </w:rPr>
      </w:pPr>
      <w:r>
        <w:rPr>
          <w:i/>
          <w:sz w:val="24"/>
        </w:rPr>
        <w:sym w:font="Symbol" w:char="F06A"/>
      </w:r>
      <w:r>
        <w:rPr>
          <w:color w:val="000000"/>
          <w:sz w:val="24"/>
        </w:rPr>
        <w:t>—</w:t>
      </w:r>
      <w:r>
        <w:rPr>
          <w:sz w:val="24"/>
        </w:rPr>
        <w:t>为第</w:t>
      </w:r>
      <w:r>
        <w:rPr>
          <w:i/>
          <w:sz w:val="24"/>
        </w:rPr>
        <w:t>k</w:t>
      </w:r>
      <w:r>
        <w:rPr>
          <w:sz w:val="24"/>
        </w:rPr>
        <w:t>层锚杆与滑弧交点处土的内摩擦角(°)。</w:t>
      </w:r>
    </w:p>
    <w:p>
      <w:pPr>
        <w:spacing w:line="360" w:lineRule="auto"/>
        <w:jc w:val="center"/>
        <w:rPr>
          <w:color w:val="FF0000"/>
          <w:sz w:val="24"/>
        </w:rPr>
      </w:pPr>
      <w:r>
        <w:rPr>
          <w:b/>
          <w:color w:val="FF0000"/>
          <w:sz w:val="24"/>
        </w:rPr>
        <w:drawing>
          <wp:inline distT="0" distB="0" distL="0" distR="0">
            <wp:extent cx="4204335" cy="2191385"/>
            <wp:effectExtent l="0" t="0" r="5715" b="0"/>
            <wp:docPr id="26" name="图片 26" descr="E:\G规范编制\昆明地区基坑规范编制\2019.6第二次审查修改\插图\图5.4.2  圆弧滑动条分法整体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G规范编制\昆明地区基坑规范编制\2019.6第二次审查修改\插图\图5.4.2  圆弧滑动条分法整体稳定性验算.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4204335" cy="2191385"/>
                    </a:xfrm>
                    <a:prstGeom prst="rect">
                      <a:avLst/>
                    </a:prstGeom>
                    <a:noFill/>
                    <a:ln>
                      <a:noFill/>
                    </a:ln>
                  </pic:spPr>
                </pic:pic>
              </a:graphicData>
            </a:graphic>
          </wp:inline>
        </w:drawing>
      </w:r>
    </w:p>
    <w:p>
      <w:pPr>
        <w:spacing w:line="360" w:lineRule="auto"/>
        <w:jc w:val="center"/>
        <w:rPr>
          <w:b/>
          <w:sz w:val="24"/>
        </w:rPr>
      </w:pPr>
      <w:r>
        <w:rPr>
          <w:b/>
          <w:sz w:val="24"/>
        </w:rPr>
        <w:t>图5.</w:t>
      </w:r>
      <w:r>
        <w:rPr>
          <w:rFonts w:hint="eastAsia"/>
          <w:b/>
          <w:sz w:val="24"/>
        </w:rPr>
        <w:t>4</w:t>
      </w:r>
      <w:r>
        <w:rPr>
          <w:b/>
          <w:sz w:val="24"/>
        </w:rPr>
        <w:t>.</w:t>
      </w:r>
      <w:r>
        <w:rPr>
          <w:rFonts w:hint="eastAsia"/>
          <w:b/>
          <w:sz w:val="24"/>
        </w:rPr>
        <w:t>2</w:t>
      </w:r>
      <w:r>
        <w:rPr>
          <w:b/>
          <w:sz w:val="24"/>
        </w:rPr>
        <w:t xml:space="preserve">  圆弧滑动条分法整体稳定性验算</w:t>
      </w:r>
    </w:p>
    <w:p>
      <w:pPr>
        <w:spacing w:line="360" w:lineRule="auto"/>
        <w:jc w:val="center"/>
        <w:rPr>
          <w:szCs w:val="21"/>
        </w:rPr>
      </w:pPr>
      <w:r>
        <w:rPr>
          <w:szCs w:val="21"/>
        </w:rPr>
        <w:t>1—任意圆弧滑动面；2—锚杆</w:t>
      </w:r>
    </w:p>
    <w:p>
      <w:pPr>
        <w:pStyle w:val="21"/>
        <w:tabs>
          <w:tab w:val="left" w:pos="900"/>
          <w:tab w:val="left" w:pos="1246"/>
          <w:tab w:val="left" w:pos="7020"/>
        </w:tabs>
        <w:topLinePunct/>
        <w:autoSpaceDE w:val="0"/>
        <w:autoSpaceDN w:val="0"/>
        <w:adjustRightInd w:val="0"/>
        <w:snapToGrid w:val="0"/>
        <w:ind w:firstLine="0"/>
        <w:jc w:val="left"/>
        <w:rPr>
          <w:rFonts w:ascii="Times New Roman" w:hAnsi="Times New Roman"/>
          <w:color w:val="auto"/>
          <w:sz w:val="24"/>
          <w:szCs w:val="24"/>
          <w:lang w:eastAsia="zh-CN"/>
        </w:rPr>
      </w:pPr>
      <w:r>
        <w:rPr>
          <w:rFonts w:ascii="Times New Roman" w:hAnsi="Times New Roman"/>
          <w:b/>
          <w:color w:val="auto"/>
          <w:sz w:val="24"/>
          <w:szCs w:val="24"/>
        </w:rPr>
        <w:t>5.</w:t>
      </w:r>
      <w:r>
        <w:rPr>
          <w:rFonts w:hint="eastAsia" w:ascii="Times New Roman" w:hAnsi="Times New Roman"/>
          <w:b/>
          <w:color w:val="auto"/>
          <w:sz w:val="24"/>
          <w:szCs w:val="24"/>
          <w:lang w:eastAsia="zh-CN"/>
        </w:rPr>
        <w:t>4</w:t>
      </w:r>
      <w:r>
        <w:rPr>
          <w:rFonts w:ascii="Times New Roman" w:hAnsi="Times New Roman"/>
          <w:b/>
          <w:color w:val="auto"/>
          <w:sz w:val="24"/>
          <w:szCs w:val="24"/>
        </w:rPr>
        <w:t>.</w:t>
      </w:r>
      <w:r>
        <w:rPr>
          <w:rFonts w:hint="eastAsia" w:ascii="Times New Roman" w:hAnsi="Times New Roman"/>
          <w:b/>
          <w:color w:val="auto"/>
          <w:sz w:val="24"/>
          <w:szCs w:val="24"/>
          <w:lang w:eastAsia="zh-CN"/>
        </w:rPr>
        <w:t xml:space="preserve">3 </w:t>
      </w:r>
      <w:r>
        <w:rPr>
          <w:rFonts w:ascii="Times New Roman" w:hAnsi="Times New Roman"/>
          <w:b/>
          <w:color w:val="auto"/>
          <w:sz w:val="24"/>
          <w:szCs w:val="24"/>
        </w:rPr>
        <w:t xml:space="preserve"> </w:t>
      </w:r>
      <w:r>
        <w:rPr>
          <w:rFonts w:ascii="Times New Roman" w:hAnsi="Times New Roman"/>
          <w:color w:val="auto"/>
          <w:sz w:val="24"/>
          <w:szCs w:val="24"/>
        </w:rPr>
        <w:t>支挡式结构嵌固深度应满足坑底隆起稳定性要求，抗隆起稳定性可按下列公式验算（图5.</w:t>
      </w:r>
      <w:r>
        <w:rPr>
          <w:rFonts w:hint="eastAsia" w:ascii="Times New Roman" w:hAnsi="Times New Roman"/>
          <w:color w:val="auto"/>
          <w:sz w:val="24"/>
          <w:szCs w:val="24"/>
          <w:lang w:eastAsia="zh-CN"/>
        </w:rPr>
        <w:t>4</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-1、5.</w:t>
      </w:r>
      <w:r>
        <w:rPr>
          <w:rFonts w:hint="eastAsia" w:ascii="Times New Roman" w:hAnsi="Times New Roman"/>
          <w:color w:val="auto"/>
          <w:sz w:val="24"/>
          <w:szCs w:val="24"/>
          <w:lang w:eastAsia="zh-CN"/>
        </w:rPr>
        <w:t>4</w:t>
      </w:r>
      <w:r>
        <w:rPr>
          <w:rFonts w:ascii="Times New Roman" w:hAnsi="Times New Roman"/>
          <w:color w:val="auto"/>
          <w:sz w:val="24"/>
          <w:szCs w:val="24"/>
        </w:rPr>
        <w:t>.</w:t>
      </w:r>
      <w:r>
        <w:rPr>
          <w:rFonts w:hint="eastAsia" w:ascii="Times New Roman" w:hAnsi="Times New Roman"/>
          <w:color w:val="auto"/>
          <w:sz w:val="24"/>
          <w:szCs w:val="24"/>
          <w:lang w:eastAsia="zh-CN"/>
        </w:rPr>
        <w:t>3</w:t>
      </w:r>
      <w:r>
        <w:rPr>
          <w:rFonts w:ascii="Times New Roman" w:hAnsi="Times New Roman"/>
          <w:color w:val="auto"/>
          <w:sz w:val="24"/>
          <w:szCs w:val="24"/>
        </w:rPr>
        <w:t>-2）。</w:t>
      </w:r>
    </w:p>
    <w:p>
      <w:pPr>
        <w:spacing w:line="360" w:lineRule="auto"/>
        <w:jc w:val="center"/>
        <w:rPr>
          <w:sz w:val="24"/>
        </w:rPr>
      </w:pPr>
      <w:r>
        <w:rPr>
          <w:sz w:val="24"/>
        </w:rPr>
        <w:drawing>
          <wp:inline distT="0" distB="0" distL="0" distR="0">
            <wp:extent cx="2973070" cy="2431415"/>
            <wp:effectExtent l="0" t="0" r="0" b="6985"/>
            <wp:docPr id="28" name="图片 28" descr="E:\G规范编制\昆明地区基坑规范编制\2019.6第二次审查修改\插图\图5.4.3-1  挡土构件底端平面下土的抗隆起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G规范编制\昆明地区基坑规范编制\2019.6第二次审查修改\插图\图5.4.3-1  挡土构件底端平面下土的抗隆起稳定性验算.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973070" cy="2431415"/>
                    </a:xfrm>
                    <a:prstGeom prst="rect">
                      <a:avLst/>
                    </a:prstGeom>
                    <a:noFill/>
                    <a:ln>
                      <a:noFill/>
                    </a:ln>
                  </pic:spPr>
                </pic:pic>
              </a:graphicData>
            </a:graphic>
          </wp:inline>
        </w:drawing>
      </w:r>
    </w:p>
    <w:p>
      <w:pPr>
        <w:spacing w:line="360" w:lineRule="auto"/>
        <w:jc w:val="center"/>
        <w:rPr>
          <w:b/>
          <w:sz w:val="24"/>
        </w:rPr>
      </w:pPr>
      <w:r>
        <w:rPr>
          <w:b/>
          <w:sz w:val="24"/>
        </w:rPr>
        <w:t>图5.</w:t>
      </w:r>
      <w:r>
        <w:rPr>
          <w:rFonts w:hint="eastAsia"/>
          <w:b/>
          <w:sz w:val="24"/>
        </w:rPr>
        <w:t>4.3</w:t>
      </w:r>
      <w:r>
        <w:rPr>
          <w:b/>
          <w:sz w:val="24"/>
        </w:rPr>
        <w:t>-1  挡土构件底端平面下土的抗隆起稳定性验算</w:t>
      </w:r>
    </w:p>
    <w:p>
      <w:pPr>
        <w:spacing w:line="360" w:lineRule="auto"/>
        <w:ind w:firstLine="424" w:firstLineChars="202"/>
        <w:jc w:val="right"/>
        <w:rPr>
          <w:sz w:val="24"/>
        </w:rPr>
      </w:pPr>
      <w:r>
        <w:rPr>
          <w:position w:val="-30"/>
        </w:rPr>
        <w:object>
          <v:shape id="_x0000_i1063" o:spt="75" type="#_x0000_t75" style="height:34.45pt;width:103.4pt;" o:ole="t" filled="f" coordsize="21600,21600">
            <v:path/>
            <v:fill on="f" focussize="0,0"/>
            <v:stroke/>
            <v:imagedata r:id="rId99" o:title=""/>
            <o:lock v:ext="edit" aspectratio="t"/>
            <w10:wrap type="none"/>
            <w10:anchorlock/>
          </v:shape>
          <o:OLEObject Type="Embed" ProgID="Equation.DSMT4" ShapeID="_x0000_i1063" DrawAspect="Content" ObjectID="_1468075763" r:id="rId98">
            <o:LockedField>false</o:LockedField>
          </o:OLEObject>
        </w:object>
      </w:r>
      <w:r>
        <w:rPr>
          <w:sz w:val="24"/>
        </w:rPr>
        <w:t xml:space="preserve">                （</w:t>
      </w:r>
      <w:r>
        <w:rPr>
          <w:rFonts w:hint="eastAsia"/>
          <w:sz w:val="24"/>
        </w:rPr>
        <w:t>5.4.3</w:t>
      </w:r>
      <w:r>
        <w:rPr>
          <w:sz w:val="24"/>
        </w:rPr>
        <w:t>-1）</w:t>
      </w:r>
    </w:p>
    <w:p>
      <w:pPr>
        <w:spacing w:line="360" w:lineRule="auto"/>
        <w:ind w:firstLine="424" w:firstLineChars="202"/>
        <w:jc w:val="right"/>
        <w:rPr>
          <w:sz w:val="24"/>
        </w:rPr>
      </w:pPr>
      <w:r>
        <w:rPr>
          <w:position w:val="-24"/>
        </w:rPr>
        <w:object>
          <v:shape id="_x0000_i1064" o:spt="75" type="#_x0000_t75" style="height:31.4pt;width:117.95pt;" o:ole="t" filled="f" coordsize="21600,21600">
            <v:path/>
            <v:fill on="f" focussize="0,0"/>
            <v:stroke/>
            <v:imagedata r:id="rId101" o:title=""/>
            <o:lock v:ext="edit" aspectratio="t"/>
            <w10:wrap type="none"/>
            <w10:anchorlock/>
          </v:shape>
          <o:OLEObject Type="Embed" ProgID="Equation.DSMT4" ShapeID="_x0000_i1064" DrawAspect="Content" ObjectID="_1468075764" r:id="rId100">
            <o:LockedField>false</o:LockedField>
          </o:OLEObject>
        </w:object>
      </w:r>
      <w:r>
        <w:rPr>
          <w:sz w:val="24"/>
        </w:rPr>
        <w:t xml:space="preserve">              （</w:t>
      </w:r>
      <w:r>
        <w:rPr>
          <w:rFonts w:hint="eastAsia"/>
          <w:sz w:val="24"/>
        </w:rPr>
        <w:t>5.4.3</w:t>
      </w:r>
      <w:r>
        <w:rPr>
          <w:sz w:val="24"/>
        </w:rPr>
        <w:t>-2）</w:t>
      </w:r>
    </w:p>
    <w:p>
      <w:pPr>
        <w:spacing w:line="360" w:lineRule="auto"/>
        <w:ind w:firstLine="424" w:firstLineChars="202"/>
        <w:jc w:val="right"/>
        <w:rPr>
          <w:sz w:val="24"/>
        </w:rPr>
      </w:pPr>
      <w:r>
        <w:rPr>
          <w:position w:val="-14"/>
        </w:rPr>
        <w:object>
          <v:shape id="_x0000_i1065" o:spt="75" type="#_x0000_t75" style="height:19.15pt;width:98.05pt;" o:ole="t" filled="f" coordsize="21600,21600">
            <v:path/>
            <v:fill on="f" focussize="0,0"/>
            <v:stroke/>
            <v:imagedata r:id="rId103" o:title=""/>
            <o:lock v:ext="edit" aspectratio="t"/>
            <w10:wrap type="none"/>
            <w10:anchorlock/>
          </v:shape>
          <o:OLEObject Type="Embed" ProgID="Equation.DSMT4" ShapeID="_x0000_i1065" DrawAspect="Content" ObjectID="_1468075765" r:id="rId102">
            <o:LockedField>false</o:LockedField>
          </o:OLEObject>
        </w:object>
      </w:r>
      <w:r>
        <w:rPr>
          <w:sz w:val="24"/>
        </w:rPr>
        <w:t xml:space="preserve">                （</w:t>
      </w:r>
      <w:r>
        <w:rPr>
          <w:rFonts w:hint="eastAsia"/>
          <w:sz w:val="24"/>
        </w:rPr>
        <w:t>5.4.3</w:t>
      </w:r>
      <w:r>
        <w:rPr>
          <w:sz w:val="24"/>
        </w:rPr>
        <w:t>-3）</w:t>
      </w:r>
    </w:p>
    <w:p>
      <w:pPr>
        <w:tabs>
          <w:tab w:val="left" w:pos="672"/>
          <w:tab w:val="left" w:pos="1036"/>
          <w:tab w:val="left" w:pos="1980"/>
          <w:tab w:val="left" w:pos="2160"/>
          <w:tab w:val="left" w:pos="7020"/>
        </w:tabs>
        <w:spacing w:line="360" w:lineRule="auto"/>
        <w:ind w:left="1200" w:hanging="1200" w:hangingChars="500"/>
        <w:rPr>
          <w:sz w:val="24"/>
        </w:rPr>
      </w:pPr>
      <w:r>
        <w:rPr>
          <w:sz w:val="24"/>
        </w:rPr>
        <w:t>式中：</w:t>
      </w:r>
      <w:r>
        <w:rPr>
          <w:i/>
          <w:sz w:val="24"/>
        </w:rPr>
        <w:t>K</w:t>
      </w:r>
      <w:r>
        <w:rPr>
          <w:rFonts w:hint="eastAsia"/>
          <w:sz w:val="24"/>
          <w:vertAlign w:val="subscript"/>
        </w:rPr>
        <w:t>b</w:t>
      </w:r>
      <w:r>
        <w:rPr>
          <w:sz w:val="24"/>
        </w:rPr>
        <w:t>—</w:t>
      </w:r>
      <w:r>
        <w:rPr>
          <w:rFonts w:hint="eastAsia"/>
          <w:sz w:val="24"/>
        </w:rPr>
        <w:t>抗隆起安全系数；安全等级为一级、二级、三级的支护结构，</w:t>
      </w:r>
      <w:r>
        <w:rPr>
          <w:i/>
          <w:sz w:val="24"/>
        </w:rPr>
        <w:t>K</w:t>
      </w:r>
      <w:r>
        <w:rPr>
          <w:rFonts w:hint="eastAsia"/>
          <w:sz w:val="24"/>
          <w:vertAlign w:val="subscript"/>
        </w:rPr>
        <w:t>b</w:t>
      </w:r>
      <w:r>
        <w:rPr>
          <w:rFonts w:hint="eastAsia"/>
          <w:sz w:val="24"/>
        </w:rPr>
        <w:t>分别不应小于1.80、1.60、1.40；</w:t>
      </w:r>
    </w:p>
    <w:p>
      <w:pPr>
        <w:tabs>
          <w:tab w:val="left" w:pos="0"/>
        </w:tabs>
        <w:spacing w:line="360" w:lineRule="auto"/>
        <w:ind w:left="1272" w:leftChars="337" w:hanging="564" w:hangingChars="235"/>
        <w:jc w:val="left"/>
        <w:rPr>
          <w:i/>
          <w:sz w:val="24"/>
        </w:rPr>
      </w:pPr>
      <w:r>
        <w:rPr>
          <w:i/>
          <w:sz w:val="24"/>
        </w:rPr>
        <w:t>γ</w:t>
      </w:r>
      <w:r>
        <w:rPr>
          <w:sz w:val="24"/>
          <w:vertAlign w:val="subscript"/>
        </w:rPr>
        <w:t>m1</w:t>
      </w:r>
      <w:r>
        <w:rPr>
          <w:sz w:val="24"/>
        </w:rPr>
        <w:t>—</w:t>
      </w:r>
      <w:r>
        <w:rPr>
          <w:rFonts w:hint="eastAsia"/>
          <w:sz w:val="24"/>
        </w:rPr>
        <w:t>基坑外挡土构件底面以上土的天然重度(kN/m</w:t>
      </w:r>
      <w:r>
        <w:rPr>
          <w:rFonts w:hint="eastAsia"/>
          <w:sz w:val="24"/>
          <w:vertAlign w:val="superscript"/>
        </w:rPr>
        <w:t>3</w:t>
      </w:r>
      <w:r>
        <w:rPr>
          <w:rFonts w:hint="eastAsia"/>
          <w:sz w:val="24"/>
        </w:rPr>
        <w:t>)；对地下水位以下的砂土、碎石土、粉土取浮重度；对多层土取各层土按厚度加权的平均重度；</w:t>
      </w:r>
    </w:p>
    <w:p>
      <w:pPr>
        <w:tabs>
          <w:tab w:val="left" w:pos="0"/>
        </w:tabs>
        <w:spacing w:line="360" w:lineRule="auto"/>
        <w:ind w:left="1272" w:leftChars="337" w:hanging="564" w:hangingChars="235"/>
        <w:jc w:val="left"/>
        <w:rPr>
          <w:sz w:val="24"/>
        </w:rPr>
      </w:pPr>
      <w:r>
        <w:rPr>
          <w:i/>
          <w:sz w:val="24"/>
        </w:rPr>
        <w:t>γ</w:t>
      </w:r>
      <w:r>
        <w:rPr>
          <w:sz w:val="24"/>
          <w:vertAlign w:val="subscript"/>
        </w:rPr>
        <w:t>m2</w:t>
      </w:r>
      <w:r>
        <w:rPr>
          <w:sz w:val="24"/>
        </w:rPr>
        <w:t>—</w:t>
      </w:r>
      <w:r>
        <w:rPr>
          <w:rFonts w:hint="eastAsia"/>
          <w:sz w:val="24"/>
        </w:rPr>
        <w:t>基坑内挡土构件底面以上土的天然重度(kN/m</w:t>
      </w:r>
      <w:r>
        <w:rPr>
          <w:rFonts w:hint="eastAsia"/>
          <w:sz w:val="24"/>
          <w:vertAlign w:val="superscript"/>
        </w:rPr>
        <w:t>3</w:t>
      </w:r>
      <w:r>
        <w:rPr>
          <w:rFonts w:hint="eastAsia"/>
          <w:sz w:val="24"/>
        </w:rPr>
        <w:t>)；对地下水位以下的砂土、碎石土、粉土取浮重度；对多层土取各层土按厚度加权的平均重度；</w:t>
      </w:r>
    </w:p>
    <w:p>
      <w:pPr>
        <w:tabs>
          <w:tab w:val="left" w:pos="0"/>
        </w:tabs>
        <w:spacing w:line="360" w:lineRule="auto"/>
        <w:ind w:left="1272" w:leftChars="337" w:hanging="564" w:hangingChars="235"/>
        <w:jc w:val="left"/>
        <w:rPr>
          <w:i/>
          <w:sz w:val="24"/>
        </w:rPr>
      </w:pPr>
      <w:r>
        <w:rPr>
          <w:rFonts w:hint="eastAsia"/>
          <w:i/>
          <w:sz w:val="24"/>
        </w:rPr>
        <w:t>l</w:t>
      </w:r>
      <w:r>
        <w:rPr>
          <w:rFonts w:hint="eastAsia"/>
          <w:i/>
          <w:sz w:val="24"/>
          <w:vertAlign w:val="subscript"/>
        </w:rPr>
        <w:t>d</w:t>
      </w:r>
      <w:r>
        <w:rPr>
          <w:i/>
          <w:sz w:val="24"/>
        </w:rPr>
        <w:t>—</w:t>
      </w:r>
      <w:r>
        <w:rPr>
          <w:sz w:val="24"/>
        </w:rPr>
        <w:t>挡土构件的嵌固深度（m）</w:t>
      </w:r>
      <w:r>
        <w:rPr>
          <w:i/>
          <w:sz w:val="24"/>
        </w:rPr>
        <w:t>；</w:t>
      </w:r>
    </w:p>
    <w:p>
      <w:pPr>
        <w:tabs>
          <w:tab w:val="left" w:pos="0"/>
        </w:tabs>
        <w:spacing w:line="360" w:lineRule="auto"/>
        <w:ind w:firstLine="840" w:firstLineChars="350"/>
        <w:jc w:val="left"/>
        <w:rPr>
          <w:sz w:val="24"/>
        </w:rPr>
      </w:pPr>
      <w:r>
        <w:rPr>
          <w:i/>
          <w:sz w:val="24"/>
        </w:rPr>
        <w:t>h</w:t>
      </w:r>
      <w:r>
        <w:rPr>
          <w:sz w:val="24"/>
        </w:rPr>
        <w:t>—基坑深度（m）；</w:t>
      </w:r>
    </w:p>
    <w:p>
      <w:pPr>
        <w:tabs>
          <w:tab w:val="left" w:pos="0"/>
        </w:tabs>
        <w:spacing w:line="360" w:lineRule="auto"/>
        <w:ind w:firstLine="840" w:firstLineChars="350"/>
        <w:jc w:val="left"/>
        <w:rPr>
          <w:sz w:val="24"/>
        </w:rPr>
      </w:pPr>
      <w:r>
        <w:rPr>
          <w:i/>
          <w:sz w:val="24"/>
        </w:rPr>
        <w:t>q</w:t>
      </w:r>
      <w:r>
        <w:rPr>
          <w:sz w:val="24"/>
          <w:vertAlign w:val="subscript"/>
        </w:rPr>
        <w:t>0</w:t>
      </w:r>
      <w:r>
        <w:rPr>
          <w:sz w:val="24"/>
        </w:rPr>
        <w:t>—地面均布荷载（kPa）；</w:t>
      </w:r>
    </w:p>
    <w:p>
      <w:pPr>
        <w:tabs>
          <w:tab w:val="left" w:pos="0"/>
        </w:tabs>
        <w:spacing w:line="360" w:lineRule="auto"/>
        <w:ind w:firstLine="360" w:firstLineChars="150"/>
        <w:jc w:val="left"/>
        <w:rPr>
          <w:sz w:val="24"/>
        </w:rPr>
      </w:pPr>
      <w:r>
        <w:rPr>
          <w:i/>
          <w:iCs/>
          <w:sz w:val="24"/>
        </w:rPr>
        <w:t>N</w:t>
      </w:r>
      <w:r>
        <w:rPr>
          <w:sz w:val="24"/>
          <w:vertAlign w:val="subscript"/>
        </w:rPr>
        <w:t>c</w:t>
      </w:r>
      <w:r>
        <w:rPr>
          <w:sz w:val="24"/>
        </w:rPr>
        <w:t>、</w:t>
      </w:r>
      <w:r>
        <w:rPr>
          <w:i/>
          <w:iCs/>
          <w:sz w:val="24"/>
        </w:rPr>
        <w:t>N</w:t>
      </w:r>
      <w:r>
        <w:rPr>
          <w:sz w:val="24"/>
          <w:vertAlign w:val="subscript"/>
        </w:rPr>
        <w:t>q</w:t>
      </w:r>
      <w:r>
        <w:rPr>
          <w:sz w:val="24"/>
        </w:rPr>
        <w:t>—承载力系数；</w:t>
      </w:r>
    </w:p>
    <w:p>
      <w:pPr>
        <w:tabs>
          <w:tab w:val="left" w:pos="0"/>
        </w:tabs>
        <w:spacing w:line="360" w:lineRule="auto"/>
        <w:ind w:firstLine="600" w:firstLineChars="250"/>
        <w:jc w:val="left"/>
        <w:rPr>
          <w:sz w:val="24"/>
        </w:rPr>
      </w:pPr>
      <w:r>
        <w:rPr>
          <w:i/>
          <w:sz w:val="24"/>
        </w:rPr>
        <w:t>c</w:t>
      </w:r>
      <w:r>
        <w:rPr>
          <w:sz w:val="24"/>
        </w:rPr>
        <w:t>、</w:t>
      </w:r>
      <w:r>
        <w:rPr>
          <w:i/>
          <w:sz w:val="24"/>
        </w:rPr>
        <w:sym w:font="Symbol" w:char="F06A"/>
      </w:r>
      <w:r>
        <w:rPr>
          <w:sz w:val="24"/>
        </w:rPr>
        <w:t>—</w:t>
      </w:r>
      <w:r>
        <w:rPr>
          <w:rFonts w:hint="eastAsia"/>
          <w:sz w:val="24"/>
        </w:rPr>
        <w:t>分别为</w:t>
      </w:r>
      <w:r>
        <w:rPr>
          <w:sz w:val="24"/>
        </w:rPr>
        <w:t>挡土构件底面以下土的黏聚力（kPa）、内摩擦角（°）。</w:t>
      </w:r>
    </w:p>
    <w:p>
      <w:pPr>
        <w:spacing w:line="360" w:lineRule="auto"/>
        <w:ind w:firstLine="480" w:firstLineChars="200"/>
        <w:rPr>
          <w:sz w:val="24"/>
        </w:rPr>
      </w:pPr>
      <w:r>
        <w:rPr>
          <w:sz w:val="24"/>
        </w:rPr>
        <w:t>当挡土构件底面以下有软弱下卧层时，</w:t>
      </w:r>
      <w:r>
        <w:rPr>
          <w:rFonts w:hint="eastAsia"/>
          <w:sz w:val="24"/>
        </w:rPr>
        <w:t>坑</w:t>
      </w:r>
      <w:r>
        <w:rPr>
          <w:sz w:val="24"/>
        </w:rPr>
        <w:t>底抗隆起稳定性验算的部位尚应包括软弱下卧层，式5.</w:t>
      </w:r>
      <w:r>
        <w:rPr>
          <w:rFonts w:hint="eastAsia"/>
          <w:sz w:val="24"/>
        </w:rPr>
        <w:t>4.3</w:t>
      </w:r>
      <w:r>
        <w:rPr>
          <w:sz w:val="24"/>
        </w:rPr>
        <w:t>-1中的</w:t>
      </w:r>
      <w:r>
        <w:rPr>
          <w:i/>
          <w:sz w:val="24"/>
        </w:rPr>
        <w:t>γ</w:t>
      </w:r>
      <w:r>
        <w:rPr>
          <w:sz w:val="24"/>
          <w:vertAlign w:val="subscript"/>
        </w:rPr>
        <w:t>m1</w:t>
      </w:r>
      <w:r>
        <w:rPr>
          <w:sz w:val="24"/>
        </w:rPr>
        <w:t>、</w:t>
      </w:r>
      <w:r>
        <w:rPr>
          <w:i/>
          <w:sz w:val="24"/>
        </w:rPr>
        <w:t>γ</w:t>
      </w:r>
      <w:r>
        <w:rPr>
          <w:sz w:val="24"/>
          <w:vertAlign w:val="subscript"/>
        </w:rPr>
        <w:t>m2</w:t>
      </w:r>
      <w:r>
        <w:rPr>
          <w:sz w:val="24"/>
        </w:rPr>
        <w:t>应取软弱下卧层顶面以上土的重度（图</w:t>
      </w:r>
      <w:r>
        <w:rPr>
          <w:rFonts w:hint="eastAsia"/>
          <w:color w:val="000000"/>
          <w:sz w:val="24"/>
        </w:rPr>
        <w:t>5.4.3</w:t>
      </w:r>
      <w:r>
        <w:rPr>
          <w:color w:val="000000"/>
          <w:sz w:val="24"/>
        </w:rPr>
        <w:t>-2</w:t>
      </w:r>
      <w:r>
        <w:rPr>
          <w:sz w:val="24"/>
        </w:rPr>
        <w:t>），</w:t>
      </w:r>
      <w:r>
        <w:rPr>
          <w:rFonts w:hint="eastAsia"/>
          <w:i/>
          <w:sz w:val="24"/>
        </w:rPr>
        <w:t>l</w:t>
      </w:r>
      <w:r>
        <w:rPr>
          <w:rFonts w:hint="eastAsia"/>
          <w:i/>
          <w:sz w:val="24"/>
          <w:vertAlign w:val="subscript"/>
        </w:rPr>
        <w:t>d</w:t>
      </w:r>
      <w:r>
        <w:rPr>
          <w:sz w:val="24"/>
        </w:rPr>
        <w:t>应</w:t>
      </w:r>
      <w:r>
        <w:rPr>
          <w:rFonts w:hint="eastAsia"/>
          <w:sz w:val="24"/>
        </w:rPr>
        <w:t>以D代替，D为</w:t>
      </w:r>
      <w:r>
        <w:rPr>
          <w:sz w:val="24"/>
        </w:rPr>
        <w:t>基坑底面至软弱下卧层顶面的土层厚度</w:t>
      </w:r>
      <w:r>
        <w:rPr>
          <w:rFonts w:hint="eastAsia"/>
          <w:sz w:val="24"/>
        </w:rPr>
        <w:t>（m）</w:t>
      </w:r>
      <w:r>
        <w:rPr>
          <w:sz w:val="24"/>
        </w:rPr>
        <w:t>；悬臂式支挡结构可不进行抗隆起稳定性验算。</w:t>
      </w:r>
    </w:p>
    <w:p>
      <w:pPr>
        <w:spacing w:line="360" w:lineRule="auto"/>
        <w:jc w:val="center"/>
        <w:rPr>
          <w:sz w:val="24"/>
        </w:rPr>
      </w:pPr>
      <w:r>
        <w:rPr>
          <w:sz w:val="24"/>
        </w:rPr>
        <w:drawing>
          <wp:inline distT="0" distB="0" distL="0" distR="0">
            <wp:extent cx="2957830" cy="2773680"/>
            <wp:effectExtent l="0" t="0" r="0" b="7620"/>
            <wp:docPr id="31" name="图片 31" descr="E:\G规范编制\昆明地区基坑规范编制\2019.6第二次审查修改\插图\图5.4.3-2  软弱下卧层的抗隆起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G规范编制\昆明地区基坑规范编制\2019.6第二次审查修改\插图\图5.4.3-2  软弱下卧层的抗隆起稳定性验算.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957830" cy="2773680"/>
                    </a:xfrm>
                    <a:prstGeom prst="rect">
                      <a:avLst/>
                    </a:prstGeom>
                    <a:noFill/>
                    <a:ln>
                      <a:noFill/>
                    </a:ln>
                  </pic:spPr>
                </pic:pic>
              </a:graphicData>
            </a:graphic>
          </wp:inline>
        </w:drawing>
      </w:r>
    </w:p>
    <w:p>
      <w:pPr>
        <w:spacing w:line="360" w:lineRule="auto"/>
        <w:jc w:val="center"/>
        <w:rPr>
          <w:b/>
          <w:sz w:val="24"/>
        </w:rPr>
      </w:pPr>
      <w:r>
        <w:rPr>
          <w:b/>
          <w:sz w:val="24"/>
        </w:rPr>
        <w:t>图5.</w:t>
      </w:r>
      <w:r>
        <w:rPr>
          <w:rFonts w:hint="eastAsia"/>
          <w:b/>
          <w:sz w:val="24"/>
        </w:rPr>
        <w:t>4.3</w:t>
      </w:r>
      <w:r>
        <w:rPr>
          <w:b/>
          <w:sz w:val="24"/>
        </w:rPr>
        <w:t>-2  软弱下卧层的抗隆起稳定性验算</w:t>
      </w:r>
    </w:p>
    <w:p>
      <w:pPr>
        <w:spacing w:line="360" w:lineRule="auto"/>
        <w:jc w:val="left"/>
        <w:rPr>
          <w:sz w:val="24"/>
        </w:rPr>
      </w:pPr>
      <w:r>
        <w:rPr>
          <w:b/>
          <w:sz w:val="24"/>
        </w:rPr>
        <w:t>5.</w:t>
      </w:r>
      <w:r>
        <w:rPr>
          <w:rFonts w:hint="eastAsia"/>
          <w:b/>
          <w:sz w:val="24"/>
        </w:rPr>
        <w:t>4</w:t>
      </w:r>
      <w:r>
        <w:rPr>
          <w:b/>
          <w:sz w:val="24"/>
        </w:rPr>
        <w:t>.</w:t>
      </w:r>
      <w:r>
        <w:rPr>
          <w:rFonts w:hint="eastAsia"/>
          <w:b/>
          <w:sz w:val="24"/>
        </w:rPr>
        <w:t>4</w:t>
      </w:r>
      <w:r>
        <w:rPr>
          <w:b/>
          <w:sz w:val="24"/>
        </w:rPr>
        <w:t xml:space="preserve">  </w:t>
      </w:r>
      <w:r>
        <w:rPr>
          <w:sz w:val="24"/>
        </w:rPr>
        <w:t>基坑底面下有软土层的土钉墙结构应进行坑底隆起稳定性验算，验算可采用下列公式（图5.</w:t>
      </w:r>
      <w:r>
        <w:rPr>
          <w:rFonts w:hint="eastAsia"/>
          <w:sz w:val="24"/>
        </w:rPr>
        <w:t>4</w:t>
      </w:r>
      <w:r>
        <w:rPr>
          <w:sz w:val="24"/>
        </w:rPr>
        <w:t>.</w:t>
      </w:r>
      <w:r>
        <w:rPr>
          <w:rFonts w:hint="eastAsia"/>
          <w:sz w:val="24"/>
        </w:rPr>
        <w:t>4</w:t>
      </w:r>
      <w:r>
        <w:rPr>
          <w:sz w:val="24"/>
        </w:rPr>
        <w:t>）。</w:t>
      </w:r>
    </w:p>
    <w:p>
      <w:pPr>
        <w:spacing w:line="360" w:lineRule="auto"/>
        <w:jc w:val="center"/>
        <w:rPr>
          <w:sz w:val="24"/>
        </w:rPr>
      </w:pPr>
      <w:r>
        <w:drawing>
          <wp:inline distT="0" distB="0" distL="0" distR="0">
            <wp:extent cx="2957830" cy="2155825"/>
            <wp:effectExtent l="0" t="0" r="0" b="0"/>
            <wp:docPr id="33" name="图片 33" descr="E:\G规范编制\昆明地区基坑规范编制\2019.6第二次审查修改\插图\图5.4.4 基坑底面下有软土层的土钉墙抗隆起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G规范编制\昆明地区基坑规范编制\2019.6第二次审查修改\插图\图5.4.4 基坑底面下有软土层的土钉墙抗隆起稳定性验算.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2957830" cy="2155825"/>
                    </a:xfrm>
                    <a:prstGeom prst="rect">
                      <a:avLst/>
                    </a:prstGeom>
                    <a:noFill/>
                    <a:ln>
                      <a:noFill/>
                    </a:ln>
                  </pic:spPr>
                </pic:pic>
              </a:graphicData>
            </a:graphic>
          </wp:inline>
        </w:drawing>
      </w:r>
    </w:p>
    <w:p>
      <w:pPr>
        <w:spacing w:line="360" w:lineRule="auto"/>
        <w:jc w:val="center"/>
        <w:rPr>
          <w:b/>
          <w:sz w:val="24"/>
        </w:rPr>
      </w:pPr>
      <w:r>
        <w:rPr>
          <w:b/>
          <w:sz w:val="24"/>
        </w:rPr>
        <w:t>图5.</w:t>
      </w:r>
      <w:r>
        <w:rPr>
          <w:rFonts w:hint="eastAsia"/>
          <w:b/>
          <w:sz w:val="24"/>
        </w:rPr>
        <w:t>4.4</w:t>
      </w:r>
      <w:r>
        <w:rPr>
          <w:b/>
          <w:sz w:val="24"/>
        </w:rPr>
        <w:t xml:space="preserve">  基坑底面下有软土层的土钉墙</w:t>
      </w:r>
      <w:r>
        <w:rPr>
          <w:rFonts w:hint="eastAsia"/>
          <w:b/>
          <w:sz w:val="24"/>
        </w:rPr>
        <w:t>抗</w:t>
      </w:r>
      <w:r>
        <w:rPr>
          <w:b/>
          <w:sz w:val="24"/>
        </w:rPr>
        <w:t>隆起稳定性验算</w:t>
      </w:r>
    </w:p>
    <w:p>
      <w:pPr>
        <w:spacing w:line="360" w:lineRule="auto"/>
        <w:ind w:firstLine="424" w:firstLineChars="202"/>
        <w:jc w:val="right"/>
        <w:rPr>
          <w:sz w:val="24"/>
        </w:rPr>
      </w:pPr>
      <w:r>
        <w:rPr>
          <w:position w:val="-30"/>
        </w:rPr>
        <w:object>
          <v:shape id="_x0000_i1066" o:spt="75" type="#_x0000_t75" style="height:34.45pt;width:129.45pt;" o:ole="t" filled="f" coordsize="21600,21600">
            <v:path/>
            <v:fill on="f" focussize="0,0"/>
            <v:stroke/>
            <v:imagedata r:id="rId107" o:title=""/>
            <o:lock v:ext="edit" aspectratio="t"/>
            <w10:wrap type="none"/>
            <w10:anchorlock/>
          </v:shape>
          <o:OLEObject Type="Embed" ProgID="Equation.DSMT4" ShapeID="_x0000_i1066" DrawAspect="Content" ObjectID="_1468075766" r:id="rId106">
            <o:LockedField>false</o:LockedField>
          </o:OLEObject>
        </w:object>
      </w:r>
      <w:r>
        <w:rPr>
          <w:b/>
          <w:sz w:val="24"/>
        </w:rPr>
        <w:t xml:space="preserve">                </w:t>
      </w:r>
      <w:r>
        <w:rPr>
          <w:sz w:val="24"/>
        </w:rPr>
        <w:t>（5.</w:t>
      </w:r>
      <w:r>
        <w:rPr>
          <w:rFonts w:hint="eastAsia"/>
          <w:sz w:val="24"/>
        </w:rPr>
        <w:t>4</w:t>
      </w:r>
      <w:r>
        <w:rPr>
          <w:sz w:val="24"/>
        </w:rPr>
        <w:t>.4-</w:t>
      </w:r>
      <w:r>
        <w:rPr>
          <w:rFonts w:hint="eastAsia"/>
          <w:sz w:val="24"/>
        </w:rPr>
        <w:t>1</w:t>
      </w:r>
      <w:r>
        <w:rPr>
          <w:sz w:val="24"/>
        </w:rPr>
        <w:t>）</w:t>
      </w:r>
    </w:p>
    <w:p>
      <w:pPr>
        <w:spacing w:line="360" w:lineRule="auto"/>
        <w:jc w:val="right"/>
        <w:rPr>
          <w:sz w:val="24"/>
        </w:rPr>
      </w:pPr>
      <w:r>
        <w:rPr>
          <w:b/>
          <w:sz w:val="24"/>
        </w:rPr>
        <w:t xml:space="preserve">  </w:t>
      </w:r>
      <w:r>
        <w:rPr>
          <w:position w:val="-24"/>
        </w:rPr>
        <w:object>
          <v:shape id="_x0000_i1067" o:spt="75" type="#_x0000_t75" style="height:31.4pt;width:125.25pt;" o:ole="t" filled="f" coordsize="21600,21600">
            <v:path/>
            <v:fill on="f" focussize="0,0"/>
            <v:stroke/>
            <v:imagedata r:id="rId109" o:title=""/>
            <o:lock v:ext="edit" aspectratio="t"/>
            <w10:wrap type="none"/>
            <w10:anchorlock/>
          </v:shape>
          <o:OLEObject Type="Embed" ProgID="Equation.DSMT4" ShapeID="_x0000_i1067" DrawAspect="Content" ObjectID="_1468075767" r:id="rId108">
            <o:LockedField>false</o:LockedField>
          </o:OLEObject>
        </w:object>
      </w:r>
      <w:r>
        <w:rPr>
          <w:b/>
          <w:sz w:val="24"/>
        </w:rPr>
        <w:t xml:space="preserve">                </w:t>
      </w:r>
      <w:r>
        <w:rPr>
          <w:sz w:val="24"/>
        </w:rPr>
        <w:t>（5.</w:t>
      </w:r>
      <w:r>
        <w:rPr>
          <w:rFonts w:hint="eastAsia"/>
          <w:sz w:val="24"/>
        </w:rPr>
        <w:t>4</w:t>
      </w:r>
      <w:r>
        <w:rPr>
          <w:sz w:val="24"/>
        </w:rPr>
        <w:t>.4-</w:t>
      </w:r>
      <w:r>
        <w:rPr>
          <w:rFonts w:hint="eastAsia"/>
          <w:sz w:val="24"/>
        </w:rPr>
        <w:t>2</w:t>
      </w:r>
      <w:r>
        <w:rPr>
          <w:sz w:val="24"/>
        </w:rPr>
        <w:t>）</w:t>
      </w:r>
    </w:p>
    <w:p>
      <w:pPr>
        <w:spacing w:line="360" w:lineRule="auto"/>
        <w:jc w:val="right"/>
        <w:rPr>
          <w:sz w:val="24"/>
        </w:rPr>
      </w:pPr>
      <w:r>
        <w:rPr>
          <w:b/>
          <w:sz w:val="24"/>
        </w:rPr>
        <w:t xml:space="preserve">  </w:t>
      </w:r>
      <w:r>
        <w:rPr>
          <w:position w:val="-14"/>
        </w:rPr>
        <w:object>
          <v:shape id="_x0000_i1068" o:spt="75" type="#_x0000_t75" style="height:19.9pt;width:98.05pt;" o:ole="t" filled="f" coordsize="21600,21600">
            <v:path/>
            <v:fill on="f" focussize="0,0"/>
            <v:stroke/>
            <v:imagedata r:id="rId111" o:title=""/>
            <o:lock v:ext="edit" aspectratio="t"/>
            <w10:wrap type="none"/>
            <w10:anchorlock/>
          </v:shape>
          <o:OLEObject Type="Embed" ProgID="Equation.DSMT4" ShapeID="_x0000_i1068" DrawAspect="Content" ObjectID="_1468075768" r:id="rId110">
            <o:LockedField>false</o:LockedField>
          </o:OLEObject>
        </w:object>
      </w:r>
      <w:r>
        <w:rPr>
          <w:b/>
          <w:sz w:val="24"/>
        </w:rPr>
        <w:t xml:space="preserve">                   </w:t>
      </w:r>
      <w:r>
        <w:rPr>
          <w:sz w:val="24"/>
        </w:rPr>
        <w:t>（5.</w:t>
      </w:r>
      <w:r>
        <w:rPr>
          <w:rFonts w:hint="eastAsia"/>
          <w:sz w:val="24"/>
        </w:rPr>
        <w:t>4</w:t>
      </w:r>
      <w:r>
        <w:rPr>
          <w:sz w:val="24"/>
        </w:rPr>
        <w:t>.4-</w:t>
      </w:r>
      <w:r>
        <w:rPr>
          <w:rFonts w:hint="eastAsia"/>
          <w:sz w:val="24"/>
        </w:rPr>
        <w:t>3</w:t>
      </w:r>
      <w:r>
        <w:rPr>
          <w:sz w:val="24"/>
        </w:rPr>
        <w:t>）</w:t>
      </w:r>
    </w:p>
    <w:p>
      <w:pPr>
        <w:spacing w:line="360" w:lineRule="auto"/>
        <w:jc w:val="right"/>
        <w:rPr>
          <w:sz w:val="24"/>
        </w:rPr>
      </w:pPr>
      <w:r>
        <w:rPr>
          <w:position w:val="-12"/>
        </w:rPr>
        <w:object>
          <v:shape id="_x0000_i1069" o:spt="75" type="#_x0000_t75" style="height:19.15pt;width:90.75pt;" o:ole="t" filled="f" coordsize="21600,21600">
            <v:path/>
            <v:fill on="f" focussize="0,0"/>
            <v:stroke/>
            <v:imagedata r:id="rId113" o:title=""/>
            <o:lock v:ext="edit" aspectratio="t"/>
            <w10:wrap type="none"/>
            <w10:anchorlock/>
          </v:shape>
          <o:OLEObject Type="Embed" ProgID="Equation.DSMT4" ShapeID="_x0000_i1069" DrawAspect="Content" ObjectID="_1468075769" r:id="rId112">
            <o:LockedField>false</o:LockedField>
          </o:OLEObject>
        </w:object>
      </w:r>
      <w:r>
        <w:rPr>
          <w:b/>
          <w:sz w:val="24"/>
        </w:rPr>
        <w:t xml:space="preserve">                   </w:t>
      </w:r>
      <w:r>
        <w:rPr>
          <w:sz w:val="24"/>
        </w:rPr>
        <w:t>（5.</w:t>
      </w:r>
      <w:r>
        <w:rPr>
          <w:rFonts w:hint="eastAsia"/>
          <w:sz w:val="24"/>
        </w:rPr>
        <w:t>4</w:t>
      </w:r>
      <w:r>
        <w:rPr>
          <w:sz w:val="24"/>
        </w:rPr>
        <w:t>.4-</w:t>
      </w:r>
      <w:r>
        <w:rPr>
          <w:rFonts w:hint="eastAsia"/>
          <w:sz w:val="24"/>
        </w:rPr>
        <w:t>4</w:t>
      </w:r>
      <w:r>
        <w:rPr>
          <w:sz w:val="24"/>
        </w:rPr>
        <w:t>）</w:t>
      </w:r>
    </w:p>
    <w:p>
      <w:pPr>
        <w:spacing w:line="360" w:lineRule="auto"/>
        <w:jc w:val="right"/>
        <w:rPr>
          <w:sz w:val="24"/>
        </w:rPr>
      </w:pPr>
      <w:r>
        <w:rPr>
          <w:position w:val="-12"/>
        </w:rPr>
        <w:object>
          <v:shape id="_x0000_i1070" o:spt="75" type="#_x0000_t75" style="height:19.15pt;width:96.15pt;" o:ole="t" filled="f" coordsize="21600,21600">
            <v:path/>
            <v:fill on="f" focussize="0,0"/>
            <v:stroke/>
            <v:imagedata r:id="rId115" o:title=""/>
            <o:lock v:ext="edit" aspectratio="t"/>
            <w10:wrap type="none"/>
            <w10:anchorlock/>
          </v:shape>
          <o:OLEObject Type="Embed" ProgID="Equation.DSMT4" ShapeID="_x0000_i1070" DrawAspect="Content" ObjectID="_1468075770" r:id="rId114">
            <o:LockedField>false</o:LockedField>
          </o:OLEObject>
        </w:object>
      </w:r>
      <w:r>
        <w:rPr>
          <w:b/>
          <w:sz w:val="24"/>
        </w:rPr>
        <w:t xml:space="preserve">                 </w:t>
      </w:r>
      <w:r>
        <w:rPr>
          <w:sz w:val="24"/>
        </w:rPr>
        <w:t>（5.</w:t>
      </w:r>
      <w:r>
        <w:rPr>
          <w:rFonts w:hint="eastAsia"/>
          <w:sz w:val="24"/>
        </w:rPr>
        <w:t>4</w:t>
      </w:r>
      <w:r>
        <w:rPr>
          <w:sz w:val="24"/>
        </w:rPr>
        <w:t>.4-</w:t>
      </w:r>
      <w:r>
        <w:rPr>
          <w:rFonts w:hint="eastAsia"/>
          <w:sz w:val="24"/>
        </w:rPr>
        <w:t>5</w:t>
      </w:r>
      <w:r>
        <w:rPr>
          <w:sz w:val="24"/>
        </w:rPr>
        <w:t>）</w:t>
      </w:r>
    </w:p>
    <w:p>
      <w:pPr>
        <w:spacing w:line="360" w:lineRule="auto"/>
        <w:ind w:left="1133" w:hanging="1132" w:hangingChars="472"/>
        <w:jc w:val="left"/>
        <w:rPr>
          <w:sz w:val="24"/>
        </w:rPr>
      </w:pPr>
      <w:r>
        <w:rPr>
          <w:sz w:val="24"/>
        </w:rPr>
        <w:t>式中：</w:t>
      </w:r>
      <w:r>
        <w:rPr>
          <w:i/>
          <w:sz w:val="24"/>
        </w:rPr>
        <w:t>K</w:t>
      </w:r>
      <w:r>
        <w:rPr>
          <w:i/>
          <w:sz w:val="24"/>
          <w:vertAlign w:val="subscript"/>
        </w:rPr>
        <w:t>b</w:t>
      </w:r>
      <w:r>
        <w:rPr>
          <w:sz w:val="24"/>
        </w:rPr>
        <w:t>—抗隆起安全系数；安全等级为二级、三级的土钉墙，</w:t>
      </w:r>
      <w:r>
        <w:rPr>
          <w:i/>
          <w:sz w:val="24"/>
        </w:rPr>
        <w:t>K</w:t>
      </w:r>
      <w:r>
        <w:rPr>
          <w:i/>
          <w:sz w:val="24"/>
          <w:vertAlign w:val="subscript"/>
        </w:rPr>
        <w:t>b</w:t>
      </w:r>
      <w:r>
        <w:rPr>
          <w:sz w:val="24"/>
        </w:rPr>
        <w:t>分别不应小于1.60、1.40；</w:t>
      </w:r>
    </w:p>
    <w:p>
      <w:pPr>
        <w:spacing w:line="360" w:lineRule="auto"/>
        <w:ind w:firstLine="720" w:firstLineChars="300"/>
        <w:jc w:val="left"/>
        <w:rPr>
          <w:sz w:val="24"/>
        </w:rPr>
      </w:pPr>
      <w:r>
        <w:rPr>
          <w:i/>
          <w:sz w:val="24"/>
        </w:rPr>
        <w:t>q</w:t>
      </w:r>
      <w:r>
        <w:rPr>
          <w:sz w:val="24"/>
          <w:vertAlign w:val="subscript"/>
        </w:rPr>
        <w:t>0</w:t>
      </w:r>
      <w:r>
        <w:rPr>
          <w:sz w:val="24"/>
        </w:rPr>
        <w:t>—地面均布荷载（kPa）；</w:t>
      </w:r>
    </w:p>
    <w:p>
      <w:pPr>
        <w:spacing w:line="360" w:lineRule="auto"/>
        <w:ind w:left="1274" w:leftChars="343" w:hanging="554" w:hangingChars="231"/>
        <w:jc w:val="left"/>
        <w:rPr>
          <w:sz w:val="24"/>
        </w:rPr>
      </w:pPr>
      <w:r>
        <w:rPr>
          <w:i/>
          <w:sz w:val="24"/>
        </w:rPr>
        <w:t>γ</w:t>
      </w:r>
      <w:r>
        <w:rPr>
          <w:sz w:val="24"/>
          <w:vertAlign w:val="subscript"/>
        </w:rPr>
        <w:t>m1</w:t>
      </w:r>
      <w:r>
        <w:rPr>
          <w:sz w:val="24"/>
        </w:rPr>
        <w:t>—基坑底面以上土的天然重度（kN/m</w:t>
      </w:r>
      <w:r>
        <w:rPr>
          <w:sz w:val="24"/>
          <w:vertAlign w:val="superscript"/>
        </w:rPr>
        <w:t>3</w:t>
      </w:r>
      <w:r>
        <w:rPr>
          <w:sz w:val="24"/>
        </w:rPr>
        <w:t>）；对多层土取各层土按厚度加权平均重度；</w:t>
      </w:r>
    </w:p>
    <w:p>
      <w:pPr>
        <w:spacing w:line="360" w:lineRule="auto"/>
        <w:ind w:firstLine="840" w:firstLineChars="350"/>
        <w:jc w:val="left"/>
        <w:rPr>
          <w:sz w:val="24"/>
        </w:rPr>
      </w:pPr>
      <w:r>
        <w:rPr>
          <w:i/>
          <w:sz w:val="24"/>
        </w:rPr>
        <w:t>h</w:t>
      </w:r>
      <w:r>
        <w:rPr>
          <w:sz w:val="24"/>
        </w:rPr>
        <w:t>—基坑深度（m）；</w:t>
      </w:r>
    </w:p>
    <w:p>
      <w:pPr>
        <w:spacing w:line="360" w:lineRule="auto"/>
        <w:ind w:left="1274" w:leftChars="343" w:hanging="554" w:hangingChars="231"/>
        <w:jc w:val="left"/>
        <w:rPr>
          <w:sz w:val="24"/>
        </w:rPr>
      </w:pPr>
      <w:r>
        <w:rPr>
          <w:i/>
          <w:sz w:val="24"/>
        </w:rPr>
        <w:t>γ</w:t>
      </w:r>
      <w:r>
        <w:rPr>
          <w:sz w:val="24"/>
          <w:vertAlign w:val="subscript"/>
        </w:rPr>
        <w:t>m2</w:t>
      </w:r>
      <w:r>
        <w:rPr>
          <w:sz w:val="24"/>
        </w:rPr>
        <w:t>—基坑底面至抗隆起计算平面之间的天然重度（kN/m</w:t>
      </w:r>
      <w:r>
        <w:rPr>
          <w:sz w:val="24"/>
          <w:vertAlign w:val="superscript"/>
        </w:rPr>
        <w:t>3</w:t>
      </w:r>
      <w:r>
        <w:rPr>
          <w:sz w:val="24"/>
        </w:rPr>
        <w:t>）；对多层土取各层土按厚度加权的平均重度；</w:t>
      </w:r>
    </w:p>
    <w:p>
      <w:pPr>
        <w:spacing w:line="360" w:lineRule="auto"/>
        <w:ind w:left="1274" w:leftChars="343" w:hanging="554" w:hangingChars="231"/>
        <w:jc w:val="left"/>
        <w:rPr>
          <w:sz w:val="24"/>
        </w:rPr>
      </w:pPr>
      <w:r>
        <w:rPr>
          <w:i/>
          <w:sz w:val="24"/>
        </w:rPr>
        <w:t>D</w:t>
      </w:r>
      <w:r>
        <w:rPr>
          <w:sz w:val="24"/>
        </w:rPr>
        <w:t>—基坑底面至抗隆起计算平面之间土层的厚度（m）；当抗隆起计算平面为基坑底平面时，取</w:t>
      </w:r>
      <w:r>
        <w:rPr>
          <w:i/>
          <w:sz w:val="24"/>
        </w:rPr>
        <w:t>D</w:t>
      </w:r>
      <w:r>
        <w:rPr>
          <w:sz w:val="24"/>
        </w:rPr>
        <w:t>=0；</w:t>
      </w:r>
    </w:p>
    <w:p>
      <w:pPr>
        <w:spacing w:line="360" w:lineRule="auto"/>
        <w:ind w:firstLine="240" w:firstLineChars="100"/>
        <w:jc w:val="left"/>
        <w:rPr>
          <w:sz w:val="24"/>
        </w:rPr>
      </w:pPr>
      <w:r>
        <w:rPr>
          <w:i/>
          <w:sz w:val="24"/>
        </w:rPr>
        <w:t>N</w:t>
      </w:r>
      <w:r>
        <w:rPr>
          <w:i/>
          <w:sz w:val="24"/>
          <w:vertAlign w:val="subscript"/>
        </w:rPr>
        <w:t>c</w:t>
      </w:r>
      <w:r>
        <w:rPr>
          <w:i/>
          <w:sz w:val="24"/>
        </w:rPr>
        <w:t>、N</w:t>
      </w:r>
      <w:r>
        <w:rPr>
          <w:i/>
          <w:sz w:val="24"/>
          <w:vertAlign w:val="subscript"/>
        </w:rPr>
        <w:t>q</w:t>
      </w:r>
      <w:r>
        <w:rPr>
          <w:sz w:val="24"/>
        </w:rPr>
        <w:t>—承载力系数；</w:t>
      </w:r>
    </w:p>
    <w:p>
      <w:pPr>
        <w:spacing w:line="360" w:lineRule="auto"/>
        <w:ind w:firstLine="480" w:firstLineChars="200"/>
        <w:jc w:val="left"/>
        <w:rPr>
          <w:sz w:val="24"/>
        </w:rPr>
      </w:pPr>
      <w:r>
        <w:rPr>
          <w:i/>
          <w:sz w:val="24"/>
        </w:rPr>
        <w:t>c、φ</w:t>
      </w:r>
      <w:r>
        <w:rPr>
          <w:sz w:val="24"/>
        </w:rPr>
        <w:t>—分别为抗隆起计算平面以下的黏聚力（kPa）、内摩擦角（</w:t>
      </w:r>
      <w:r>
        <w:rPr>
          <w:position w:val="-6"/>
          <w:sz w:val="24"/>
          <w:vertAlign w:val="superscript"/>
        </w:rPr>
        <w:t>°</w:t>
      </w:r>
      <w:r>
        <w:rPr>
          <w:sz w:val="24"/>
        </w:rPr>
        <w:t>）；</w:t>
      </w:r>
    </w:p>
    <w:p>
      <w:pPr>
        <w:spacing w:line="360" w:lineRule="auto"/>
        <w:ind w:firstLine="720" w:firstLineChars="300"/>
        <w:jc w:val="left"/>
        <w:rPr>
          <w:sz w:val="24"/>
        </w:rPr>
      </w:pPr>
      <w:r>
        <w:rPr>
          <w:i/>
          <w:sz w:val="24"/>
        </w:rPr>
        <w:t>b</w:t>
      </w:r>
      <w:r>
        <w:rPr>
          <w:sz w:val="24"/>
          <w:vertAlign w:val="subscript"/>
        </w:rPr>
        <w:t>1</w:t>
      </w:r>
      <w:r>
        <w:rPr>
          <w:sz w:val="24"/>
        </w:rPr>
        <w:t>—土钉墙坡面的宽度（m）；当土钉墙坡面垂直时取</w:t>
      </w:r>
      <w:r>
        <w:rPr>
          <w:i/>
          <w:sz w:val="24"/>
        </w:rPr>
        <w:t>b</w:t>
      </w:r>
      <w:r>
        <w:rPr>
          <w:sz w:val="24"/>
          <w:vertAlign w:val="subscript"/>
        </w:rPr>
        <w:t>1</w:t>
      </w:r>
      <w:r>
        <w:rPr>
          <w:sz w:val="24"/>
        </w:rPr>
        <w:t>=0；</w:t>
      </w:r>
    </w:p>
    <w:p>
      <w:pPr>
        <w:spacing w:line="360" w:lineRule="auto"/>
        <w:ind w:firstLine="720" w:firstLineChars="300"/>
        <w:jc w:val="left"/>
        <w:rPr>
          <w:sz w:val="24"/>
        </w:rPr>
      </w:pPr>
      <w:r>
        <w:rPr>
          <w:i/>
          <w:sz w:val="24"/>
        </w:rPr>
        <w:t>b</w:t>
      </w:r>
      <w:r>
        <w:rPr>
          <w:sz w:val="24"/>
          <w:vertAlign w:val="subscript"/>
        </w:rPr>
        <w:t>2</w:t>
      </w:r>
      <w:r>
        <w:rPr>
          <w:sz w:val="24"/>
        </w:rPr>
        <w:t>—地面均布荷载的计算宽度（m）；可取</w:t>
      </w:r>
      <w:r>
        <w:rPr>
          <w:i/>
          <w:sz w:val="24"/>
        </w:rPr>
        <w:t>b</w:t>
      </w:r>
      <w:r>
        <w:rPr>
          <w:sz w:val="24"/>
          <w:vertAlign w:val="subscript"/>
        </w:rPr>
        <w:t>2</w:t>
      </w:r>
      <w:r>
        <w:rPr>
          <w:sz w:val="24"/>
        </w:rPr>
        <w:t>=</w:t>
      </w:r>
      <w:r>
        <w:rPr>
          <w:i/>
          <w:sz w:val="24"/>
        </w:rPr>
        <w:t>h</w:t>
      </w:r>
      <w:r>
        <w:rPr>
          <w:sz w:val="24"/>
        </w:rPr>
        <w:t>。</w:t>
      </w:r>
    </w:p>
    <w:p>
      <w:pPr>
        <w:spacing w:line="360" w:lineRule="auto"/>
        <w:jc w:val="left"/>
        <w:rPr>
          <w:bCs/>
          <w:iCs/>
          <w:sz w:val="24"/>
        </w:rPr>
      </w:pPr>
      <w:r>
        <w:rPr>
          <w:b/>
          <w:sz w:val="24"/>
        </w:rPr>
        <w:t>5.</w:t>
      </w:r>
      <w:r>
        <w:rPr>
          <w:rFonts w:hint="eastAsia"/>
          <w:b/>
          <w:sz w:val="24"/>
        </w:rPr>
        <w:t>4</w:t>
      </w:r>
      <w:r>
        <w:rPr>
          <w:b/>
          <w:sz w:val="24"/>
        </w:rPr>
        <w:t>.</w:t>
      </w:r>
      <w:r>
        <w:rPr>
          <w:rFonts w:hint="eastAsia"/>
          <w:b/>
          <w:sz w:val="24"/>
        </w:rPr>
        <w:t xml:space="preserve">5 </w:t>
      </w:r>
      <w:r>
        <w:rPr>
          <w:b/>
          <w:sz w:val="24"/>
        </w:rPr>
        <w:t xml:space="preserve"> </w:t>
      </w:r>
      <w:r>
        <w:rPr>
          <w:bCs/>
          <w:iCs/>
          <w:sz w:val="24"/>
        </w:rPr>
        <w:t>悬臂式支挡结构的嵌固深度应满足抗倾覆要求，嵌固稳定安全系数应按下列公式验算（图5.</w:t>
      </w:r>
      <w:r>
        <w:rPr>
          <w:rFonts w:hint="eastAsia"/>
          <w:bCs/>
          <w:iCs/>
          <w:sz w:val="24"/>
        </w:rPr>
        <w:t>4</w:t>
      </w:r>
      <w:r>
        <w:rPr>
          <w:bCs/>
          <w:iCs/>
          <w:sz w:val="24"/>
        </w:rPr>
        <w:t>.</w:t>
      </w:r>
      <w:r>
        <w:rPr>
          <w:rFonts w:hint="eastAsia"/>
          <w:bCs/>
          <w:iCs/>
          <w:sz w:val="24"/>
        </w:rPr>
        <w:t>5</w:t>
      </w:r>
      <w:r>
        <w:rPr>
          <w:bCs/>
          <w:iCs/>
          <w:sz w:val="24"/>
        </w:rPr>
        <w:t>）：</w:t>
      </w:r>
    </w:p>
    <w:p>
      <w:pPr>
        <w:spacing w:line="360" w:lineRule="auto"/>
        <w:jc w:val="right"/>
        <w:rPr>
          <w:sz w:val="24"/>
        </w:rPr>
      </w:pPr>
      <w:r>
        <w:rPr>
          <w:b/>
          <w:bCs/>
          <w:iCs/>
          <w:sz w:val="24"/>
        </w:rPr>
        <w:t xml:space="preserve">  </w:t>
      </w:r>
      <w:r>
        <w:rPr>
          <w:position w:val="-30"/>
        </w:rPr>
        <w:object>
          <v:shape id="_x0000_i1071" o:spt="75" type="#_x0000_t75" style="height:37.55pt;width:63.2pt;" o:ole="t" filled="f" coordsize="21600,21600">
            <v:path/>
            <v:fill on="f" focussize="0,0"/>
            <v:stroke/>
            <v:imagedata r:id="rId117" o:title=""/>
            <o:lock v:ext="edit" aspectratio="t"/>
            <w10:wrap type="none"/>
            <w10:anchorlock/>
          </v:shape>
          <o:OLEObject Type="Embed" ProgID="Equation.DSMT4" ShapeID="_x0000_i1071" DrawAspect="Content" ObjectID="_1468075771" r:id="rId116">
            <o:LockedField>false</o:LockedField>
          </o:OLEObject>
        </w:object>
      </w:r>
      <w:r>
        <w:rPr>
          <w:b/>
          <w:bCs/>
          <w:iCs/>
          <w:sz w:val="24"/>
        </w:rPr>
        <w:t xml:space="preserve">                    </w:t>
      </w:r>
      <w:r>
        <w:rPr>
          <w:sz w:val="24"/>
        </w:rPr>
        <w:t>（5.</w:t>
      </w:r>
      <w:r>
        <w:rPr>
          <w:rFonts w:hint="eastAsia"/>
          <w:sz w:val="24"/>
        </w:rPr>
        <w:t>4</w:t>
      </w:r>
      <w:r>
        <w:rPr>
          <w:sz w:val="24"/>
        </w:rPr>
        <w:t>.</w:t>
      </w:r>
      <w:r>
        <w:rPr>
          <w:rFonts w:hint="eastAsia"/>
          <w:sz w:val="24"/>
        </w:rPr>
        <w:t>5</w:t>
      </w:r>
      <w:r>
        <w:rPr>
          <w:sz w:val="24"/>
        </w:rPr>
        <w:t>）</w:t>
      </w:r>
    </w:p>
    <w:p>
      <w:pPr>
        <w:spacing w:line="360" w:lineRule="auto"/>
        <w:ind w:left="1399" w:hanging="1399" w:hangingChars="583"/>
        <w:rPr>
          <w:sz w:val="24"/>
        </w:rPr>
      </w:pPr>
      <w:r>
        <w:rPr>
          <w:sz w:val="24"/>
        </w:rPr>
        <w:t>式中：</w:t>
      </w:r>
      <w:r>
        <w:rPr>
          <w:i/>
          <w:sz w:val="24"/>
        </w:rPr>
        <w:t>K</w:t>
      </w:r>
      <w:r>
        <w:rPr>
          <w:i/>
          <w:sz w:val="24"/>
          <w:vertAlign w:val="subscript"/>
        </w:rPr>
        <w:t>e</w:t>
      </w:r>
      <w:r>
        <w:rPr>
          <w:sz w:val="24"/>
        </w:rPr>
        <w:t>—嵌固稳定安全系数；</w:t>
      </w:r>
      <w:r>
        <w:rPr>
          <w:bCs/>
          <w:iCs/>
          <w:sz w:val="24"/>
        </w:rPr>
        <w:t>安全等级为一级、二级、三级基坑的悬臂式支挡           结构，</w:t>
      </w:r>
      <w:r>
        <w:rPr>
          <w:bCs/>
          <w:i/>
          <w:iCs/>
          <w:sz w:val="24"/>
        </w:rPr>
        <w:t>K</w:t>
      </w:r>
      <w:r>
        <w:rPr>
          <w:bCs/>
          <w:i/>
          <w:iCs/>
          <w:sz w:val="24"/>
          <w:vertAlign w:val="subscript"/>
        </w:rPr>
        <w:t>e</w:t>
      </w:r>
      <w:r>
        <w:rPr>
          <w:bCs/>
          <w:iCs/>
          <w:sz w:val="24"/>
        </w:rPr>
        <w:t>分别不小于1.25、1.20和1.15；</w:t>
      </w:r>
    </w:p>
    <w:p>
      <w:pPr>
        <w:spacing w:line="360" w:lineRule="auto"/>
        <w:ind w:firstLine="360" w:firstLineChars="150"/>
        <w:jc w:val="left"/>
        <w:rPr>
          <w:sz w:val="24"/>
        </w:rPr>
      </w:pPr>
      <w:r>
        <w:rPr>
          <w:i/>
          <w:sz w:val="24"/>
        </w:rPr>
        <w:t>E</w:t>
      </w:r>
      <w:r>
        <w:rPr>
          <w:i/>
          <w:sz w:val="24"/>
          <w:vertAlign w:val="subscript"/>
        </w:rPr>
        <w:t>ak</w:t>
      </w:r>
      <w:r>
        <w:rPr>
          <w:i/>
          <w:sz w:val="24"/>
        </w:rPr>
        <w:t>,E</w:t>
      </w:r>
      <w:r>
        <w:rPr>
          <w:i/>
          <w:sz w:val="24"/>
          <w:vertAlign w:val="subscript"/>
        </w:rPr>
        <w:t>pk</w:t>
      </w:r>
      <w:r>
        <w:rPr>
          <w:sz w:val="24"/>
        </w:rPr>
        <w:t>—分别为基坑外侧主动土压力合力、基坑内侧被动土压力合力的标准值；</w:t>
      </w:r>
    </w:p>
    <w:p>
      <w:pPr>
        <w:spacing w:line="360" w:lineRule="auto"/>
        <w:ind w:left="1203" w:leftChars="172" w:hanging="842" w:hangingChars="351"/>
        <w:jc w:val="left"/>
        <w:rPr>
          <w:sz w:val="24"/>
        </w:rPr>
      </w:pPr>
      <w:r>
        <w:rPr>
          <w:rFonts w:hint="eastAsia"/>
          <w:i/>
          <w:sz w:val="24"/>
        </w:rPr>
        <w:t>a</w:t>
      </w:r>
      <w:r>
        <w:rPr>
          <w:i/>
          <w:sz w:val="24"/>
          <w:vertAlign w:val="subscript"/>
        </w:rPr>
        <w:t>a</w:t>
      </w:r>
      <w:r>
        <w:rPr>
          <w:sz w:val="24"/>
          <w:vertAlign w:val="subscript"/>
        </w:rPr>
        <w:t>1</w:t>
      </w:r>
      <w:r>
        <w:rPr>
          <w:sz w:val="24"/>
        </w:rPr>
        <w:t>,</w:t>
      </w:r>
      <w:r>
        <w:rPr>
          <w:rFonts w:hint="eastAsia"/>
          <w:i/>
          <w:sz w:val="24"/>
        </w:rPr>
        <w:t>a</w:t>
      </w:r>
      <w:r>
        <w:rPr>
          <w:i/>
          <w:sz w:val="24"/>
          <w:vertAlign w:val="subscript"/>
        </w:rPr>
        <w:t>p</w:t>
      </w:r>
      <w:r>
        <w:rPr>
          <w:sz w:val="24"/>
          <w:vertAlign w:val="subscript"/>
        </w:rPr>
        <w:t>1</w:t>
      </w:r>
      <w:r>
        <w:rPr>
          <w:sz w:val="24"/>
        </w:rPr>
        <w:t>—基坑外侧主动土压力合力、基坑内侧被动土压力合力作用点至挡土构件底端       的距离。</w:t>
      </w:r>
    </w:p>
    <w:p>
      <w:pPr>
        <w:spacing w:line="360" w:lineRule="auto"/>
        <w:ind w:left="1207" w:leftChars="172" w:hanging="846" w:hangingChars="351"/>
        <w:jc w:val="center"/>
        <w:rPr>
          <w:b/>
          <w:color w:val="FF0000"/>
          <w:sz w:val="24"/>
        </w:rPr>
      </w:pPr>
      <w:r>
        <w:rPr>
          <w:b/>
          <w:color w:val="FF0000"/>
          <w:sz w:val="24"/>
        </w:rPr>
        <w:drawing>
          <wp:inline distT="0" distB="0" distL="0" distR="0">
            <wp:extent cx="2772410" cy="280543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772918" cy="2805684"/>
                    </a:xfrm>
                    <a:prstGeom prst="rect">
                      <a:avLst/>
                    </a:prstGeom>
                  </pic:spPr>
                </pic:pic>
              </a:graphicData>
            </a:graphic>
          </wp:inline>
        </w:drawing>
      </w:r>
    </w:p>
    <w:p>
      <w:pPr>
        <w:spacing w:line="360" w:lineRule="auto"/>
        <w:ind w:left="1207" w:leftChars="172" w:hanging="846" w:hangingChars="351"/>
        <w:jc w:val="center"/>
        <w:rPr>
          <w:b/>
          <w:sz w:val="24"/>
        </w:rPr>
      </w:pPr>
      <w:r>
        <w:rPr>
          <w:b/>
          <w:sz w:val="24"/>
        </w:rPr>
        <w:t>图5.</w:t>
      </w:r>
      <w:r>
        <w:rPr>
          <w:rFonts w:hint="eastAsia"/>
          <w:b/>
          <w:sz w:val="24"/>
        </w:rPr>
        <w:t>4</w:t>
      </w:r>
      <w:r>
        <w:rPr>
          <w:b/>
          <w:sz w:val="24"/>
        </w:rPr>
        <w:t>.</w:t>
      </w:r>
      <w:r>
        <w:rPr>
          <w:rFonts w:hint="eastAsia"/>
          <w:b/>
          <w:sz w:val="24"/>
        </w:rPr>
        <w:t>5</w:t>
      </w:r>
      <w:r>
        <w:rPr>
          <w:b/>
          <w:sz w:val="24"/>
        </w:rPr>
        <w:t xml:space="preserve">  悬臂式排桩嵌固稳定性验算</w:t>
      </w:r>
    </w:p>
    <w:p>
      <w:pPr>
        <w:tabs>
          <w:tab w:val="left" w:pos="672"/>
          <w:tab w:val="left" w:pos="1036"/>
          <w:tab w:val="left" w:pos="1620"/>
          <w:tab w:val="left" w:pos="2160"/>
          <w:tab w:val="left" w:pos="7020"/>
        </w:tabs>
        <w:spacing w:line="360" w:lineRule="auto"/>
        <w:jc w:val="left"/>
        <w:rPr>
          <w:bCs/>
          <w:iCs/>
          <w:sz w:val="24"/>
        </w:rPr>
      </w:pPr>
      <w:r>
        <w:rPr>
          <w:b/>
          <w:sz w:val="24"/>
        </w:rPr>
        <w:t>5.</w:t>
      </w:r>
      <w:r>
        <w:rPr>
          <w:rFonts w:hint="eastAsia"/>
          <w:b/>
          <w:sz w:val="24"/>
        </w:rPr>
        <w:t>4</w:t>
      </w:r>
      <w:r>
        <w:rPr>
          <w:b/>
          <w:sz w:val="24"/>
        </w:rPr>
        <w:t>.</w:t>
      </w:r>
      <w:r>
        <w:rPr>
          <w:rFonts w:hint="eastAsia"/>
          <w:b/>
          <w:sz w:val="24"/>
        </w:rPr>
        <w:t>6</w:t>
      </w:r>
      <w:r>
        <w:rPr>
          <w:b/>
          <w:sz w:val="24"/>
        </w:rPr>
        <w:t xml:space="preserve"> </w:t>
      </w:r>
      <w:r>
        <w:rPr>
          <w:sz w:val="24"/>
        </w:rPr>
        <w:t>单层锚杆或单层内支撑的支挡式结构的嵌固深度应符合以下嵌固稳定性的要求（图5.</w:t>
      </w:r>
      <w:r>
        <w:rPr>
          <w:rFonts w:hint="eastAsia"/>
          <w:sz w:val="24"/>
        </w:rPr>
        <w:t>4</w:t>
      </w:r>
      <w:r>
        <w:rPr>
          <w:sz w:val="24"/>
        </w:rPr>
        <w:t>.</w:t>
      </w:r>
      <w:r>
        <w:rPr>
          <w:rFonts w:hint="eastAsia"/>
          <w:sz w:val="24"/>
        </w:rPr>
        <w:t>6</w:t>
      </w:r>
      <w:r>
        <w:rPr>
          <w:sz w:val="24"/>
        </w:rPr>
        <w:t>）。</w:t>
      </w:r>
    </w:p>
    <w:p>
      <w:pPr>
        <w:wordWrap w:val="0"/>
        <w:spacing w:line="360" w:lineRule="auto"/>
        <w:jc w:val="right"/>
        <w:rPr>
          <w:sz w:val="24"/>
        </w:rPr>
      </w:pPr>
      <w:r>
        <w:rPr>
          <w:position w:val="-30"/>
          <w:sz w:val="24"/>
        </w:rPr>
        <w:object>
          <v:shape id="_x0000_i1072" o:spt="75" type="#_x0000_t75" style="height:32.55pt;width:56.3pt;" o:ole="t" filled="f" coordsize="21600,21600">
            <v:path/>
            <v:fill on="f" focussize="0,0"/>
            <v:stroke/>
            <v:imagedata r:id="rId120" o:title=""/>
            <o:lock v:ext="edit" aspectratio="t"/>
            <w10:wrap type="none"/>
            <w10:anchorlock/>
          </v:shape>
          <o:OLEObject Type="Embed" ProgID="Equation.DSMT4" ShapeID="_x0000_i1072" DrawAspect="Content" ObjectID="_1468075772" r:id="rId119">
            <o:LockedField>false</o:LockedField>
          </o:OLEObject>
        </w:object>
      </w:r>
      <w:r>
        <w:rPr>
          <w:sz w:val="24"/>
        </w:rPr>
        <w:t xml:space="preserve">    </w:t>
      </w:r>
      <w:r>
        <w:rPr>
          <w:rFonts w:hint="eastAsia"/>
          <w:sz w:val="24"/>
        </w:rPr>
        <w:t xml:space="preserve">           </w:t>
      </w:r>
      <w:r>
        <w:rPr>
          <w:sz w:val="24"/>
        </w:rPr>
        <w:t xml:space="preserve">           （5.</w:t>
      </w:r>
      <w:r>
        <w:rPr>
          <w:rFonts w:hint="eastAsia"/>
          <w:sz w:val="24"/>
        </w:rPr>
        <w:t>4</w:t>
      </w:r>
      <w:r>
        <w:rPr>
          <w:sz w:val="24"/>
        </w:rPr>
        <w:t>.</w:t>
      </w:r>
      <w:r>
        <w:rPr>
          <w:rFonts w:hint="eastAsia"/>
          <w:sz w:val="24"/>
        </w:rPr>
        <w:t>6</w:t>
      </w:r>
      <w:r>
        <w:rPr>
          <w:sz w:val="24"/>
        </w:rPr>
        <w:t>）</w:t>
      </w:r>
    </w:p>
    <w:p>
      <w:pPr>
        <w:spacing w:line="360" w:lineRule="auto"/>
        <w:ind w:left="1330" w:hanging="1329" w:hangingChars="554"/>
        <w:jc w:val="left"/>
        <w:rPr>
          <w:sz w:val="24"/>
        </w:rPr>
      </w:pPr>
      <w:r>
        <w:rPr>
          <w:sz w:val="24"/>
        </w:rPr>
        <w:t>式中：</w:t>
      </w:r>
      <w:r>
        <w:rPr>
          <w:i/>
          <w:sz w:val="24"/>
        </w:rPr>
        <w:t>K</w:t>
      </w:r>
      <w:r>
        <w:rPr>
          <w:sz w:val="24"/>
          <w:vertAlign w:val="subscript"/>
        </w:rPr>
        <w:t>e</w:t>
      </w:r>
      <w:r>
        <w:rPr>
          <w:sz w:val="24"/>
        </w:rPr>
        <w:t>—嵌固稳定安全系数；安全等级为一级、二级、三级的锚拉式和内支撑式支护结构，</w:t>
      </w:r>
      <w:r>
        <w:rPr>
          <w:i/>
          <w:sz w:val="24"/>
        </w:rPr>
        <w:t>K</w:t>
      </w:r>
      <w:r>
        <w:rPr>
          <w:sz w:val="24"/>
          <w:vertAlign w:val="subscript"/>
        </w:rPr>
        <w:t>e</w:t>
      </w:r>
      <w:r>
        <w:rPr>
          <w:sz w:val="24"/>
        </w:rPr>
        <w:t>分别不应小于1.25、1.20、1.15；</w:t>
      </w:r>
    </w:p>
    <w:p>
      <w:pPr>
        <w:spacing w:line="360" w:lineRule="auto"/>
        <w:ind w:left="1417" w:leftChars="172" w:hanging="1056" w:hangingChars="440"/>
        <w:jc w:val="left"/>
        <w:rPr>
          <w:sz w:val="24"/>
        </w:rPr>
      </w:pPr>
      <w:r>
        <w:rPr>
          <w:rFonts w:hint="eastAsia"/>
          <w:i/>
          <w:sz w:val="24"/>
        </w:rPr>
        <w:t>a</w:t>
      </w:r>
      <w:r>
        <w:rPr>
          <w:sz w:val="24"/>
          <w:vertAlign w:val="subscript"/>
        </w:rPr>
        <w:t>a2</w:t>
      </w:r>
      <w:r>
        <w:rPr>
          <w:sz w:val="24"/>
        </w:rPr>
        <w:t>、</w:t>
      </w:r>
      <w:r>
        <w:rPr>
          <w:rFonts w:hint="eastAsia"/>
          <w:i/>
          <w:sz w:val="24"/>
        </w:rPr>
        <w:t>a</w:t>
      </w:r>
      <w:r>
        <w:rPr>
          <w:sz w:val="24"/>
          <w:vertAlign w:val="subscript"/>
        </w:rPr>
        <w:t>p2</w:t>
      </w:r>
      <w:r>
        <w:rPr>
          <w:sz w:val="24"/>
        </w:rPr>
        <w:t>—支护结构外侧主动土压力、支护结构内侧被动土压力合力作用点至支点的距离（m）。</w:t>
      </w:r>
    </w:p>
    <w:p>
      <w:pPr>
        <w:spacing w:line="360" w:lineRule="auto"/>
        <w:jc w:val="center"/>
        <w:rPr>
          <w:sz w:val="24"/>
        </w:rPr>
      </w:pPr>
      <w:r>
        <w:rPr>
          <w:sz w:val="24"/>
        </w:rPr>
        <w:drawing>
          <wp:inline distT="0" distB="0" distL="0" distR="0">
            <wp:extent cx="2773680" cy="2804795"/>
            <wp:effectExtent l="0" t="0" r="7620" b="0"/>
            <wp:docPr id="19" name="图片 19" descr="E:\G规范编制\昆明地区基坑规范编制\2019.6第二次审查修改\插图\图5.4.6  单支点锚拉式和内支撑式钢板桩支护结构的嵌固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G规范编制\昆明地区基坑规范编制\2019.6第二次审查修改\插图\图5.4.6  单支点锚拉式和内支撑式钢板桩支护结构的嵌固稳定性验算.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773680" cy="2804795"/>
                    </a:xfrm>
                    <a:prstGeom prst="rect">
                      <a:avLst/>
                    </a:prstGeom>
                    <a:noFill/>
                    <a:ln>
                      <a:noFill/>
                    </a:ln>
                  </pic:spPr>
                </pic:pic>
              </a:graphicData>
            </a:graphic>
          </wp:inline>
        </w:drawing>
      </w:r>
    </w:p>
    <w:p>
      <w:pPr>
        <w:pStyle w:val="74"/>
        <w:spacing w:line="360" w:lineRule="auto"/>
        <w:jc w:val="center"/>
        <w:rPr>
          <w:rFonts w:ascii="Times New Roman" w:hAnsi="Times New Roman" w:cs="Times New Roman"/>
          <w:b/>
          <w:color w:val="auto"/>
        </w:rPr>
      </w:pPr>
      <w:r>
        <w:rPr>
          <w:rFonts w:ascii="Times New Roman" w:hAnsi="Times New Roman" w:cs="Times New Roman"/>
          <w:b/>
          <w:color w:val="auto"/>
        </w:rPr>
        <w:t>图5.</w:t>
      </w:r>
      <w:r>
        <w:rPr>
          <w:rFonts w:hint="eastAsia" w:ascii="Times New Roman" w:hAnsi="Times New Roman" w:cs="Times New Roman"/>
          <w:b/>
          <w:color w:val="auto"/>
        </w:rPr>
        <w:t>4</w:t>
      </w:r>
      <w:r>
        <w:rPr>
          <w:rFonts w:ascii="Times New Roman" w:hAnsi="Times New Roman" w:cs="Times New Roman"/>
          <w:b/>
          <w:color w:val="auto"/>
        </w:rPr>
        <w:t>.</w:t>
      </w:r>
      <w:r>
        <w:rPr>
          <w:rFonts w:hint="eastAsia" w:ascii="Times New Roman" w:hAnsi="Times New Roman" w:cs="Times New Roman"/>
          <w:b/>
          <w:color w:val="auto"/>
        </w:rPr>
        <w:t>6</w:t>
      </w:r>
      <w:r>
        <w:rPr>
          <w:rFonts w:ascii="Times New Roman" w:hAnsi="Times New Roman" w:cs="Times New Roman"/>
          <w:b/>
          <w:color w:val="auto"/>
        </w:rPr>
        <w:t xml:space="preserve">  单支点锚拉式和内支撑式支护结构的嵌固稳定性验算</w:t>
      </w:r>
    </w:p>
    <w:p>
      <w:pPr>
        <w:pStyle w:val="74"/>
        <w:spacing w:line="360" w:lineRule="auto"/>
        <w:rPr>
          <w:rFonts w:ascii="Times New Roman" w:hAnsi="Times New Roman" w:cs="Times New Roman"/>
          <w:color w:val="auto"/>
        </w:rPr>
      </w:pPr>
      <w:r>
        <w:rPr>
          <w:rFonts w:hint="eastAsia" w:ascii="Times New Roman" w:hAnsi="Times New Roman" w:cs="Times New Roman"/>
          <w:b/>
          <w:color w:val="auto"/>
        </w:rPr>
        <w:t xml:space="preserve">5.4.7  </w:t>
      </w:r>
      <w:r>
        <w:rPr>
          <w:rFonts w:hint="eastAsia" w:ascii="Times New Roman" w:hAnsi="Times New Roman" w:cs="Times New Roman"/>
          <w:color w:val="auto"/>
        </w:rPr>
        <w:t>锚拉式支挡结构和支撑式支挡结构，当坑底以下为软土时，其嵌固深度应符合下列以最下层支点为轴心的圆弧滑动稳定性要求（图5.4.7）：</w:t>
      </w:r>
    </w:p>
    <w:p>
      <w:pPr>
        <w:wordWrap w:val="0"/>
        <w:spacing w:line="360" w:lineRule="auto"/>
        <w:jc w:val="right"/>
        <w:rPr>
          <w:sz w:val="24"/>
        </w:rPr>
      </w:pPr>
      <w:r>
        <w:rPr>
          <w:position w:val="-36"/>
        </w:rPr>
        <w:object>
          <v:shape id="_x0000_i1073" o:spt="75" type="#_x0000_t75" style="height:44.05pt;width:204.5pt;" o:ole="t" filled="f" coordsize="21600,21600">
            <v:path/>
            <v:fill on="f" focussize="0,0"/>
            <v:stroke/>
            <v:imagedata r:id="rId123" o:title=""/>
            <o:lock v:ext="edit" aspectratio="t"/>
            <w10:wrap type="none"/>
            <w10:anchorlock/>
          </v:shape>
          <o:OLEObject Type="Embed" ProgID="Equation.DSMT4" ShapeID="_x0000_i1073" DrawAspect="Content" ObjectID="_1468075773" r:id="rId122">
            <o:LockedField>false</o:LockedField>
          </o:OLEObject>
        </w:object>
      </w:r>
      <w:r>
        <w:rPr>
          <w:rFonts w:hint="eastAsia"/>
          <w:position w:val="-36"/>
        </w:rPr>
        <w:t xml:space="preserve">               </w:t>
      </w:r>
      <w:r>
        <w:rPr>
          <w:sz w:val="24"/>
        </w:rPr>
        <w:t>（5.</w:t>
      </w:r>
      <w:r>
        <w:rPr>
          <w:rFonts w:hint="eastAsia"/>
          <w:sz w:val="24"/>
        </w:rPr>
        <w:t>4</w:t>
      </w:r>
      <w:r>
        <w:rPr>
          <w:sz w:val="24"/>
        </w:rPr>
        <w:t>.</w:t>
      </w:r>
      <w:r>
        <w:rPr>
          <w:rFonts w:hint="eastAsia"/>
          <w:sz w:val="24"/>
        </w:rPr>
        <w:t>7</w:t>
      </w:r>
      <w:r>
        <w:rPr>
          <w:sz w:val="24"/>
        </w:rPr>
        <w:t>）</w:t>
      </w:r>
    </w:p>
    <w:p>
      <w:pPr>
        <w:tabs>
          <w:tab w:val="left" w:pos="672"/>
          <w:tab w:val="left" w:pos="1036"/>
          <w:tab w:val="left" w:pos="1620"/>
          <w:tab w:val="left" w:pos="2160"/>
          <w:tab w:val="left" w:pos="7020"/>
        </w:tabs>
        <w:spacing w:line="360" w:lineRule="auto"/>
        <w:ind w:left="1200" w:hanging="1200" w:hangingChars="500"/>
        <w:rPr>
          <w:sz w:val="24"/>
        </w:rPr>
      </w:pPr>
      <w:r>
        <w:rPr>
          <w:sz w:val="24"/>
        </w:rPr>
        <w:t>式中：</w:t>
      </w:r>
      <w:r>
        <w:rPr>
          <w:i/>
          <w:sz w:val="24"/>
        </w:rPr>
        <w:t>K</w:t>
      </w:r>
      <w:r>
        <w:rPr>
          <w:rFonts w:hint="eastAsia"/>
          <w:sz w:val="24"/>
          <w:vertAlign w:val="subscript"/>
        </w:rPr>
        <w:t>r</w:t>
      </w:r>
      <w:r>
        <w:rPr>
          <w:color w:val="000000"/>
          <w:sz w:val="24"/>
        </w:rPr>
        <w:t>—</w:t>
      </w:r>
      <w:r>
        <w:rPr>
          <w:rFonts w:hint="eastAsia"/>
          <w:color w:val="000000"/>
          <w:sz w:val="24"/>
        </w:rPr>
        <w:t>以最下层支点为轴心的圆</w:t>
      </w:r>
      <w:r>
        <w:rPr>
          <w:sz w:val="24"/>
        </w:rPr>
        <w:t>弧滑动稳定安全系数；安全等级为一级、二级、三级的支挡</w:t>
      </w:r>
      <w:r>
        <w:rPr>
          <w:rFonts w:hint="eastAsia"/>
          <w:sz w:val="24"/>
        </w:rPr>
        <w:t>式</w:t>
      </w:r>
      <w:r>
        <w:rPr>
          <w:sz w:val="24"/>
        </w:rPr>
        <w:t>结构，</w:t>
      </w:r>
      <w:r>
        <w:rPr>
          <w:i/>
          <w:sz w:val="24"/>
        </w:rPr>
        <w:t>K</w:t>
      </w:r>
      <w:r>
        <w:rPr>
          <w:rFonts w:hint="eastAsia"/>
          <w:sz w:val="24"/>
          <w:vertAlign w:val="subscript"/>
        </w:rPr>
        <w:t>r</w:t>
      </w:r>
      <w:r>
        <w:rPr>
          <w:sz w:val="24"/>
        </w:rPr>
        <w:t>分别不应小于</w:t>
      </w:r>
      <w:r>
        <w:rPr>
          <w:rFonts w:hint="eastAsia"/>
          <w:sz w:val="24"/>
        </w:rPr>
        <w:t>2.2</w:t>
      </w:r>
      <w:r>
        <w:rPr>
          <w:sz w:val="24"/>
        </w:rPr>
        <w:t>、1.</w:t>
      </w:r>
      <w:r>
        <w:rPr>
          <w:rFonts w:hint="eastAsia"/>
          <w:sz w:val="24"/>
        </w:rPr>
        <w:t>9</w:t>
      </w:r>
      <w:r>
        <w:rPr>
          <w:sz w:val="24"/>
        </w:rPr>
        <w:t>、1.</w:t>
      </w:r>
      <w:r>
        <w:rPr>
          <w:rFonts w:hint="eastAsia"/>
          <w:sz w:val="24"/>
        </w:rPr>
        <w:t>7</w:t>
      </w:r>
      <w:r>
        <w:rPr>
          <w:sz w:val="24"/>
        </w:rPr>
        <w:t>；</w:t>
      </w:r>
    </w:p>
    <w:p>
      <w:pPr>
        <w:tabs>
          <w:tab w:val="left" w:pos="658"/>
          <w:tab w:val="left" w:pos="1036"/>
          <w:tab w:val="left" w:pos="1620"/>
          <w:tab w:val="left" w:pos="2160"/>
          <w:tab w:val="left" w:pos="7020"/>
        </w:tabs>
        <w:spacing w:line="360" w:lineRule="auto"/>
        <w:ind w:left="1050" w:leftChars="100" w:hanging="840" w:hangingChars="350"/>
        <w:rPr>
          <w:sz w:val="24"/>
        </w:rPr>
      </w:pPr>
      <w:r>
        <w:rPr>
          <w:i/>
          <w:sz w:val="24"/>
        </w:rPr>
        <w:t>c</w:t>
      </w:r>
      <w:r>
        <w:rPr>
          <w:i/>
          <w:sz w:val="24"/>
          <w:vertAlign w:val="subscript"/>
        </w:rPr>
        <w:t>j</w:t>
      </w:r>
      <w:r>
        <w:rPr>
          <w:sz w:val="24"/>
        </w:rPr>
        <w:t>、</w:t>
      </w:r>
      <w:r>
        <w:rPr>
          <w:i/>
          <w:sz w:val="24"/>
        </w:rPr>
        <w:sym w:font="Symbol" w:char="F06A"/>
      </w:r>
      <w:r>
        <w:rPr>
          <w:i/>
          <w:sz w:val="24"/>
          <w:vertAlign w:val="subscript"/>
        </w:rPr>
        <w:t>j</w:t>
      </w:r>
      <w:r>
        <w:rPr>
          <w:sz w:val="24"/>
          <w:vertAlign w:val="subscript"/>
        </w:rPr>
        <w:t xml:space="preserve"> </w:t>
      </w:r>
      <w:r>
        <w:rPr>
          <w:color w:val="000000"/>
          <w:sz w:val="24"/>
        </w:rPr>
        <w:t>—</w:t>
      </w:r>
      <w:r>
        <w:rPr>
          <w:sz w:val="24"/>
        </w:rPr>
        <w:t>第</w:t>
      </w:r>
      <w:r>
        <w:rPr>
          <w:i/>
          <w:sz w:val="24"/>
        </w:rPr>
        <w:t>j</w:t>
      </w:r>
      <w:r>
        <w:rPr>
          <w:sz w:val="24"/>
        </w:rPr>
        <w:t>土条滑弧面处土的粘聚力(kPa)、内摩擦角(°)；</w:t>
      </w:r>
    </w:p>
    <w:p>
      <w:pPr>
        <w:tabs>
          <w:tab w:val="left" w:pos="658"/>
          <w:tab w:val="left" w:pos="1134"/>
          <w:tab w:val="left" w:pos="1372"/>
          <w:tab w:val="left" w:pos="2160"/>
          <w:tab w:val="left" w:pos="3060"/>
          <w:tab w:val="left" w:pos="4680"/>
          <w:tab w:val="left" w:pos="7020"/>
        </w:tabs>
        <w:spacing w:line="360" w:lineRule="auto"/>
        <w:ind w:left="1110" w:leftChars="300" w:hanging="480" w:hangingChars="200"/>
        <w:rPr>
          <w:sz w:val="24"/>
        </w:rPr>
      </w:pPr>
      <w:r>
        <w:rPr>
          <w:i/>
          <w:sz w:val="24"/>
        </w:rPr>
        <w:t>b</w:t>
      </w:r>
      <w:r>
        <w:rPr>
          <w:i/>
          <w:sz w:val="24"/>
          <w:vertAlign w:val="subscript"/>
        </w:rPr>
        <w:t>j</w:t>
      </w:r>
      <w:r>
        <w:rPr>
          <w:sz w:val="24"/>
        </w:rPr>
        <w:t>—第</w:t>
      </w:r>
      <w:r>
        <w:rPr>
          <w:i/>
          <w:sz w:val="24"/>
        </w:rPr>
        <w:t>j</w:t>
      </w:r>
      <w:r>
        <w:rPr>
          <w:sz w:val="24"/>
        </w:rPr>
        <w:t>土条的宽度(m)；</w:t>
      </w:r>
    </w:p>
    <w:p>
      <w:pPr>
        <w:tabs>
          <w:tab w:val="left" w:pos="658"/>
          <w:tab w:val="left" w:pos="1120"/>
          <w:tab w:val="left" w:pos="1372"/>
          <w:tab w:val="left" w:pos="2160"/>
          <w:tab w:val="left" w:pos="3060"/>
          <w:tab w:val="left" w:pos="4680"/>
          <w:tab w:val="left" w:pos="7020"/>
        </w:tabs>
        <w:spacing w:line="360" w:lineRule="auto"/>
        <w:ind w:left="1110" w:leftChars="300" w:hanging="480" w:hangingChars="200"/>
        <w:rPr>
          <w:sz w:val="24"/>
        </w:rPr>
      </w:pPr>
      <w:r>
        <w:rPr>
          <w:i/>
          <w:sz w:val="24"/>
        </w:rPr>
        <w:t>θ</w:t>
      </w:r>
      <w:r>
        <w:rPr>
          <w:i/>
          <w:sz w:val="24"/>
          <w:vertAlign w:val="subscript"/>
        </w:rPr>
        <w:t>j</w:t>
      </w:r>
      <w:r>
        <w:rPr>
          <w:sz w:val="24"/>
        </w:rPr>
        <w:t>—第</w:t>
      </w:r>
      <w:r>
        <w:rPr>
          <w:i/>
          <w:sz w:val="24"/>
        </w:rPr>
        <w:t>j</w:t>
      </w:r>
      <w:r>
        <w:rPr>
          <w:sz w:val="24"/>
        </w:rPr>
        <w:t>土条滑弧面中点处的法线与垂直面的夹角(°)；</w:t>
      </w:r>
    </w:p>
    <w:p>
      <w:pPr>
        <w:tabs>
          <w:tab w:val="left" w:pos="658"/>
          <w:tab w:val="left" w:pos="1134"/>
          <w:tab w:val="left" w:pos="1372"/>
          <w:tab w:val="left" w:pos="2160"/>
          <w:tab w:val="left" w:pos="3060"/>
          <w:tab w:val="left" w:pos="4680"/>
          <w:tab w:val="left" w:pos="7020"/>
        </w:tabs>
        <w:spacing w:line="360" w:lineRule="auto"/>
        <w:ind w:left="1110" w:leftChars="300" w:hanging="480" w:hangingChars="200"/>
        <w:rPr>
          <w:sz w:val="24"/>
        </w:rPr>
      </w:pPr>
      <w:r>
        <w:rPr>
          <w:i/>
          <w:sz w:val="24"/>
        </w:rPr>
        <w:t>l</w:t>
      </w:r>
      <w:r>
        <w:rPr>
          <w:i/>
          <w:sz w:val="24"/>
          <w:vertAlign w:val="subscript"/>
        </w:rPr>
        <w:t>j</w:t>
      </w:r>
      <w:r>
        <w:rPr>
          <w:sz w:val="24"/>
        </w:rPr>
        <w:t>—第</w:t>
      </w:r>
      <w:r>
        <w:rPr>
          <w:i/>
          <w:sz w:val="24"/>
        </w:rPr>
        <w:t>j</w:t>
      </w:r>
      <w:r>
        <w:rPr>
          <w:sz w:val="24"/>
        </w:rPr>
        <w:t>土条的滑弧段长度(m)，取</w:t>
      </w:r>
      <w:r>
        <w:rPr>
          <w:i/>
          <w:sz w:val="24"/>
        </w:rPr>
        <w:t>l</w:t>
      </w:r>
      <w:r>
        <w:rPr>
          <w:i/>
          <w:sz w:val="24"/>
          <w:vertAlign w:val="subscript"/>
        </w:rPr>
        <w:t>j</w:t>
      </w:r>
      <w:r>
        <w:rPr>
          <w:sz w:val="24"/>
        </w:rPr>
        <w:t>＝</w:t>
      </w:r>
      <w:r>
        <w:rPr>
          <w:i/>
          <w:sz w:val="24"/>
        </w:rPr>
        <w:t>b</w:t>
      </w:r>
      <w:r>
        <w:rPr>
          <w:i/>
          <w:sz w:val="24"/>
          <w:vertAlign w:val="subscript"/>
        </w:rPr>
        <w:t>j</w:t>
      </w:r>
      <w:r>
        <w:rPr>
          <w:sz w:val="24"/>
          <w:vertAlign w:val="subscript"/>
        </w:rPr>
        <w:t xml:space="preserve"> </w:t>
      </w:r>
      <w:r>
        <w:rPr>
          <w:sz w:val="24"/>
        </w:rPr>
        <w:t>/cos</w:t>
      </w:r>
      <w:r>
        <w:rPr>
          <w:i/>
          <w:sz w:val="24"/>
        </w:rPr>
        <w:t>θ</w:t>
      </w:r>
      <w:r>
        <w:rPr>
          <w:i/>
          <w:sz w:val="24"/>
          <w:vertAlign w:val="subscript"/>
        </w:rPr>
        <w:t>j</w:t>
      </w:r>
      <w:r>
        <w:rPr>
          <w:sz w:val="24"/>
        </w:rPr>
        <w:t>；</w:t>
      </w:r>
    </w:p>
    <w:p>
      <w:pPr>
        <w:tabs>
          <w:tab w:val="left" w:pos="658"/>
          <w:tab w:val="left" w:pos="1134"/>
          <w:tab w:val="left" w:pos="1372"/>
          <w:tab w:val="left" w:pos="2160"/>
          <w:tab w:val="left" w:pos="3060"/>
          <w:tab w:val="left" w:pos="4680"/>
          <w:tab w:val="left" w:pos="7020"/>
        </w:tabs>
        <w:spacing w:line="360" w:lineRule="auto"/>
        <w:ind w:left="1110" w:leftChars="300" w:hanging="480" w:hangingChars="200"/>
        <w:rPr>
          <w:sz w:val="24"/>
        </w:rPr>
      </w:pPr>
      <w:r>
        <w:rPr>
          <w:i/>
          <w:sz w:val="24"/>
        </w:rPr>
        <w:t>q</w:t>
      </w:r>
      <w:r>
        <w:rPr>
          <w:i/>
          <w:sz w:val="24"/>
          <w:vertAlign w:val="subscript"/>
        </w:rPr>
        <w:t>j</w:t>
      </w:r>
      <w:r>
        <w:rPr>
          <w:sz w:val="24"/>
        </w:rPr>
        <w:t>—第</w:t>
      </w:r>
      <w:r>
        <w:rPr>
          <w:i/>
          <w:sz w:val="24"/>
        </w:rPr>
        <w:t>j</w:t>
      </w:r>
      <w:r>
        <w:rPr>
          <w:sz w:val="24"/>
        </w:rPr>
        <w:t>土条</w:t>
      </w:r>
      <w:r>
        <w:rPr>
          <w:rFonts w:hint="eastAsia"/>
          <w:sz w:val="24"/>
        </w:rPr>
        <w:t>顶面上</w:t>
      </w:r>
      <w:r>
        <w:rPr>
          <w:sz w:val="24"/>
        </w:rPr>
        <w:t>的</w:t>
      </w:r>
      <w:r>
        <w:rPr>
          <w:rFonts w:hint="eastAsia"/>
          <w:sz w:val="24"/>
        </w:rPr>
        <w:t>竖向压力标准</w:t>
      </w:r>
      <w:r>
        <w:rPr>
          <w:sz w:val="24"/>
        </w:rPr>
        <w:t>值(kPa)；</w:t>
      </w:r>
    </w:p>
    <w:p>
      <w:pPr>
        <w:tabs>
          <w:tab w:val="left" w:pos="660"/>
          <w:tab w:val="left" w:pos="1120"/>
          <w:tab w:val="left" w:pos="1372"/>
          <w:tab w:val="left" w:pos="2160"/>
          <w:tab w:val="left" w:pos="3060"/>
          <w:tab w:val="left" w:pos="4680"/>
          <w:tab w:val="left" w:pos="7020"/>
        </w:tabs>
        <w:spacing w:line="360" w:lineRule="auto"/>
        <w:ind w:left="900" w:leftChars="200" w:hanging="480" w:hangingChars="200"/>
        <w:rPr>
          <w:sz w:val="24"/>
        </w:rPr>
      </w:pPr>
      <w:r>
        <w:rPr>
          <w:i/>
          <w:sz w:val="24"/>
        </w:rPr>
        <w:t>ΔG</w:t>
      </w:r>
      <w:r>
        <w:rPr>
          <w:sz w:val="24"/>
          <w:vertAlign w:val="subscript"/>
        </w:rPr>
        <w:t>j</w:t>
      </w:r>
      <w:r>
        <w:rPr>
          <w:color w:val="000000"/>
          <w:sz w:val="24"/>
        </w:rPr>
        <w:t>—</w:t>
      </w:r>
      <w:r>
        <w:rPr>
          <w:sz w:val="24"/>
        </w:rPr>
        <w:t>第</w:t>
      </w:r>
      <w:r>
        <w:rPr>
          <w:i/>
          <w:sz w:val="24"/>
        </w:rPr>
        <w:t>j</w:t>
      </w:r>
      <w:r>
        <w:rPr>
          <w:sz w:val="24"/>
        </w:rPr>
        <w:t>土条的自重(kN)，按天然重度计算</w:t>
      </w:r>
      <w:r>
        <w:rPr>
          <w:rFonts w:hint="eastAsia"/>
          <w:sz w:val="24"/>
        </w:rPr>
        <w:t>。</w:t>
      </w:r>
    </w:p>
    <w:p>
      <w:pPr>
        <w:tabs>
          <w:tab w:val="left" w:pos="660"/>
          <w:tab w:val="left" w:pos="1120"/>
          <w:tab w:val="left" w:pos="1372"/>
          <w:tab w:val="left" w:pos="2160"/>
          <w:tab w:val="left" w:pos="3060"/>
          <w:tab w:val="left" w:pos="4680"/>
          <w:tab w:val="left" w:pos="7020"/>
        </w:tabs>
        <w:spacing w:line="360" w:lineRule="auto"/>
        <w:ind w:hanging="482"/>
        <w:jc w:val="center"/>
        <w:rPr>
          <w:sz w:val="24"/>
        </w:rPr>
      </w:pPr>
      <w:r>
        <w:rPr>
          <w:sz w:val="24"/>
        </w:rPr>
        <w:drawing>
          <wp:inline distT="0" distB="0" distL="0" distR="0">
            <wp:extent cx="4204335" cy="269240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204800" cy="2692800"/>
                    </a:xfrm>
                    <a:prstGeom prst="rect">
                      <a:avLst/>
                    </a:prstGeom>
                  </pic:spPr>
                </pic:pic>
              </a:graphicData>
            </a:graphic>
          </wp:inline>
        </w:drawing>
      </w:r>
    </w:p>
    <w:p>
      <w:pPr>
        <w:spacing w:line="360" w:lineRule="auto"/>
        <w:jc w:val="center"/>
        <w:rPr>
          <w:b/>
          <w:sz w:val="24"/>
        </w:rPr>
      </w:pPr>
      <w:r>
        <w:rPr>
          <w:b/>
          <w:sz w:val="24"/>
        </w:rPr>
        <w:t>图5.</w:t>
      </w:r>
      <w:r>
        <w:rPr>
          <w:rFonts w:hint="eastAsia"/>
          <w:b/>
          <w:sz w:val="24"/>
        </w:rPr>
        <w:t>4</w:t>
      </w:r>
      <w:r>
        <w:rPr>
          <w:b/>
          <w:sz w:val="24"/>
        </w:rPr>
        <w:t>.</w:t>
      </w:r>
      <w:r>
        <w:rPr>
          <w:rFonts w:hint="eastAsia"/>
          <w:b/>
          <w:sz w:val="24"/>
        </w:rPr>
        <w:t>7</w:t>
      </w:r>
      <w:r>
        <w:rPr>
          <w:b/>
          <w:sz w:val="24"/>
        </w:rPr>
        <w:t xml:space="preserve">  </w:t>
      </w:r>
      <w:r>
        <w:rPr>
          <w:rFonts w:hint="eastAsia"/>
          <w:b/>
          <w:sz w:val="24"/>
        </w:rPr>
        <w:t>以最下层支点为轴心的圆弧滑动稳定性验算</w:t>
      </w:r>
    </w:p>
    <w:p>
      <w:pPr>
        <w:spacing w:line="360" w:lineRule="auto"/>
        <w:ind w:firstLine="420"/>
        <w:jc w:val="center"/>
        <w:rPr>
          <w:szCs w:val="21"/>
        </w:rPr>
      </w:pPr>
      <w:r>
        <w:rPr>
          <w:szCs w:val="21"/>
        </w:rPr>
        <w:t>1－</w:t>
      </w:r>
      <w:r>
        <w:rPr>
          <w:rFonts w:hint="eastAsia"/>
          <w:szCs w:val="21"/>
        </w:rPr>
        <w:t>任意圆弧滑动面</w:t>
      </w:r>
      <w:r>
        <w:rPr>
          <w:szCs w:val="21"/>
        </w:rPr>
        <w:t>；2－</w:t>
      </w:r>
      <w:r>
        <w:rPr>
          <w:rFonts w:hint="eastAsia"/>
          <w:szCs w:val="21"/>
        </w:rPr>
        <w:t>最下层支点</w:t>
      </w:r>
    </w:p>
    <w:p>
      <w:pPr>
        <w:spacing w:line="360" w:lineRule="auto"/>
        <w:ind w:right="357"/>
        <w:jc w:val="left"/>
        <w:rPr>
          <w:sz w:val="24"/>
        </w:rPr>
      </w:pPr>
      <w:r>
        <w:rPr>
          <w:rFonts w:hint="eastAsia"/>
          <w:b/>
          <w:sz w:val="24"/>
        </w:rPr>
        <w:t xml:space="preserve">5.4.8 </w:t>
      </w:r>
      <w:r>
        <w:rPr>
          <w:rFonts w:hint="eastAsia"/>
          <w:sz w:val="24"/>
        </w:rPr>
        <w:t>挡土构件的嵌固深度除应满足本规程第5.4.2条~5.4.4条的规定外，对悬臂式结构，尚不宜小于0.8</w:t>
      </w:r>
      <w:r>
        <w:rPr>
          <w:rFonts w:hint="eastAsia"/>
          <w:i/>
          <w:sz w:val="24"/>
        </w:rPr>
        <w:t>h</w:t>
      </w:r>
      <w:r>
        <w:rPr>
          <w:rFonts w:hint="eastAsia"/>
          <w:sz w:val="24"/>
        </w:rPr>
        <w:t>；对单支点支挡式结构尚不宜小于0.3</w:t>
      </w:r>
      <w:r>
        <w:rPr>
          <w:rFonts w:hint="eastAsia"/>
          <w:i/>
          <w:sz w:val="24"/>
        </w:rPr>
        <w:t xml:space="preserve"> h</w:t>
      </w:r>
      <w:r>
        <w:rPr>
          <w:rFonts w:hint="eastAsia"/>
          <w:sz w:val="24"/>
        </w:rPr>
        <w:t xml:space="preserve">；对多支点支挡式结构，尚不宜小于0.2 </w:t>
      </w:r>
      <w:r>
        <w:rPr>
          <w:rFonts w:hint="eastAsia"/>
          <w:i/>
          <w:sz w:val="24"/>
        </w:rPr>
        <w:t>h</w:t>
      </w:r>
      <w:r>
        <w:rPr>
          <w:rFonts w:hint="eastAsia"/>
          <w:sz w:val="24"/>
        </w:rPr>
        <w:t>。</w:t>
      </w:r>
    </w:p>
    <w:p>
      <w:pPr>
        <w:spacing w:line="360" w:lineRule="auto"/>
        <w:ind w:right="357"/>
        <w:jc w:val="left"/>
        <w:rPr>
          <w:sz w:val="24"/>
        </w:rPr>
      </w:pPr>
      <w:r>
        <w:rPr>
          <w:rFonts w:hint="eastAsia"/>
          <w:b/>
          <w:sz w:val="24"/>
        </w:rPr>
        <w:t>5.4.9</w:t>
      </w:r>
      <w:r>
        <w:rPr>
          <w:sz w:val="24"/>
        </w:rPr>
        <w:t>当坑底以下含水层厚度大而需采用悬挂式帷幕，对均质含水层，基坑可能出现流土时，帷幕进入坑底的深度应满足下列规定（图5.</w:t>
      </w:r>
      <w:r>
        <w:rPr>
          <w:rFonts w:hint="eastAsia"/>
          <w:sz w:val="24"/>
        </w:rPr>
        <w:t>4</w:t>
      </w:r>
      <w:r>
        <w:rPr>
          <w:sz w:val="24"/>
        </w:rPr>
        <w:t>.</w:t>
      </w:r>
      <w:r>
        <w:rPr>
          <w:rFonts w:hint="eastAsia"/>
          <w:sz w:val="24"/>
        </w:rPr>
        <w:t>9</w:t>
      </w:r>
      <w:r>
        <w:rPr>
          <w:sz w:val="24"/>
        </w:rPr>
        <w:t>）</w:t>
      </w:r>
      <w:r>
        <w:rPr>
          <w:rFonts w:hint="eastAsia"/>
          <w:sz w:val="24"/>
        </w:rPr>
        <w:t>，对渗透系数差异变化较大的非均质含水层，宜采用数值方法进行渗流稳定性分析</w:t>
      </w:r>
      <w:r>
        <w:rPr>
          <w:sz w:val="24"/>
        </w:rPr>
        <w:t>。</w:t>
      </w:r>
    </w:p>
    <w:p>
      <w:pPr>
        <w:tabs>
          <w:tab w:val="left" w:pos="672"/>
          <w:tab w:val="left" w:pos="1036"/>
          <w:tab w:val="left" w:pos="1620"/>
          <w:tab w:val="left" w:pos="2160"/>
          <w:tab w:val="left" w:pos="7020"/>
        </w:tabs>
        <w:wordWrap w:val="0"/>
        <w:spacing w:line="360" w:lineRule="auto"/>
        <w:ind w:left="1470" w:leftChars="700" w:firstLine="480"/>
        <w:jc w:val="right"/>
        <w:rPr>
          <w:sz w:val="24"/>
        </w:rPr>
      </w:pPr>
      <w:r>
        <w:rPr>
          <w:position w:val="-32"/>
          <w:sz w:val="24"/>
        </w:rPr>
        <w:object>
          <v:shape id="_x0000_i1074" o:spt="75" type="#_x0000_t75" style="height:37.55pt;width:109.55pt;" o:ole="t" filled="f" coordsize="21600,21600">
            <v:path/>
            <v:fill on="f" focussize="0,0"/>
            <v:stroke/>
            <v:imagedata r:id="rId126" o:title=""/>
            <o:lock v:ext="edit" aspectratio="t"/>
            <w10:wrap type="none"/>
            <w10:anchorlock/>
          </v:shape>
          <o:OLEObject Type="Embed" ProgID="Equation.DSMT4" ShapeID="_x0000_i1074" DrawAspect="Content" ObjectID="_1468075774" r:id="rId125">
            <o:LockedField>false</o:LockedField>
          </o:OLEObject>
        </w:object>
      </w:r>
      <w:r>
        <w:rPr>
          <w:sz w:val="24"/>
        </w:rPr>
        <w:t xml:space="preserve">       </w:t>
      </w:r>
      <w:r>
        <w:rPr>
          <w:rFonts w:hint="eastAsia"/>
          <w:sz w:val="24"/>
        </w:rPr>
        <w:t xml:space="preserve">     </w:t>
      </w:r>
      <w:r>
        <w:rPr>
          <w:sz w:val="24"/>
        </w:rPr>
        <w:t xml:space="preserve">         （5.</w:t>
      </w:r>
      <w:r>
        <w:rPr>
          <w:rFonts w:hint="eastAsia"/>
          <w:sz w:val="24"/>
        </w:rPr>
        <w:t>4</w:t>
      </w:r>
      <w:r>
        <w:rPr>
          <w:sz w:val="24"/>
        </w:rPr>
        <w:t>.</w:t>
      </w:r>
      <w:r>
        <w:rPr>
          <w:rFonts w:hint="eastAsia"/>
          <w:sz w:val="24"/>
        </w:rPr>
        <w:t>9</w:t>
      </w:r>
      <w:r>
        <w:rPr>
          <w:sz w:val="24"/>
        </w:rPr>
        <w:t>）</w:t>
      </w:r>
    </w:p>
    <w:p>
      <w:pPr>
        <w:tabs>
          <w:tab w:val="left" w:pos="672"/>
          <w:tab w:val="left" w:pos="1036"/>
          <w:tab w:val="left" w:pos="1620"/>
          <w:tab w:val="left" w:pos="2160"/>
          <w:tab w:val="left" w:pos="7020"/>
        </w:tabs>
        <w:spacing w:line="360" w:lineRule="auto"/>
        <w:ind w:left="1272" w:hanging="1272" w:hangingChars="530"/>
        <w:jc w:val="left"/>
        <w:rPr>
          <w:sz w:val="24"/>
        </w:rPr>
      </w:pPr>
      <w:r>
        <w:rPr>
          <w:sz w:val="24"/>
        </w:rPr>
        <w:t>式中：</w:t>
      </w:r>
      <w:r>
        <w:rPr>
          <w:i/>
          <w:sz w:val="24"/>
        </w:rPr>
        <w:t>K</w:t>
      </w:r>
      <w:r>
        <w:rPr>
          <w:rFonts w:hint="eastAsia"/>
          <w:i/>
          <w:sz w:val="24"/>
          <w:vertAlign w:val="subscript"/>
        </w:rPr>
        <w:t>f</w:t>
      </w:r>
      <w:r>
        <w:rPr>
          <w:sz w:val="24"/>
        </w:rPr>
        <w:t>—流土稳定性安全系数，安全等级为一、二、三级的支护结构，</w:t>
      </w:r>
      <w:r>
        <w:rPr>
          <w:i/>
          <w:sz w:val="24"/>
        </w:rPr>
        <w:t>K</w:t>
      </w:r>
      <w:r>
        <w:rPr>
          <w:rFonts w:hint="eastAsia"/>
          <w:i/>
          <w:sz w:val="24"/>
          <w:vertAlign w:val="subscript"/>
        </w:rPr>
        <w:t>f</w:t>
      </w:r>
      <w:r>
        <w:rPr>
          <w:sz w:val="24"/>
        </w:rPr>
        <w:t>分别不应小于1.60、1.50、1.40；</w:t>
      </w:r>
    </w:p>
    <w:p>
      <w:pPr>
        <w:tabs>
          <w:tab w:val="left" w:pos="672"/>
          <w:tab w:val="left" w:pos="1036"/>
          <w:tab w:val="left" w:pos="1620"/>
          <w:tab w:val="left" w:pos="2160"/>
          <w:tab w:val="left" w:pos="7020"/>
        </w:tabs>
        <w:spacing w:line="360" w:lineRule="auto"/>
        <w:ind w:firstLine="720" w:firstLineChars="300"/>
        <w:jc w:val="left"/>
        <w:rPr>
          <w:sz w:val="24"/>
        </w:rPr>
      </w:pPr>
      <w:r>
        <w:rPr>
          <w:rFonts w:hint="eastAsia"/>
          <w:i/>
          <w:sz w:val="24"/>
        </w:rPr>
        <w:t>l</w:t>
      </w:r>
      <w:r>
        <w:rPr>
          <w:rFonts w:hint="eastAsia"/>
          <w:i/>
          <w:sz w:val="24"/>
          <w:vertAlign w:val="subscript"/>
        </w:rPr>
        <w:t>d</w:t>
      </w:r>
      <w:r>
        <w:rPr>
          <w:i/>
          <w:sz w:val="24"/>
        </w:rPr>
        <w:t xml:space="preserve"> </w:t>
      </w:r>
      <w:r>
        <w:rPr>
          <w:sz w:val="24"/>
        </w:rPr>
        <w:t>—截水帷幕底面至坑底的土层厚度(m)；</w:t>
      </w:r>
    </w:p>
    <w:p>
      <w:pPr>
        <w:tabs>
          <w:tab w:val="left" w:pos="1036"/>
          <w:tab w:val="left" w:pos="1260"/>
          <w:tab w:val="left" w:pos="1620"/>
          <w:tab w:val="left" w:pos="2160"/>
          <w:tab w:val="left" w:pos="7020"/>
        </w:tabs>
        <w:spacing w:line="360" w:lineRule="auto"/>
        <w:ind w:firstLine="720" w:firstLineChars="300"/>
        <w:rPr>
          <w:sz w:val="24"/>
        </w:rPr>
      </w:pPr>
      <w:r>
        <w:rPr>
          <w:i/>
          <w:sz w:val="24"/>
        </w:rPr>
        <w:t>D</w:t>
      </w:r>
      <w:r>
        <w:rPr>
          <w:sz w:val="24"/>
          <w:vertAlign w:val="subscript"/>
        </w:rPr>
        <w:t xml:space="preserve">1 </w:t>
      </w:r>
      <w:r>
        <w:rPr>
          <w:sz w:val="24"/>
        </w:rPr>
        <w:t>—潜水水面或承压水含水层顶面至基坑底面的土层厚度(m)；</w:t>
      </w:r>
    </w:p>
    <w:p>
      <w:pPr>
        <w:tabs>
          <w:tab w:val="left" w:pos="672"/>
          <w:tab w:val="left" w:pos="1036"/>
          <w:tab w:val="left" w:pos="1620"/>
          <w:tab w:val="left" w:pos="2160"/>
          <w:tab w:val="left" w:pos="7020"/>
        </w:tabs>
        <w:spacing w:line="360" w:lineRule="auto"/>
        <w:ind w:firstLine="840" w:firstLineChars="350"/>
        <w:jc w:val="left"/>
        <w:rPr>
          <w:sz w:val="24"/>
        </w:rPr>
      </w:pPr>
      <w:r>
        <w:rPr>
          <w:position w:val="-10"/>
          <w:sz w:val="24"/>
        </w:rPr>
        <w:object>
          <v:shape id="_x0000_i1075" o:spt="75" type="#_x0000_t75" style="height:15.7pt;width:12.25pt;" o:ole="t" filled="f" coordsize="21600,21600">
            <v:path/>
            <v:fill on="f" focussize="0,0"/>
            <v:stroke/>
            <v:imagedata r:id="rId128" o:title=""/>
            <o:lock v:ext="edit" aspectratio="t"/>
            <w10:wrap type="none"/>
            <w10:anchorlock/>
          </v:shape>
          <o:OLEObject Type="Embed" ProgID="Equation.DSMT4" ShapeID="_x0000_i1075" DrawAspect="Content" ObjectID="_1468075775" r:id="rId127">
            <o:LockedField>false</o:LockedField>
          </o:OLEObject>
        </w:object>
      </w:r>
      <w:r>
        <w:rPr>
          <w:sz w:val="24"/>
        </w:rPr>
        <w:t>—土的浮重度(kN/m</w:t>
      </w:r>
      <w:r>
        <w:rPr>
          <w:sz w:val="24"/>
          <w:vertAlign w:val="superscript"/>
        </w:rPr>
        <w:t>3</w:t>
      </w:r>
      <w:r>
        <w:rPr>
          <w:sz w:val="24"/>
        </w:rPr>
        <w:t>)；</w:t>
      </w:r>
    </w:p>
    <w:p>
      <w:pPr>
        <w:tabs>
          <w:tab w:val="left" w:pos="672"/>
          <w:tab w:val="left" w:pos="1036"/>
          <w:tab w:val="left" w:pos="1620"/>
          <w:tab w:val="left" w:pos="2160"/>
          <w:tab w:val="left" w:pos="7020"/>
        </w:tabs>
        <w:spacing w:line="360" w:lineRule="auto"/>
        <w:ind w:firstLine="720" w:firstLineChars="300"/>
        <w:jc w:val="left"/>
        <w:rPr>
          <w:sz w:val="24"/>
        </w:rPr>
      </w:pPr>
      <w:r>
        <w:rPr>
          <w:sz w:val="24"/>
        </w:rPr>
        <w:t>Δ</w:t>
      </w:r>
      <w:r>
        <w:rPr>
          <w:i/>
          <w:sz w:val="24"/>
        </w:rPr>
        <w:t xml:space="preserve">h </w:t>
      </w:r>
      <w:r>
        <w:rPr>
          <w:sz w:val="24"/>
        </w:rPr>
        <w:t>—基坑内外的水头差(m)；</w:t>
      </w:r>
    </w:p>
    <w:p>
      <w:pPr>
        <w:tabs>
          <w:tab w:val="left" w:pos="672"/>
          <w:tab w:val="left" w:pos="1036"/>
          <w:tab w:val="left" w:pos="1620"/>
          <w:tab w:val="left" w:pos="2160"/>
          <w:tab w:val="left" w:pos="7020"/>
        </w:tabs>
        <w:spacing w:line="360" w:lineRule="auto"/>
        <w:ind w:firstLine="840" w:firstLineChars="350"/>
        <w:jc w:val="left"/>
        <w:rPr>
          <w:sz w:val="24"/>
        </w:rPr>
      </w:pPr>
      <w:r>
        <w:rPr>
          <w:i/>
          <w:sz w:val="24"/>
        </w:rPr>
        <w:t>γ</w:t>
      </w:r>
      <w:r>
        <w:rPr>
          <w:i/>
          <w:sz w:val="24"/>
          <w:vertAlign w:val="subscript"/>
        </w:rPr>
        <w:t>w</w:t>
      </w:r>
      <w:r>
        <w:rPr>
          <w:sz w:val="24"/>
        </w:rPr>
        <w:t>—水的重度(kN/m</w:t>
      </w:r>
      <w:r>
        <w:rPr>
          <w:sz w:val="24"/>
          <w:vertAlign w:val="superscript"/>
        </w:rPr>
        <w:t>3</w:t>
      </w:r>
      <w:r>
        <w:rPr>
          <w:sz w:val="24"/>
        </w:rPr>
        <w:t>)。</w:t>
      </w:r>
    </w:p>
    <w:p>
      <w:pPr>
        <w:tabs>
          <w:tab w:val="left" w:pos="672"/>
          <w:tab w:val="left" w:pos="1036"/>
          <w:tab w:val="left" w:pos="1620"/>
          <w:tab w:val="left" w:pos="2160"/>
          <w:tab w:val="left" w:pos="7020"/>
        </w:tabs>
        <w:spacing w:line="360" w:lineRule="auto"/>
        <w:ind w:firstLine="480"/>
        <w:jc w:val="center"/>
        <w:rPr>
          <w:sz w:val="24"/>
        </w:rPr>
      </w:pPr>
      <w:r>
        <w:rPr>
          <w:sz w:val="24"/>
        </w:rPr>
        <w:drawing>
          <wp:inline distT="0" distB="0" distL="0" distR="0">
            <wp:extent cx="5288280" cy="2400935"/>
            <wp:effectExtent l="0" t="0" r="7620" b="0"/>
            <wp:docPr id="29" name="图片 29" descr="E:\G规范编制\昆明地区基坑规范编制\2019.6第二次审查修改\插图\图5.4.8采用悬挂式帷幕截水时的流土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G规范编制\昆明地区基坑规范编制\2019.6第二次审查修改\插图\图5.4.8采用悬挂式帷幕截水时的流土稳定性验算.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5288400" cy="2401200"/>
                    </a:xfrm>
                    <a:prstGeom prst="rect">
                      <a:avLst/>
                    </a:prstGeom>
                    <a:noFill/>
                    <a:ln>
                      <a:noFill/>
                    </a:ln>
                  </pic:spPr>
                </pic:pic>
              </a:graphicData>
            </a:graphic>
          </wp:inline>
        </w:drawing>
      </w:r>
    </w:p>
    <w:p>
      <w:pPr>
        <w:spacing w:line="360" w:lineRule="auto"/>
        <w:ind w:firstLine="360"/>
        <w:jc w:val="center"/>
        <w:rPr>
          <w:sz w:val="18"/>
          <w:szCs w:val="18"/>
        </w:rPr>
      </w:pPr>
      <w:r>
        <w:rPr>
          <w:sz w:val="18"/>
          <w:szCs w:val="18"/>
        </w:rPr>
        <w:t xml:space="preserve"> (a)  潜水                            (b)  承压水</w:t>
      </w:r>
    </w:p>
    <w:p>
      <w:pPr>
        <w:spacing w:line="360" w:lineRule="auto"/>
        <w:jc w:val="center"/>
        <w:rPr>
          <w:b/>
          <w:sz w:val="24"/>
        </w:rPr>
      </w:pPr>
      <w:r>
        <w:rPr>
          <w:b/>
          <w:sz w:val="24"/>
        </w:rPr>
        <w:t>图5.</w:t>
      </w:r>
      <w:r>
        <w:rPr>
          <w:rFonts w:hint="eastAsia"/>
          <w:b/>
          <w:sz w:val="24"/>
        </w:rPr>
        <w:t>4</w:t>
      </w:r>
      <w:r>
        <w:rPr>
          <w:b/>
          <w:sz w:val="24"/>
        </w:rPr>
        <w:t>.</w:t>
      </w:r>
      <w:r>
        <w:rPr>
          <w:rFonts w:hint="eastAsia"/>
          <w:b/>
          <w:sz w:val="24"/>
        </w:rPr>
        <w:t>9</w:t>
      </w:r>
      <w:r>
        <w:rPr>
          <w:b/>
          <w:sz w:val="24"/>
        </w:rPr>
        <w:t>采用悬挂式帷幕截水时的流土稳定性验算</w:t>
      </w:r>
    </w:p>
    <w:p>
      <w:pPr>
        <w:spacing w:line="360" w:lineRule="auto"/>
        <w:ind w:firstLine="420"/>
        <w:jc w:val="center"/>
        <w:rPr>
          <w:szCs w:val="21"/>
        </w:rPr>
      </w:pPr>
      <w:r>
        <w:rPr>
          <w:szCs w:val="21"/>
        </w:rPr>
        <w:t>1－截水帷幕；2－基坑底面；3－含水层；4－潜水水位；</w:t>
      </w:r>
    </w:p>
    <w:p>
      <w:pPr>
        <w:spacing w:line="360" w:lineRule="auto"/>
        <w:ind w:firstLine="420"/>
        <w:jc w:val="center"/>
        <w:rPr>
          <w:szCs w:val="21"/>
        </w:rPr>
      </w:pPr>
      <w:r>
        <w:rPr>
          <w:szCs w:val="21"/>
        </w:rPr>
        <w:t>5-承压水测管水位； 6－承压含水层顶面</w:t>
      </w:r>
    </w:p>
    <w:p>
      <w:pPr>
        <w:tabs>
          <w:tab w:val="left" w:pos="672"/>
          <w:tab w:val="left" w:pos="1036"/>
          <w:tab w:val="left" w:pos="1620"/>
          <w:tab w:val="left" w:pos="2160"/>
          <w:tab w:val="left" w:pos="7020"/>
        </w:tabs>
        <w:spacing w:line="360" w:lineRule="auto"/>
        <w:jc w:val="left"/>
        <w:rPr>
          <w:sz w:val="24"/>
        </w:rPr>
      </w:pPr>
      <w:r>
        <w:rPr>
          <w:b/>
          <w:sz w:val="24"/>
        </w:rPr>
        <w:t>5.</w:t>
      </w:r>
      <w:r>
        <w:rPr>
          <w:rFonts w:hint="eastAsia"/>
          <w:b/>
          <w:sz w:val="24"/>
        </w:rPr>
        <w:t>4</w:t>
      </w:r>
      <w:r>
        <w:rPr>
          <w:b/>
          <w:sz w:val="24"/>
        </w:rPr>
        <w:t>.</w:t>
      </w:r>
      <w:r>
        <w:rPr>
          <w:rFonts w:hint="eastAsia"/>
          <w:b/>
          <w:sz w:val="24"/>
        </w:rPr>
        <w:t xml:space="preserve">10 </w:t>
      </w:r>
      <w:r>
        <w:rPr>
          <w:b/>
          <w:sz w:val="24"/>
        </w:rPr>
        <w:t xml:space="preserve"> </w:t>
      </w:r>
      <w:r>
        <w:rPr>
          <w:sz w:val="24"/>
        </w:rPr>
        <w:t>坑底以下有水头高于坑底的承压水含水层，</w:t>
      </w:r>
      <w:r>
        <w:rPr>
          <w:rFonts w:hint="eastAsia"/>
          <w:sz w:val="24"/>
        </w:rPr>
        <w:t>且其上部存在不透水层时，同时</w:t>
      </w:r>
      <w:r>
        <w:rPr>
          <w:sz w:val="24"/>
        </w:rPr>
        <w:t>未用截水帷幕隔断其基坑内外的水力联系时，承压水作用下的坑底突涌稳定性应</w:t>
      </w:r>
      <w:r>
        <w:rPr>
          <w:rFonts w:hint="eastAsia"/>
          <w:sz w:val="24"/>
        </w:rPr>
        <w:t>按下列公式计算</w:t>
      </w:r>
      <w:r>
        <w:rPr>
          <w:sz w:val="24"/>
        </w:rPr>
        <w:t>（图5.</w:t>
      </w:r>
      <w:r>
        <w:rPr>
          <w:rFonts w:hint="eastAsia"/>
          <w:sz w:val="24"/>
        </w:rPr>
        <w:t>4</w:t>
      </w:r>
      <w:r>
        <w:rPr>
          <w:sz w:val="24"/>
        </w:rPr>
        <w:t>.</w:t>
      </w:r>
      <w:r>
        <w:rPr>
          <w:rFonts w:hint="eastAsia"/>
          <w:sz w:val="24"/>
        </w:rPr>
        <w:t>10</w:t>
      </w:r>
      <w:r>
        <w:rPr>
          <w:sz w:val="24"/>
        </w:rPr>
        <w:t>）：</w:t>
      </w:r>
    </w:p>
    <w:p>
      <w:pPr>
        <w:tabs>
          <w:tab w:val="left" w:pos="672"/>
          <w:tab w:val="left" w:pos="1036"/>
          <w:tab w:val="left" w:pos="1620"/>
          <w:tab w:val="left" w:pos="2160"/>
          <w:tab w:val="left" w:pos="7020"/>
        </w:tabs>
        <w:spacing w:line="360" w:lineRule="auto"/>
        <w:ind w:left="2310" w:leftChars="1100" w:firstLine="480"/>
        <w:jc w:val="right"/>
        <w:rPr>
          <w:sz w:val="24"/>
        </w:rPr>
      </w:pPr>
      <w:r>
        <w:rPr>
          <w:position w:val="-32"/>
          <w:sz w:val="24"/>
        </w:rPr>
        <w:object>
          <v:shape id="_x0000_i1076" o:spt="75" type="#_x0000_t75" style="height:37.55pt;width:61.65pt;" o:ole="t" filled="f" coordsize="21600,21600">
            <v:path/>
            <v:fill on="f" focussize="0,0"/>
            <v:stroke/>
            <v:imagedata r:id="rId131" o:title=""/>
            <o:lock v:ext="edit" aspectratio="t"/>
            <w10:wrap type="none"/>
            <w10:anchorlock/>
          </v:shape>
          <o:OLEObject Type="Embed" ProgID="Equation.DSMT4" ShapeID="_x0000_i1076" DrawAspect="Content" ObjectID="_1468075776" r:id="rId130">
            <o:LockedField>false</o:LockedField>
          </o:OLEObject>
        </w:object>
      </w:r>
      <w:r>
        <w:rPr>
          <w:sz w:val="24"/>
        </w:rPr>
        <w:t xml:space="preserve">                       （5.</w:t>
      </w:r>
      <w:r>
        <w:rPr>
          <w:rFonts w:hint="eastAsia"/>
          <w:sz w:val="24"/>
        </w:rPr>
        <w:t>4</w:t>
      </w:r>
      <w:r>
        <w:rPr>
          <w:sz w:val="24"/>
        </w:rPr>
        <w:t>.</w:t>
      </w:r>
      <w:r>
        <w:rPr>
          <w:rFonts w:hint="eastAsia"/>
          <w:sz w:val="24"/>
        </w:rPr>
        <w:t>10</w:t>
      </w:r>
      <w:r>
        <w:rPr>
          <w:sz w:val="24"/>
        </w:rPr>
        <w:t>）</w:t>
      </w:r>
    </w:p>
    <w:p>
      <w:pPr>
        <w:tabs>
          <w:tab w:val="left" w:pos="672"/>
          <w:tab w:val="left" w:pos="1036"/>
          <w:tab w:val="left" w:pos="1620"/>
          <w:tab w:val="left" w:pos="2160"/>
          <w:tab w:val="left" w:pos="7020"/>
        </w:tabs>
        <w:spacing w:line="360" w:lineRule="auto"/>
        <w:ind w:left="1644" w:hanging="1644" w:hangingChars="685"/>
        <w:rPr>
          <w:sz w:val="24"/>
        </w:rPr>
      </w:pPr>
      <w:r>
        <w:rPr>
          <w:sz w:val="24"/>
        </w:rPr>
        <w:t>式中：</w:t>
      </w:r>
      <w:r>
        <w:rPr>
          <w:i/>
          <w:sz w:val="24"/>
        </w:rPr>
        <w:t>K</w:t>
      </w:r>
      <w:r>
        <w:rPr>
          <w:rFonts w:hint="eastAsia"/>
          <w:i/>
          <w:sz w:val="24"/>
          <w:vertAlign w:val="subscript"/>
        </w:rPr>
        <w:t>h</w:t>
      </w:r>
      <w:r>
        <w:rPr>
          <w:sz w:val="24"/>
        </w:rPr>
        <w:t>—突涌稳定性安全系数，</w:t>
      </w:r>
      <w:r>
        <w:rPr>
          <w:i/>
          <w:sz w:val="24"/>
        </w:rPr>
        <w:t xml:space="preserve"> K</w:t>
      </w:r>
      <w:r>
        <w:rPr>
          <w:rFonts w:hint="eastAsia"/>
          <w:i/>
          <w:sz w:val="24"/>
          <w:vertAlign w:val="subscript"/>
        </w:rPr>
        <w:t>h</w:t>
      </w:r>
      <w:r>
        <w:rPr>
          <w:sz w:val="24"/>
        </w:rPr>
        <w:t>不应小于1.10；</w:t>
      </w:r>
    </w:p>
    <w:p>
      <w:pPr>
        <w:tabs>
          <w:tab w:val="left" w:pos="672"/>
          <w:tab w:val="left" w:pos="1036"/>
          <w:tab w:val="left" w:pos="1620"/>
          <w:tab w:val="left" w:pos="2160"/>
          <w:tab w:val="left" w:pos="7020"/>
        </w:tabs>
        <w:spacing w:line="360" w:lineRule="auto"/>
        <w:ind w:firstLine="840" w:firstLineChars="350"/>
        <w:rPr>
          <w:sz w:val="24"/>
        </w:rPr>
      </w:pPr>
      <w:r>
        <w:rPr>
          <w:i/>
          <w:sz w:val="24"/>
        </w:rPr>
        <w:t>D</w:t>
      </w:r>
      <w:r>
        <w:rPr>
          <w:sz w:val="24"/>
        </w:rPr>
        <w:t>—承压含水层顶面至坑底的土层厚度(m)；</w:t>
      </w:r>
    </w:p>
    <w:p>
      <w:pPr>
        <w:tabs>
          <w:tab w:val="left" w:pos="672"/>
          <w:tab w:val="left" w:pos="1036"/>
          <w:tab w:val="left" w:pos="1620"/>
          <w:tab w:val="left" w:pos="2160"/>
          <w:tab w:val="left" w:pos="7020"/>
        </w:tabs>
        <w:spacing w:line="360" w:lineRule="auto"/>
        <w:ind w:left="1202" w:leftChars="400" w:hanging="362" w:hangingChars="151"/>
        <w:jc w:val="left"/>
        <w:rPr>
          <w:sz w:val="24"/>
        </w:rPr>
      </w:pPr>
      <w:r>
        <w:rPr>
          <w:i/>
          <w:sz w:val="24"/>
        </w:rPr>
        <w:t>γ</w:t>
      </w:r>
      <w:r>
        <w:rPr>
          <w:sz w:val="24"/>
        </w:rPr>
        <w:t>—承压含水层顶面至坑底土层的天然重度(kN/m</w:t>
      </w:r>
      <w:r>
        <w:rPr>
          <w:sz w:val="24"/>
          <w:vertAlign w:val="superscript"/>
        </w:rPr>
        <w:t>3</w:t>
      </w:r>
      <w:r>
        <w:rPr>
          <w:sz w:val="24"/>
        </w:rPr>
        <w:t>)；对成层土，取按土层厚度加权的平均天然重度；</w:t>
      </w:r>
    </w:p>
    <w:p>
      <w:pPr>
        <w:tabs>
          <w:tab w:val="left" w:pos="672"/>
          <w:tab w:val="left" w:pos="1036"/>
          <w:tab w:val="left" w:pos="1620"/>
          <w:tab w:val="left" w:pos="2160"/>
          <w:tab w:val="left" w:pos="7020"/>
        </w:tabs>
        <w:spacing w:line="360" w:lineRule="auto"/>
        <w:ind w:firstLine="720" w:firstLineChars="300"/>
        <w:jc w:val="left"/>
        <w:rPr>
          <w:sz w:val="24"/>
        </w:rPr>
      </w:pPr>
      <w:r>
        <w:rPr>
          <w:rFonts w:hint="eastAsia"/>
          <w:i/>
          <w:sz w:val="24"/>
        </w:rPr>
        <w:t>h</w:t>
      </w:r>
      <w:r>
        <w:rPr>
          <w:i/>
          <w:sz w:val="24"/>
          <w:vertAlign w:val="subscript"/>
        </w:rPr>
        <w:t>w</w:t>
      </w:r>
      <w:r>
        <w:rPr>
          <w:sz w:val="24"/>
        </w:rPr>
        <w:t>—承压水含水层</w:t>
      </w:r>
      <w:r>
        <w:rPr>
          <w:rFonts w:hint="eastAsia"/>
          <w:sz w:val="24"/>
        </w:rPr>
        <w:t>顶面的压力水头高度(m)；</w:t>
      </w:r>
    </w:p>
    <w:p>
      <w:pPr>
        <w:tabs>
          <w:tab w:val="left" w:pos="672"/>
          <w:tab w:val="left" w:pos="1036"/>
          <w:tab w:val="left" w:pos="1620"/>
          <w:tab w:val="left" w:pos="2160"/>
          <w:tab w:val="left" w:pos="7020"/>
        </w:tabs>
        <w:spacing w:line="360" w:lineRule="auto"/>
        <w:ind w:firstLine="720" w:firstLineChars="300"/>
        <w:jc w:val="left"/>
        <w:rPr>
          <w:sz w:val="24"/>
        </w:rPr>
      </w:pPr>
      <w:r>
        <w:rPr>
          <w:i/>
          <w:sz w:val="24"/>
        </w:rPr>
        <w:t>γ</w:t>
      </w:r>
      <w:r>
        <w:rPr>
          <w:i/>
          <w:sz w:val="24"/>
          <w:vertAlign w:val="subscript"/>
        </w:rPr>
        <w:t>w</w:t>
      </w:r>
      <w:r>
        <w:rPr>
          <w:sz w:val="24"/>
        </w:rPr>
        <w:t>—</w:t>
      </w:r>
      <w:r>
        <w:rPr>
          <w:rFonts w:hint="eastAsia"/>
          <w:sz w:val="24"/>
        </w:rPr>
        <w:t>水的重度(</w:t>
      </w:r>
      <w:r>
        <w:rPr>
          <w:sz w:val="24"/>
        </w:rPr>
        <w:t>kN/m</w:t>
      </w:r>
      <w:r>
        <w:rPr>
          <w:sz w:val="24"/>
          <w:vertAlign w:val="superscript"/>
        </w:rPr>
        <w:t>3</w:t>
      </w:r>
      <w:r>
        <w:rPr>
          <w:rFonts w:hint="eastAsia"/>
          <w:sz w:val="24"/>
        </w:rPr>
        <w:t>)。</w:t>
      </w:r>
    </w:p>
    <w:p>
      <w:pPr>
        <w:spacing w:line="360" w:lineRule="auto"/>
        <w:jc w:val="center"/>
      </w:pPr>
      <w:r>
        <w:drawing>
          <wp:inline distT="0" distB="0" distL="0" distR="0">
            <wp:extent cx="2523490" cy="2370455"/>
            <wp:effectExtent l="0" t="0" r="0" b="0"/>
            <wp:docPr id="30" name="图片 30" descr="E:\G规范编制\昆明地区基坑规范编制\2019.6第二次审查修改\插图\图5.4.9  坑底土体的突涌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G规范编制\昆明地区基坑规范编制\2019.6第二次审查修改\插图\图5.4.9  坑底土体的突涌稳定性验算.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2523490" cy="2370455"/>
                    </a:xfrm>
                    <a:prstGeom prst="rect">
                      <a:avLst/>
                    </a:prstGeom>
                    <a:noFill/>
                    <a:ln>
                      <a:noFill/>
                    </a:ln>
                  </pic:spPr>
                </pic:pic>
              </a:graphicData>
            </a:graphic>
          </wp:inline>
        </w:drawing>
      </w:r>
    </w:p>
    <w:p>
      <w:pPr>
        <w:jc w:val="center"/>
        <w:rPr>
          <w:b/>
          <w:sz w:val="24"/>
        </w:rPr>
      </w:pPr>
      <w:r>
        <w:rPr>
          <w:b/>
          <w:sz w:val="24"/>
        </w:rPr>
        <w:t>图5.</w:t>
      </w:r>
      <w:r>
        <w:rPr>
          <w:rFonts w:hint="eastAsia"/>
          <w:b/>
          <w:sz w:val="24"/>
        </w:rPr>
        <w:t>4</w:t>
      </w:r>
      <w:r>
        <w:rPr>
          <w:b/>
          <w:sz w:val="24"/>
        </w:rPr>
        <w:t>.</w:t>
      </w:r>
      <w:r>
        <w:rPr>
          <w:rFonts w:hint="eastAsia"/>
          <w:b/>
          <w:sz w:val="24"/>
        </w:rPr>
        <w:t>10</w:t>
      </w:r>
      <w:r>
        <w:rPr>
          <w:b/>
          <w:sz w:val="24"/>
        </w:rPr>
        <w:t xml:space="preserve">  坑底土体的突涌稳定性验算</w:t>
      </w:r>
    </w:p>
    <w:p>
      <w:pPr>
        <w:jc w:val="center"/>
        <w:rPr>
          <w:szCs w:val="21"/>
        </w:rPr>
      </w:pPr>
      <w:r>
        <w:rPr>
          <w:szCs w:val="21"/>
        </w:rPr>
        <w:t>1－截水帷幕；2－基底；3－潜水水位；4－承压水含水层；5－隔水层</w:t>
      </w:r>
    </w:p>
    <w:p>
      <w:pPr>
        <w:jc w:val="center"/>
        <w:rPr>
          <w:kern w:val="0"/>
          <w:szCs w:val="21"/>
        </w:rPr>
      </w:pPr>
    </w:p>
    <w:p>
      <w:pPr>
        <w:spacing w:line="360" w:lineRule="auto"/>
        <w:jc w:val="center"/>
        <w:outlineLvl w:val="1"/>
        <w:rPr>
          <w:b/>
          <w:sz w:val="24"/>
        </w:rPr>
      </w:pPr>
      <w:bookmarkStart w:id="45" w:name="_Toc489863666"/>
      <w:bookmarkStart w:id="46" w:name="_Toc87018267"/>
      <w:bookmarkStart w:id="47" w:name="_Toc87018336"/>
      <w:r>
        <w:rPr>
          <w:b/>
          <w:sz w:val="24"/>
        </w:rPr>
        <w:t>5.</w:t>
      </w:r>
      <w:r>
        <w:rPr>
          <w:rFonts w:hint="eastAsia"/>
          <w:b/>
          <w:sz w:val="24"/>
        </w:rPr>
        <w:t>5</w:t>
      </w:r>
      <w:r>
        <w:rPr>
          <w:b/>
          <w:sz w:val="24"/>
        </w:rPr>
        <w:t xml:space="preserve">  排桩支护</w:t>
      </w:r>
      <w:bookmarkEnd w:id="45"/>
      <w:bookmarkEnd w:id="46"/>
      <w:bookmarkEnd w:id="47"/>
    </w:p>
    <w:p>
      <w:pPr>
        <w:spacing w:line="360" w:lineRule="auto"/>
        <w:rPr>
          <w:b/>
          <w:bCs/>
          <w:sz w:val="24"/>
        </w:rPr>
      </w:pPr>
      <w:r>
        <w:rPr>
          <w:b/>
          <w:bCs/>
          <w:sz w:val="24"/>
        </w:rPr>
        <w:t>5.</w:t>
      </w:r>
      <w:r>
        <w:rPr>
          <w:rFonts w:hint="eastAsia"/>
          <w:b/>
          <w:bCs/>
          <w:sz w:val="24"/>
        </w:rPr>
        <w:t>5</w:t>
      </w:r>
      <w:r>
        <w:rPr>
          <w:b/>
          <w:bCs/>
          <w:sz w:val="24"/>
        </w:rPr>
        <w:t xml:space="preserve">.1  </w:t>
      </w:r>
      <w:r>
        <w:rPr>
          <w:bCs/>
          <w:sz w:val="24"/>
        </w:rPr>
        <w:t>排桩支护</w:t>
      </w:r>
      <w:r>
        <w:rPr>
          <w:rFonts w:hint="eastAsia"/>
          <w:bCs/>
          <w:sz w:val="24"/>
        </w:rPr>
        <w:t>类型和选型</w:t>
      </w:r>
      <w:r>
        <w:rPr>
          <w:bCs/>
          <w:sz w:val="24"/>
        </w:rPr>
        <w:t>：</w:t>
      </w:r>
    </w:p>
    <w:p>
      <w:pPr>
        <w:spacing w:line="360" w:lineRule="auto"/>
        <w:ind w:firstLine="480" w:firstLineChars="200"/>
        <w:jc w:val="left"/>
        <w:rPr>
          <w:bCs/>
          <w:iCs/>
          <w:sz w:val="24"/>
        </w:rPr>
      </w:pPr>
      <w:r>
        <w:rPr>
          <w:bCs/>
          <w:iCs/>
          <w:sz w:val="24"/>
        </w:rPr>
        <w:t>1  排桩的桩型主要有灌注桩、</w:t>
      </w:r>
      <w:r>
        <w:rPr>
          <w:rFonts w:hint="eastAsia"/>
          <w:bCs/>
          <w:iCs/>
          <w:sz w:val="24"/>
        </w:rPr>
        <w:t>预制</w:t>
      </w:r>
      <w:r>
        <w:rPr>
          <w:bCs/>
          <w:iCs/>
          <w:sz w:val="24"/>
        </w:rPr>
        <w:t>桩、钢板桩、钢管桩、型钢水泥土搅拌桩等桩型</w:t>
      </w:r>
      <w:r>
        <w:rPr>
          <w:rFonts w:hint="eastAsia"/>
          <w:bCs/>
          <w:iCs/>
          <w:sz w:val="24"/>
        </w:rPr>
        <w:t>；</w:t>
      </w:r>
    </w:p>
    <w:p>
      <w:pPr>
        <w:spacing w:line="360" w:lineRule="auto"/>
        <w:ind w:firstLine="480" w:firstLineChars="200"/>
        <w:jc w:val="left"/>
        <w:rPr>
          <w:bCs/>
          <w:iCs/>
          <w:sz w:val="24"/>
        </w:rPr>
      </w:pPr>
      <w:r>
        <w:rPr>
          <w:rFonts w:hint="eastAsia"/>
          <w:bCs/>
          <w:iCs/>
          <w:sz w:val="24"/>
        </w:rPr>
        <w:t>2</w:t>
      </w:r>
      <w:r>
        <w:rPr>
          <w:bCs/>
          <w:iCs/>
          <w:sz w:val="24"/>
        </w:rPr>
        <w:t xml:space="preserve">  排桩支护主要包括悬臂式单排桩和双排桩两大类。单排桩适用基坑深度不宜超过6m，双排桩适用基坑深度不宜超过8m。对于软土区，单排桩适用基坑深度不宜超过5m，双排桩适用基坑深度不宜超过7m。</w:t>
      </w:r>
    </w:p>
    <w:p>
      <w:pPr>
        <w:pStyle w:val="74"/>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 xml:space="preserve">  当</w:t>
      </w:r>
      <w:r>
        <w:rPr>
          <w:rFonts w:hint="eastAsia" w:ascii="Times New Roman" w:hAnsi="Times New Roman" w:cs="Times New Roman"/>
          <w:color w:val="auto"/>
        </w:rPr>
        <w:t>排</w:t>
      </w:r>
      <w:r>
        <w:rPr>
          <w:rFonts w:ascii="Times New Roman" w:hAnsi="Times New Roman" w:cs="Times New Roman"/>
          <w:color w:val="auto"/>
        </w:rPr>
        <w:t>桩的施工影响范围内存在对地基变形敏感、结构性能差的建筑物或地下管线时，不应采用挤土效应严重、易塌孔、易缩径或有较大震动的施工工艺。</w:t>
      </w:r>
    </w:p>
    <w:p>
      <w:pPr>
        <w:spacing w:line="360" w:lineRule="auto"/>
        <w:rPr>
          <w:bCs/>
          <w:sz w:val="24"/>
        </w:rPr>
      </w:pPr>
      <w:r>
        <w:rPr>
          <w:b/>
          <w:bCs/>
          <w:sz w:val="24"/>
        </w:rPr>
        <w:t xml:space="preserve">5.5.2  </w:t>
      </w:r>
      <w:r>
        <w:rPr>
          <w:bCs/>
          <w:sz w:val="24"/>
        </w:rPr>
        <w:t>排桩支护结构的设计计算与验算</w:t>
      </w:r>
      <w:r>
        <w:rPr>
          <w:rFonts w:hint="eastAsia"/>
          <w:bCs/>
          <w:sz w:val="24"/>
        </w:rPr>
        <w:t>（图5.5.2）：</w:t>
      </w:r>
    </w:p>
    <w:p>
      <w:pPr>
        <w:pStyle w:val="9"/>
        <w:jc w:val="center"/>
        <w:rPr>
          <w:rFonts w:ascii="黑体" w:hAnsi="黑体" w:eastAsia="黑体"/>
          <w:szCs w:val="21"/>
          <w:lang w:val="en-US"/>
        </w:rPr>
      </w:pPr>
      <w:r>
        <w:rPr>
          <w:b/>
          <w:sz w:val="24"/>
          <w:lang w:val="en-US" w:eastAsia="zh-CN"/>
        </w:rPr>
        <w:drawing>
          <wp:inline distT="0" distB="0" distL="0" distR="0">
            <wp:extent cx="2263140" cy="2503170"/>
            <wp:effectExtent l="0" t="0" r="3810" b="0"/>
            <wp:docPr id="1" name="图片 1" descr="E:\G规范编制\昆明地区基坑规范编制\2019.6第二次审查修改\插图\图5.5.2-1 弹性支点法计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G规范编制\昆明地区基坑规范编制\2019.6第二次审查修改\插图\图5.5.2-1 弹性支点法计算.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2263140" cy="2503170"/>
                    </a:xfrm>
                    <a:prstGeom prst="rect">
                      <a:avLst/>
                    </a:prstGeom>
                    <a:noFill/>
                    <a:ln>
                      <a:noFill/>
                    </a:ln>
                  </pic:spPr>
                </pic:pic>
              </a:graphicData>
            </a:graphic>
          </wp:inline>
        </w:drawing>
      </w:r>
    </w:p>
    <w:p>
      <w:pPr>
        <w:pStyle w:val="9"/>
        <w:spacing w:after="0" w:line="360" w:lineRule="auto"/>
        <w:jc w:val="center"/>
        <w:rPr>
          <w:rFonts w:eastAsia="黑体"/>
          <w:szCs w:val="21"/>
          <w:lang w:eastAsia="zh-CN"/>
        </w:rPr>
      </w:pPr>
      <w:r>
        <w:rPr>
          <w:rFonts w:eastAsia="黑体"/>
          <w:szCs w:val="21"/>
        </w:rPr>
        <w:t>图</w:t>
      </w:r>
      <w:r>
        <w:rPr>
          <w:rFonts w:eastAsia="黑体"/>
          <w:szCs w:val="21"/>
          <w:lang w:eastAsia="zh-CN"/>
        </w:rPr>
        <w:t>5.5.2</w:t>
      </w:r>
      <w:r>
        <w:rPr>
          <w:rFonts w:hint="eastAsia" w:eastAsia="黑体"/>
          <w:szCs w:val="21"/>
          <w:lang w:eastAsia="zh-CN"/>
        </w:rPr>
        <w:t>-1</w:t>
      </w:r>
      <w:r>
        <w:rPr>
          <w:rFonts w:eastAsia="黑体"/>
          <w:szCs w:val="21"/>
        </w:rPr>
        <w:t xml:space="preserve"> 弹性支点法计算</w:t>
      </w:r>
    </w:p>
    <w:p>
      <w:pPr>
        <w:pStyle w:val="9"/>
        <w:spacing w:after="0" w:line="360" w:lineRule="auto"/>
        <w:jc w:val="center"/>
        <w:rPr>
          <w:szCs w:val="21"/>
        </w:rPr>
      </w:pPr>
      <w:r>
        <w:rPr>
          <w:szCs w:val="21"/>
        </w:rPr>
        <w:t>1—挡土结构；2—计算土的反力的弹性支座</w:t>
      </w:r>
    </w:p>
    <w:p>
      <w:pPr>
        <w:spacing w:line="360" w:lineRule="auto"/>
        <w:ind w:firstLine="480" w:firstLineChars="200"/>
        <w:rPr>
          <w:bCs/>
          <w:iCs/>
          <w:sz w:val="24"/>
        </w:rPr>
      </w:pPr>
      <w:r>
        <w:rPr>
          <w:bCs/>
          <w:iCs/>
          <w:sz w:val="24"/>
        </w:rPr>
        <w:t>1  排桩分布土反力可按下列公式计算：</w:t>
      </w:r>
    </w:p>
    <w:p>
      <w:pPr>
        <w:spacing w:line="360" w:lineRule="auto"/>
        <w:jc w:val="right"/>
        <w:rPr>
          <w:sz w:val="24"/>
        </w:rPr>
      </w:pPr>
      <w:r>
        <w:rPr>
          <w:position w:val="-10"/>
          <w:sz w:val="24"/>
        </w:rPr>
        <w:object>
          <v:shape id="_x0000_i1077" o:spt="75" type="#_x0000_t75" style="height:16.45pt;width:72pt;" o:ole="t" filled="f" coordsize="21600,21600">
            <v:path/>
            <v:fill on="f" focussize="0,0"/>
            <v:stroke/>
            <v:imagedata r:id="rId135" o:title=""/>
            <o:lock v:ext="edit" aspectratio="t"/>
            <w10:wrap type="none"/>
            <w10:anchorlock/>
          </v:shape>
          <o:OLEObject Type="Embed" ProgID="Equation.3" ShapeID="_x0000_i1077" DrawAspect="Content" ObjectID="_1468075777" r:id="rId134">
            <o:LockedField>false</o:LockedField>
          </o:OLEObject>
        </w:object>
      </w:r>
      <w:r>
        <w:rPr>
          <w:position w:val="-6"/>
          <w:sz w:val="24"/>
        </w:rPr>
        <w:t xml:space="preserve">   </w:t>
      </w:r>
      <w:r>
        <w:rPr>
          <w:i/>
          <w:position w:val="-6"/>
          <w:sz w:val="24"/>
        </w:rPr>
        <w:t>P</w:t>
      </w:r>
      <w:r>
        <w:rPr>
          <w:position w:val="-6"/>
          <w:sz w:val="24"/>
          <w:vertAlign w:val="subscript"/>
        </w:rPr>
        <w:t>s</w:t>
      </w:r>
      <w:r>
        <w:rPr>
          <w:position w:val="-6"/>
          <w:sz w:val="24"/>
        </w:rPr>
        <w:t>＝</w:t>
      </w:r>
      <w:r>
        <w:rPr>
          <w:i/>
          <w:position w:val="-6"/>
          <w:sz w:val="24"/>
        </w:rPr>
        <w:t>k</w:t>
      </w:r>
      <w:r>
        <w:rPr>
          <w:position w:val="-6"/>
          <w:sz w:val="24"/>
          <w:vertAlign w:val="subscript"/>
        </w:rPr>
        <w:t>s</w:t>
      </w:r>
      <w:r>
        <w:rPr>
          <w:i/>
          <w:sz w:val="24"/>
          <w:lang w:val="pl-PL"/>
        </w:rPr>
        <w:t>υ</w:t>
      </w:r>
      <w:r>
        <w:rPr>
          <w:position w:val="-6"/>
          <w:sz w:val="24"/>
        </w:rPr>
        <w:t>＋</w:t>
      </w:r>
      <w:r>
        <w:rPr>
          <w:i/>
          <w:position w:val="-6"/>
          <w:sz w:val="24"/>
        </w:rPr>
        <w:t>P</w:t>
      </w:r>
      <w:r>
        <w:rPr>
          <w:position w:val="-6"/>
          <w:sz w:val="24"/>
          <w:vertAlign w:val="subscript"/>
        </w:rPr>
        <w:t xml:space="preserve">s0                              </w:t>
      </w:r>
      <w:r>
        <w:rPr>
          <w:position w:val="-6"/>
          <w:sz w:val="24"/>
        </w:rPr>
        <w:t>（5.5.2-1）</w:t>
      </w:r>
    </w:p>
    <w:p>
      <w:pPr>
        <w:spacing w:line="360" w:lineRule="auto"/>
        <w:ind w:firstLine="480" w:firstLineChars="200"/>
        <w:rPr>
          <w:bCs/>
          <w:iCs/>
          <w:sz w:val="24"/>
        </w:rPr>
      </w:pPr>
      <w:r>
        <w:rPr>
          <w:bCs/>
          <w:iCs/>
          <w:sz w:val="24"/>
        </w:rPr>
        <w:t>2  挡土构件嵌固段上的基坑内侧分布土反力应符合下列条件：</w:t>
      </w:r>
    </w:p>
    <w:p>
      <w:pPr>
        <w:spacing w:line="360" w:lineRule="auto"/>
        <w:jc w:val="right"/>
        <w:rPr>
          <w:sz w:val="24"/>
        </w:rPr>
      </w:pPr>
      <w:r>
        <w:rPr>
          <w:position w:val="-6"/>
          <w:sz w:val="24"/>
        </w:rPr>
        <w:t xml:space="preserve">              </w:t>
      </w:r>
      <w:r>
        <w:rPr>
          <w:i/>
          <w:position w:val="-6"/>
          <w:sz w:val="24"/>
        </w:rPr>
        <w:t>P</w:t>
      </w:r>
      <w:r>
        <w:rPr>
          <w:position w:val="-6"/>
          <w:sz w:val="24"/>
          <w:vertAlign w:val="subscript"/>
        </w:rPr>
        <w:t>s</w:t>
      </w:r>
      <w:r>
        <w:rPr>
          <w:rFonts w:hint="eastAsia"/>
          <w:position w:val="-6"/>
          <w:sz w:val="24"/>
          <w:vertAlign w:val="subscript"/>
        </w:rPr>
        <w:t>k</w:t>
      </w:r>
      <w:r>
        <w:rPr>
          <w:rFonts w:hint="eastAsia"/>
          <w:position w:val="-6"/>
          <w:sz w:val="24"/>
        </w:rPr>
        <w:t>≤</w:t>
      </w:r>
      <w:r>
        <w:rPr>
          <w:i/>
          <w:position w:val="-6"/>
          <w:sz w:val="24"/>
        </w:rPr>
        <w:t>E</w:t>
      </w:r>
      <w:r>
        <w:rPr>
          <w:rFonts w:hint="eastAsia"/>
          <w:position w:val="-6"/>
          <w:sz w:val="24"/>
          <w:vertAlign w:val="subscript"/>
        </w:rPr>
        <w:t>pk</w:t>
      </w:r>
      <w:r>
        <w:rPr>
          <w:position w:val="-6"/>
          <w:sz w:val="24"/>
        </w:rPr>
        <w:t xml:space="preserve">                        </w:t>
      </w:r>
      <w:r>
        <w:rPr>
          <w:sz w:val="24"/>
        </w:rPr>
        <w:t>（5.5.2-2）</w:t>
      </w:r>
    </w:p>
    <w:p>
      <w:pPr>
        <w:spacing w:line="360" w:lineRule="auto"/>
        <w:ind w:firstLine="480" w:firstLineChars="200"/>
        <w:jc w:val="left"/>
        <w:rPr>
          <w:sz w:val="24"/>
        </w:rPr>
      </w:pPr>
      <w:r>
        <w:rPr>
          <w:sz w:val="24"/>
        </w:rPr>
        <w:t>当不符合式5.5.2-2的计算条件时，应增加挡土构件的嵌固长度或取</w:t>
      </w:r>
      <w:r>
        <w:rPr>
          <w:i/>
          <w:sz w:val="24"/>
        </w:rPr>
        <w:t>P</w:t>
      </w:r>
      <w:r>
        <w:rPr>
          <w:sz w:val="24"/>
          <w:vertAlign w:val="subscript"/>
        </w:rPr>
        <w:t>s</w:t>
      </w:r>
      <w:r>
        <w:rPr>
          <w:rFonts w:hint="eastAsia"/>
          <w:sz w:val="24"/>
          <w:vertAlign w:val="subscript"/>
        </w:rPr>
        <w:t>k</w:t>
      </w:r>
      <w:r>
        <w:rPr>
          <w:sz w:val="24"/>
        </w:rPr>
        <w:t>＝</w:t>
      </w:r>
      <w:r>
        <w:rPr>
          <w:i/>
          <w:sz w:val="24"/>
        </w:rPr>
        <w:t>E</w:t>
      </w:r>
      <w:r>
        <w:rPr>
          <w:sz w:val="24"/>
          <w:vertAlign w:val="subscript"/>
        </w:rPr>
        <w:t>P</w:t>
      </w:r>
      <w:r>
        <w:rPr>
          <w:rFonts w:hint="eastAsia"/>
          <w:sz w:val="24"/>
          <w:vertAlign w:val="subscript"/>
        </w:rPr>
        <w:t>k</w:t>
      </w:r>
      <w:r>
        <w:rPr>
          <w:sz w:val="24"/>
        </w:rPr>
        <w:t>时的分布土反力。</w:t>
      </w:r>
    </w:p>
    <w:p>
      <w:pPr>
        <w:spacing w:line="360" w:lineRule="auto"/>
        <w:rPr>
          <w:sz w:val="24"/>
        </w:rPr>
      </w:pPr>
      <w:r>
        <w:rPr>
          <w:sz w:val="24"/>
        </w:rPr>
        <w:t>式中：</w:t>
      </w:r>
      <w:r>
        <w:rPr>
          <w:i/>
          <w:sz w:val="24"/>
        </w:rPr>
        <w:t>P</w:t>
      </w:r>
      <w:r>
        <w:rPr>
          <w:sz w:val="24"/>
          <w:vertAlign w:val="subscript"/>
        </w:rPr>
        <w:t>s</w:t>
      </w:r>
      <w:r>
        <w:rPr>
          <w:sz w:val="24"/>
        </w:rPr>
        <w:t>—分布土反力</w:t>
      </w:r>
      <w:r>
        <w:rPr>
          <w:rFonts w:hint="eastAsia"/>
          <w:sz w:val="24"/>
        </w:rPr>
        <w:t>(kPa)</w:t>
      </w:r>
      <w:r>
        <w:rPr>
          <w:sz w:val="24"/>
        </w:rPr>
        <w:t>；</w:t>
      </w:r>
    </w:p>
    <w:p>
      <w:pPr>
        <w:spacing w:line="360" w:lineRule="auto"/>
        <w:ind w:firstLine="720" w:firstLineChars="300"/>
        <w:jc w:val="left"/>
        <w:rPr>
          <w:sz w:val="24"/>
        </w:rPr>
      </w:pPr>
      <w:r>
        <w:rPr>
          <w:i/>
          <w:sz w:val="24"/>
        </w:rPr>
        <w:t>k</w:t>
      </w:r>
      <w:r>
        <w:rPr>
          <w:sz w:val="24"/>
          <w:vertAlign w:val="subscript"/>
        </w:rPr>
        <w:t>s</w:t>
      </w:r>
      <w:r>
        <w:rPr>
          <w:sz w:val="24"/>
        </w:rPr>
        <w:t>—土的水平反力系数</w:t>
      </w:r>
      <w:r>
        <w:rPr>
          <w:rFonts w:hint="eastAsia"/>
          <w:sz w:val="24"/>
        </w:rPr>
        <w:t>(kN/m</w:t>
      </w:r>
      <w:r>
        <w:rPr>
          <w:rFonts w:hint="eastAsia"/>
          <w:sz w:val="24"/>
          <w:vertAlign w:val="superscript"/>
        </w:rPr>
        <w:t>3</w:t>
      </w:r>
      <w:r>
        <w:rPr>
          <w:rFonts w:hint="eastAsia"/>
          <w:sz w:val="24"/>
        </w:rPr>
        <w:t>)</w:t>
      </w:r>
      <w:r>
        <w:rPr>
          <w:sz w:val="24"/>
        </w:rPr>
        <w:t>，</w:t>
      </w:r>
      <w:r>
        <w:rPr>
          <w:rFonts w:hint="eastAsia"/>
          <w:sz w:val="24"/>
        </w:rPr>
        <w:t>按本条第3款确定</w:t>
      </w:r>
      <w:r>
        <w:rPr>
          <w:sz w:val="24"/>
        </w:rPr>
        <w:t>；</w:t>
      </w:r>
    </w:p>
    <w:p>
      <w:pPr>
        <w:spacing w:line="360" w:lineRule="auto"/>
        <w:ind w:firstLine="720" w:firstLineChars="300"/>
        <w:jc w:val="left"/>
        <w:rPr>
          <w:sz w:val="24"/>
        </w:rPr>
      </w:pPr>
      <w:r>
        <w:rPr>
          <w:i/>
          <w:sz w:val="24"/>
          <w:lang w:val="pl-PL"/>
        </w:rPr>
        <w:t>υ</w:t>
      </w:r>
      <w:r>
        <w:rPr>
          <w:sz w:val="24"/>
        </w:rPr>
        <w:t>—</w:t>
      </w:r>
      <w:r>
        <w:rPr>
          <w:rFonts w:hint="eastAsia"/>
          <w:sz w:val="24"/>
        </w:rPr>
        <w:t>挡土构件在</w:t>
      </w:r>
      <w:r>
        <w:rPr>
          <w:sz w:val="24"/>
        </w:rPr>
        <w:t>分布土反力计算点</w:t>
      </w:r>
      <w:r>
        <w:rPr>
          <w:rFonts w:hint="eastAsia"/>
          <w:sz w:val="24"/>
        </w:rPr>
        <w:t>使土体压缩的水平位</w:t>
      </w:r>
      <w:r>
        <w:rPr>
          <w:sz w:val="24"/>
        </w:rPr>
        <w:t>移值</w:t>
      </w:r>
      <w:r>
        <w:rPr>
          <w:rFonts w:hint="eastAsia"/>
          <w:sz w:val="24"/>
        </w:rPr>
        <w:t>（m）</w:t>
      </w:r>
      <w:r>
        <w:rPr>
          <w:sz w:val="24"/>
        </w:rPr>
        <w:t>；</w:t>
      </w:r>
    </w:p>
    <w:p>
      <w:pPr>
        <w:spacing w:line="360" w:lineRule="auto"/>
        <w:ind w:firstLine="720" w:firstLineChars="300"/>
        <w:jc w:val="left"/>
        <w:rPr>
          <w:sz w:val="24"/>
        </w:rPr>
      </w:pPr>
      <w:r>
        <w:rPr>
          <w:i/>
          <w:sz w:val="24"/>
        </w:rPr>
        <w:t>P</w:t>
      </w:r>
      <w:r>
        <w:rPr>
          <w:sz w:val="24"/>
          <w:vertAlign w:val="subscript"/>
        </w:rPr>
        <w:t>s0</w:t>
      </w:r>
      <w:r>
        <w:rPr>
          <w:sz w:val="24"/>
        </w:rPr>
        <w:t>—初始</w:t>
      </w:r>
      <w:r>
        <w:rPr>
          <w:rFonts w:hint="eastAsia"/>
          <w:sz w:val="24"/>
        </w:rPr>
        <w:t>分布</w:t>
      </w:r>
      <w:r>
        <w:rPr>
          <w:sz w:val="24"/>
        </w:rPr>
        <w:t>土</w:t>
      </w:r>
      <w:r>
        <w:rPr>
          <w:rFonts w:hint="eastAsia"/>
          <w:sz w:val="24"/>
        </w:rPr>
        <w:t>反</w:t>
      </w:r>
      <w:r>
        <w:rPr>
          <w:sz w:val="24"/>
        </w:rPr>
        <w:t>力</w:t>
      </w:r>
      <w:r>
        <w:rPr>
          <w:rFonts w:hint="eastAsia"/>
          <w:sz w:val="24"/>
        </w:rPr>
        <w:t>(kPa)，按本规程公式(5.3.3-1)或公式(5.3.3-5)计算</w:t>
      </w:r>
      <w:r>
        <w:rPr>
          <w:sz w:val="24"/>
        </w:rPr>
        <w:t>；</w:t>
      </w:r>
    </w:p>
    <w:p>
      <w:pPr>
        <w:spacing w:line="360" w:lineRule="auto"/>
        <w:ind w:firstLine="720" w:firstLineChars="300"/>
        <w:jc w:val="left"/>
        <w:rPr>
          <w:sz w:val="24"/>
        </w:rPr>
      </w:pPr>
      <w:r>
        <w:rPr>
          <w:i/>
          <w:sz w:val="24"/>
        </w:rPr>
        <w:t>P</w:t>
      </w:r>
      <w:r>
        <w:rPr>
          <w:sz w:val="24"/>
          <w:vertAlign w:val="subscript"/>
        </w:rPr>
        <w:t>s</w:t>
      </w:r>
      <w:r>
        <w:rPr>
          <w:rFonts w:hint="eastAsia"/>
          <w:sz w:val="24"/>
          <w:vertAlign w:val="subscript"/>
        </w:rPr>
        <w:t>k</w:t>
      </w:r>
      <w:r>
        <w:rPr>
          <w:sz w:val="24"/>
        </w:rPr>
        <w:t>—</w:t>
      </w:r>
      <w:r>
        <w:rPr>
          <w:rFonts w:hint="eastAsia"/>
          <w:sz w:val="24"/>
        </w:rPr>
        <w:t>挡土构件嵌固段上的基坑内侧土反力标准值(kN)，按本规程公式(5.5.2-1)计算分布土反力</w:t>
      </w:r>
      <w:r>
        <w:rPr>
          <w:sz w:val="24"/>
        </w:rPr>
        <w:t>；</w:t>
      </w:r>
    </w:p>
    <w:p>
      <w:pPr>
        <w:spacing w:line="360" w:lineRule="auto"/>
        <w:ind w:firstLine="720" w:firstLineChars="300"/>
        <w:rPr>
          <w:sz w:val="24"/>
        </w:rPr>
      </w:pPr>
      <w:r>
        <w:rPr>
          <w:rFonts w:hint="eastAsia"/>
          <w:i/>
          <w:sz w:val="24"/>
        </w:rPr>
        <w:t>E</w:t>
      </w:r>
      <w:r>
        <w:rPr>
          <w:rFonts w:hint="eastAsia"/>
          <w:sz w:val="24"/>
          <w:vertAlign w:val="subscript"/>
        </w:rPr>
        <w:t>pk</w:t>
      </w:r>
      <w:r>
        <w:rPr>
          <w:sz w:val="24"/>
        </w:rPr>
        <w:t>—挡土构件嵌固段上的</w:t>
      </w:r>
      <w:r>
        <w:rPr>
          <w:rFonts w:hint="eastAsia"/>
          <w:sz w:val="24"/>
        </w:rPr>
        <w:t>被动土压力标准值</w:t>
      </w:r>
      <w:r>
        <w:rPr>
          <w:sz w:val="24"/>
        </w:rPr>
        <w:t>(kN)，</w:t>
      </w:r>
      <w:r>
        <w:rPr>
          <w:rFonts w:hint="eastAsia"/>
          <w:sz w:val="24"/>
        </w:rPr>
        <w:t>按本规程公式(5.3.3-2) 或公式(5.3.3-6)计算被动土压力强度标准值</w:t>
      </w:r>
      <w:r>
        <w:rPr>
          <w:sz w:val="24"/>
        </w:rPr>
        <w:t>。</w:t>
      </w:r>
    </w:p>
    <w:p>
      <w:pPr>
        <w:spacing w:line="360" w:lineRule="auto"/>
        <w:ind w:firstLine="480" w:firstLineChars="200"/>
        <w:jc w:val="left"/>
        <w:rPr>
          <w:sz w:val="24"/>
        </w:rPr>
      </w:pPr>
      <w:r>
        <w:rPr>
          <w:sz w:val="24"/>
        </w:rPr>
        <w:t>3  土的水平反力系数可按下式计算：</w:t>
      </w:r>
    </w:p>
    <w:p>
      <w:pPr>
        <w:spacing w:line="360" w:lineRule="auto"/>
        <w:jc w:val="right"/>
        <w:rPr>
          <w:sz w:val="24"/>
        </w:rPr>
      </w:pPr>
      <w:r>
        <w:rPr>
          <w:i/>
          <w:position w:val="-10"/>
          <w:sz w:val="24"/>
        </w:rPr>
        <w:t>k</w:t>
      </w:r>
      <w:r>
        <w:rPr>
          <w:position w:val="-10"/>
          <w:sz w:val="24"/>
          <w:vertAlign w:val="subscript"/>
        </w:rPr>
        <w:t>s</w:t>
      </w:r>
      <w:r>
        <w:rPr>
          <w:position w:val="-10"/>
          <w:sz w:val="24"/>
        </w:rPr>
        <w:t>＝</w:t>
      </w:r>
      <w:r>
        <w:rPr>
          <w:i/>
          <w:position w:val="-10"/>
          <w:sz w:val="24"/>
        </w:rPr>
        <w:t>m</w:t>
      </w:r>
      <w:r>
        <w:rPr>
          <w:rFonts w:hint="eastAsia"/>
          <w:position w:val="-10"/>
          <w:sz w:val="24"/>
        </w:rPr>
        <w:t>(</w:t>
      </w:r>
      <w:r>
        <w:rPr>
          <w:rFonts w:hint="eastAsia"/>
          <w:i/>
          <w:position w:val="-10"/>
          <w:sz w:val="24"/>
        </w:rPr>
        <w:t>z</w:t>
      </w:r>
      <w:r>
        <w:rPr>
          <w:position w:val="-10"/>
          <w:sz w:val="24"/>
        </w:rPr>
        <w:t>－</w:t>
      </w:r>
      <w:r>
        <w:rPr>
          <w:i/>
          <w:position w:val="-10"/>
          <w:sz w:val="24"/>
        </w:rPr>
        <w:t>h</w:t>
      </w:r>
      <w:r>
        <w:rPr>
          <w:rFonts w:hint="eastAsia"/>
          <w:position w:val="-10"/>
          <w:sz w:val="24"/>
        </w:rPr>
        <w:t>)</w:t>
      </w:r>
      <w:r>
        <w:rPr>
          <w:position w:val="-10"/>
          <w:sz w:val="24"/>
        </w:rPr>
        <w:t xml:space="preserve">                   （5.5.2-3）</w:t>
      </w:r>
    </w:p>
    <w:p>
      <w:pPr>
        <w:spacing w:line="360" w:lineRule="auto"/>
        <w:jc w:val="left"/>
        <w:rPr>
          <w:sz w:val="24"/>
        </w:rPr>
      </w:pPr>
      <w:r>
        <w:rPr>
          <w:sz w:val="24"/>
        </w:rPr>
        <w:t>式中：</w:t>
      </w:r>
      <w:r>
        <w:rPr>
          <w:i/>
          <w:sz w:val="24"/>
        </w:rPr>
        <w:t>m</w:t>
      </w:r>
      <w:r>
        <w:rPr>
          <w:sz w:val="24"/>
        </w:rPr>
        <w:t>—土的水平反力系数的比例系数</w:t>
      </w:r>
      <w:r>
        <w:rPr>
          <w:rFonts w:hint="eastAsia"/>
          <w:sz w:val="24"/>
        </w:rPr>
        <w:t>(kN/m</w:t>
      </w:r>
      <w:r>
        <w:rPr>
          <w:rFonts w:hint="eastAsia"/>
          <w:sz w:val="24"/>
          <w:vertAlign w:val="superscript"/>
        </w:rPr>
        <w:t>4</w:t>
      </w:r>
      <w:r>
        <w:rPr>
          <w:rFonts w:hint="eastAsia"/>
          <w:sz w:val="24"/>
        </w:rPr>
        <w:t>)</w:t>
      </w:r>
      <w:r>
        <w:rPr>
          <w:sz w:val="24"/>
        </w:rPr>
        <w:t>，</w:t>
      </w:r>
      <w:r>
        <w:rPr>
          <w:rFonts w:hint="eastAsia"/>
          <w:sz w:val="24"/>
        </w:rPr>
        <w:t>本条第4款确定</w:t>
      </w:r>
      <w:r>
        <w:rPr>
          <w:sz w:val="24"/>
        </w:rPr>
        <w:t>；</w:t>
      </w:r>
    </w:p>
    <w:p>
      <w:pPr>
        <w:spacing w:line="360" w:lineRule="auto"/>
        <w:ind w:firstLine="720" w:firstLineChars="300"/>
        <w:jc w:val="left"/>
        <w:rPr>
          <w:sz w:val="24"/>
        </w:rPr>
      </w:pPr>
      <w:r>
        <w:rPr>
          <w:rFonts w:hint="eastAsia"/>
          <w:i/>
          <w:sz w:val="24"/>
        </w:rPr>
        <w:t>z</w:t>
      </w:r>
      <w:r>
        <w:rPr>
          <w:sz w:val="24"/>
        </w:rPr>
        <w:t>—计算点距地面的深度(m)；</w:t>
      </w:r>
    </w:p>
    <w:p>
      <w:pPr>
        <w:spacing w:line="360" w:lineRule="auto"/>
        <w:ind w:firstLine="720" w:firstLineChars="300"/>
        <w:jc w:val="left"/>
        <w:rPr>
          <w:sz w:val="24"/>
        </w:rPr>
      </w:pPr>
      <w:r>
        <w:rPr>
          <w:i/>
          <w:sz w:val="24"/>
        </w:rPr>
        <w:t>h</w:t>
      </w:r>
      <w:r>
        <w:rPr>
          <w:sz w:val="24"/>
          <w:vertAlign w:val="subscript"/>
        </w:rPr>
        <w:t>0</w:t>
      </w:r>
      <w:r>
        <w:rPr>
          <w:sz w:val="24"/>
        </w:rPr>
        <w:t>—计算工况的基坑开挖深度(m)。</w:t>
      </w:r>
    </w:p>
    <w:p>
      <w:pPr>
        <w:spacing w:line="360" w:lineRule="auto"/>
        <w:ind w:firstLine="480" w:firstLineChars="200"/>
        <w:jc w:val="left"/>
        <w:rPr>
          <w:sz w:val="24"/>
        </w:rPr>
      </w:pPr>
      <w:r>
        <w:rPr>
          <w:rFonts w:hint="eastAsia"/>
          <w:sz w:val="24"/>
        </w:rPr>
        <w:t>4  土的水平反力系数的比例系数宜按桩的水平荷载试验及地区经验取值，缺少试验和经验时，可按下列经验公式计算：</w:t>
      </w:r>
    </w:p>
    <w:p>
      <w:pPr>
        <w:tabs>
          <w:tab w:val="left" w:pos="658"/>
          <w:tab w:val="left" w:pos="1036"/>
          <w:tab w:val="left" w:pos="1620"/>
          <w:tab w:val="left" w:pos="2160"/>
          <w:tab w:val="left" w:pos="7020"/>
        </w:tabs>
        <w:ind w:firstLine="480"/>
        <w:jc w:val="right"/>
      </w:pPr>
      <w:r>
        <w:rPr>
          <w:rFonts w:hint="eastAsia"/>
        </w:rPr>
        <w:t xml:space="preserve">                 </w:t>
      </w:r>
      <w:r>
        <w:rPr>
          <w:position w:val="-30"/>
        </w:rPr>
        <w:object>
          <v:shape id="_x0000_i1078" o:spt="75" type="#_x0000_t75" style="height:37.55pt;width:87.3pt;" o:ole="t" fillcolor="#6D6D6D" filled="t" coordsize="21600,21600">
            <v:path/>
            <v:fill on="t" focussize="0,0"/>
            <v:stroke/>
            <v:imagedata r:id="rId137" o:title=""/>
            <o:lock v:ext="edit" aspectratio="t"/>
            <w10:wrap type="none"/>
            <w10:anchorlock/>
          </v:shape>
          <o:OLEObject Type="Embed" ProgID="Equation.DSMT4" ShapeID="_x0000_i1078" DrawAspect="Content" ObjectID="_1468075778" r:id="rId136">
            <o:LockedField>false</o:LockedField>
          </o:OLEObject>
        </w:object>
      </w:r>
      <w:r>
        <w:rPr>
          <w:rFonts w:hint="eastAsia"/>
        </w:rPr>
        <w:t xml:space="preserve">                       </w:t>
      </w:r>
      <w:r>
        <w:rPr>
          <w:sz w:val="24"/>
        </w:rPr>
        <w:t>（5.5.2-4）</w:t>
      </w:r>
    </w:p>
    <w:p>
      <w:pPr>
        <w:pStyle w:val="82"/>
        <w:spacing w:line="360" w:lineRule="auto"/>
        <w:ind w:left="360" w:hanging="360" w:hangingChars="150"/>
      </w:pPr>
      <w:r>
        <w:rPr>
          <w:rFonts w:hint="eastAsia"/>
        </w:rPr>
        <w:t>式中：</w:t>
      </w:r>
      <w:r>
        <w:rPr>
          <w:rFonts w:hint="eastAsia"/>
          <w:i/>
        </w:rPr>
        <w:t>m</w:t>
      </w:r>
      <w:r>
        <w:t>—</w:t>
      </w:r>
      <w:r>
        <w:rPr>
          <w:rFonts w:hint="eastAsia"/>
          <w:lang w:val="en-US" w:eastAsia="zh-CN"/>
        </w:rPr>
        <w:t>土的水平反力系数的比例系数(MN/m</w:t>
      </w:r>
      <w:r>
        <w:rPr>
          <w:rFonts w:hint="eastAsia"/>
          <w:vertAlign w:val="superscript"/>
          <w:lang w:val="en-US" w:eastAsia="zh-CN"/>
        </w:rPr>
        <w:t>4</w:t>
      </w:r>
      <w:r>
        <w:rPr>
          <w:rFonts w:hint="eastAsia"/>
          <w:lang w:val="en-US" w:eastAsia="zh-CN"/>
        </w:rPr>
        <w:t>)</w:t>
      </w:r>
      <w:r>
        <w:rPr>
          <w:rFonts w:hint="eastAsia"/>
        </w:rPr>
        <w:t>；</w:t>
      </w:r>
    </w:p>
    <w:p>
      <w:pPr>
        <w:pStyle w:val="82"/>
        <w:spacing w:line="360" w:lineRule="auto"/>
        <w:ind w:left="1155" w:leftChars="150" w:hanging="840" w:hangingChars="350"/>
        <w:rPr>
          <w:rFonts w:ascii="宋体" w:hAnsi="宋体"/>
        </w:rPr>
      </w:pPr>
      <w:r>
        <w:rPr>
          <w:rFonts w:hint="eastAsia"/>
          <w:i/>
        </w:rPr>
        <w:t>c、</w:t>
      </w:r>
      <w:r>
        <w:rPr>
          <w:position w:val="-10"/>
        </w:rPr>
        <w:object>
          <v:shape id="_x0000_i1079" o:spt="75" type="#_x0000_t75" style="height:12.25pt;width:12.25pt;" o:ole="t" filled="f" coordsize="21600,21600">
            <v:path/>
            <v:fill on="f" focussize="0,0"/>
            <v:stroke/>
            <v:imagedata r:id="rId139" o:title=""/>
            <o:lock v:ext="edit" aspectratio="t"/>
            <w10:wrap type="none"/>
            <w10:anchorlock/>
          </v:shape>
          <o:OLEObject Type="Embed" ProgID="Equation.DSMT4" ShapeID="_x0000_i1079" DrawAspect="Content" ObjectID="_1468075779" r:id="rId138">
            <o:LockedField>false</o:LockedField>
          </o:OLEObject>
        </w:object>
      </w:r>
      <w:r>
        <w:t>—</w:t>
      </w:r>
      <w:r>
        <w:rPr>
          <w:rFonts w:hint="eastAsia"/>
          <w:lang w:val="en-US" w:eastAsia="zh-CN"/>
        </w:rPr>
        <w:t>分别为土的粘聚力(kPa)、内摩擦角(°)，对于多层土，按不同土层分别取值；</w:t>
      </w:r>
    </w:p>
    <w:p>
      <w:pPr>
        <w:spacing w:line="360" w:lineRule="auto"/>
        <w:ind w:left="1110" w:leftChars="300" w:hanging="480" w:hangingChars="200"/>
      </w:pPr>
      <w:r>
        <w:rPr>
          <w:i/>
          <w:sz w:val="24"/>
          <w:lang w:val="pl-PL"/>
        </w:rPr>
        <w:t>υ</w:t>
      </w:r>
      <w:r>
        <w:rPr>
          <w:rFonts w:hint="eastAsia"/>
          <w:i/>
          <w:sz w:val="24"/>
          <w:vertAlign w:val="subscript"/>
          <w:lang w:val="pl-PL"/>
        </w:rPr>
        <w:t>b</w:t>
      </w:r>
      <w:r>
        <w:rPr>
          <w:sz w:val="24"/>
        </w:rPr>
        <w:t>—</w:t>
      </w:r>
      <w:r>
        <w:rPr>
          <w:rFonts w:hint="eastAsia"/>
          <w:sz w:val="24"/>
        </w:rPr>
        <w:t>挡土结构在坑底处的水平位移量（mm），当此处的水平位移不大于10mm时，取10mm。</w:t>
      </w:r>
    </w:p>
    <w:p>
      <w:pPr>
        <w:spacing w:line="360" w:lineRule="auto"/>
        <w:ind w:firstLine="480" w:firstLineChars="200"/>
        <w:jc w:val="left"/>
        <w:rPr>
          <w:sz w:val="24"/>
        </w:rPr>
      </w:pPr>
      <w:r>
        <w:rPr>
          <w:rFonts w:hint="eastAsia"/>
          <w:bCs/>
          <w:iCs/>
          <w:sz w:val="24"/>
        </w:rPr>
        <w:t>5</w:t>
      </w:r>
      <w:r>
        <w:rPr>
          <w:bCs/>
          <w:iCs/>
          <w:sz w:val="24"/>
        </w:rPr>
        <w:t xml:space="preserve">  </w:t>
      </w:r>
      <w:r>
        <w:rPr>
          <w:sz w:val="24"/>
        </w:rPr>
        <w:t>排桩的单桩土反力计算宽度应按下列规定计算</w:t>
      </w:r>
      <w:r>
        <w:rPr>
          <w:rFonts w:hint="eastAsia"/>
          <w:sz w:val="24"/>
        </w:rPr>
        <w:t>：</w:t>
      </w:r>
      <w:r>
        <w:rPr>
          <w:sz w:val="24"/>
        </w:rPr>
        <w:t xml:space="preserve"> </w:t>
      </w:r>
    </w:p>
    <w:p>
      <w:pPr>
        <w:spacing w:line="360" w:lineRule="auto"/>
        <w:ind w:firstLine="480" w:firstLineChars="200"/>
        <w:jc w:val="left"/>
        <w:rPr>
          <w:sz w:val="24"/>
        </w:rPr>
      </w:pPr>
      <w:r>
        <w:rPr>
          <w:sz w:val="24"/>
        </w:rPr>
        <w:t>圆形柱</w:t>
      </w:r>
    </w:p>
    <w:p>
      <w:pPr>
        <w:spacing w:line="360" w:lineRule="auto"/>
        <w:ind w:firstLine="360"/>
        <w:jc w:val="right"/>
        <w:rPr>
          <w:sz w:val="24"/>
        </w:rPr>
      </w:pPr>
      <w:bookmarkStart w:id="48" w:name="OLE_LINK5"/>
      <w:r>
        <w:rPr>
          <w:sz w:val="24"/>
        </w:rPr>
        <w:t xml:space="preserve">         </w:t>
      </w:r>
      <w:r>
        <w:rPr>
          <w:i/>
          <w:sz w:val="24"/>
        </w:rPr>
        <w:t>b</w:t>
      </w:r>
      <w:r>
        <w:rPr>
          <w:sz w:val="24"/>
          <w:vertAlign w:val="subscript"/>
        </w:rPr>
        <w:t>0</w:t>
      </w:r>
      <w:r>
        <w:rPr>
          <w:sz w:val="24"/>
        </w:rPr>
        <w:t>＝0.9（1.5</w:t>
      </w:r>
      <w:r>
        <w:rPr>
          <w:i/>
          <w:sz w:val="24"/>
        </w:rPr>
        <w:t>d</w:t>
      </w:r>
      <w:r>
        <w:rPr>
          <w:sz w:val="24"/>
        </w:rPr>
        <w:t>＋0.5）   （</w:t>
      </w:r>
      <w:r>
        <w:rPr>
          <w:i/>
          <w:sz w:val="24"/>
        </w:rPr>
        <w:t>d</w:t>
      </w:r>
      <w:r>
        <w:rPr>
          <w:rFonts w:hint="eastAsia"/>
          <w:sz w:val="24"/>
        </w:rPr>
        <w:t>≤</w:t>
      </w:r>
      <w:r>
        <w:rPr>
          <w:sz w:val="24"/>
        </w:rPr>
        <w:t>1m）          （5.5.2-</w:t>
      </w:r>
      <w:r>
        <w:rPr>
          <w:rFonts w:hint="eastAsia"/>
          <w:sz w:val="24"/>
        </w:rPr>
        <w:t>5</w:t>
      </w:r>
      <w:r>
        <w:rPr>
          <w:sz w:val="24"/>
        </w:rPr>
        <w:t>）</w:t>
      </w:r>
      <w:bookmarkEnd w:id="48"/>
    </w:p>
    <w:p>
      <w:pPr>
        <w:spacing w:line="360" w:lineRule="auto"/>
        <w:ind w:firstLine="360"/>
        <w:jc w:val="right"/>
        <w:rPr>
          <w:sz w:val="24"/>
        </w:rPr>
      </w:pPr>
      <w:r>
        <w:rPr>
          <w:sz w:val="24"/>
        </w:rPr>
        <w:t xml:space="preserve"> </w:t>
      </w:r>
      <w:r>
        <w:rPr>
          <w:i/>
          <w:sz w:val="24"/>
        </w:rPr>
        <w:t>b</w:t>
      </w:r>
      <w:r>
        <w:rPr>
          <w:sz w:val="24"/>
          <w:vertAlign w:val="subscript"/>
        </w:rPr>
        <w:t>0</w:t>
      </w:r>
      <w:r>
        <w:rPr>
          <w:sz w:val="24"/>
        </w:rPr>
        <w:t>＝0.9（</w:t>
      </w:r>
      <w:r>
        <w:rPr>
          <w:i/>
          <w:sz w:val="24"/>
        </w:rPr>
        <w:t>d</w:t>
      </w:r>
      <w:r>
        <w:rPr>
          <w:sz w:val="24"/>
        </w:rPr>
        <w:t>＋1）     （</w:t>
      </w:r>
      <w:r>
        <w:rPr>
          <w:i/>
          <w:sz w:val="24"/>
        </w:rPr>
        <w:t>d</w:t>
      </w:r>
      <w:r>
        <w:rPr>
          <w:rFonts w:hint="eastAsia"/>
          <w:sz w:val="24"/>
        </w:rPr>
        <w:t>＞</w:t>
      </w:r>
      <w:r>
        <w:rPr>
          <w:sz w:val="24"/>
        </w:rPr>
        <w:t>1m）          （5.5.2-</w:t>
      </w:r>
      <w:r>
        <w:rPr>
          <w:rFonts w:hint="eastAsia"/>
          <w:sz w:val="24"/>
        </w:rPr>
        <w:t>6</w:t>
      </w:r>
      <w:r>
        <w:rPr>
          <w:sz w:val="24"/>
        </w:rPr>
        <w:t>）</w:t>
      </w:r>
    </w:p>
    <w:p>
      <w:pPr>
        <w:spacing w:line="360" w:lineRule="auto"/>
        <w:ind w:firstLine="480" w:firstLineChars="200"/>
        <w:jc w:val="left"/>
        <w:rPr>
          <w:sz w:val="24"/>
        </w:rPr>
      </w:pPr>
      <w:r>
        <w:rPr>
          <w:sz w:val="24"/>
        </w:rPr>
        <w:t>矩形桩</w:t>
      </w:r>
      <w:r>
        <w:rPr>
          <w:rFonts w:hint="eastAsia"/>
          <w:sz w:val="24"/>
        </w:rPr>
        <w:t>或工字形桩</w:t>
      </w:r>
    </w:p>
    <w:p>
      <w:pPr>
        <w:spacing w:line="360" w:lineRule="auto"/>
        <w:jc w:val="right"/>
        <w:rPr>
          <w:sz w:val="24"/>
        </w:rPr>
      </w:pPr>
      <w:r>
        <w:rPr>
          <w:sz w:val="24"/>
        </w:rPr>
        <w:t xml:space="preserve">    </w:t>
      </w:r>
      <w:r>
        <w:rPr>
          <w:i/>
          <w:sz w:val="24"/>
        </w:rPr>
        <w:t>b</w:t>
      </w:r>
      <w:r>
        <w:rPr>
          <w:sz w:val="24"/>
          <w:vertAlign w:val="subscript"/>
        </w:rPr>
        <w:t>0</w:t>
      </w:r>
      <w:r>
        <w:rPr>
          <w:sz w:val="24"/>
        </w:rPr>
        <w:t>＝1.5</w:t>
      </w:r>
      <w:r>
        <w:rPr>
          <w:i/>
          <w:sz w:val="24"/>
        </w:rPr>
        <w:t>b</w:t>
      </w:r>
      <w:r>
        <w:rPr>
          <w:sz w:val="24"/>
        </w:rPr>
        <w:t>＋0.5       （</w:t>
      </w:r>
      <w:r>
        <w:rPr>
          <w:i/>
          <w:sz w:val="24"/>
        </w:rPr>
        <w:t>b</w:t>
      </w:r>
      <w:r>
        <w:rPr>
          <w:rFonts w:hint="eastAsia"/>
          <w:sz w:val="24"/>
        </w:rPr>
        <w:t>≤</w:t>
      </w:r>
      <w:r>
        <w:rPr>
          <w:sz w:val="24"/>
        </w:rPr>
        <w:t>1m）         （5.5.2-</w:t>
      </w:r>
      <w:r>
        <w:rPr>
          <w:rFonts w:hint="eastAsia"/>
          <w:sz w:val="24"/>
        </w:rPr>
        <w:t>7</w:t>
      </w:r>
      <w:r>
        <w:rPr>
          <w:sz w:val="24"/>
        </w:rPr>
        <w:t>）</w:t>
      </w:r>
    </w:p>
    <w:p>
      <w:pPr>
        <w:spacing w:line="360" w:lineRule="auto"/>
        <w:jc w:val="right"/>
        <w:rPr>
          <w:sz w:val="24"/>
        </w:rPr>
      </w:pPr>
      <w:r>
        <w:rPr>
          <w:sz w:val="24"/>
        </w:rPr>
        <w:t xml:space="preserve">      </w:t>
      </w:r>
      <w:r>
        <w:rPr>
          <w:i/>
          <w:sz w:val="24"/>
        </w:rPr>
        <w:t>b</w:t>
      </w:r>
      <w:r>
        <w:rPr>
          <w:sz w:val="24"/>
          <w:vertAlign w:val="subscript"/>
        </w:rPr>
        <w:t>0</w:t>
      </w:r>
      <w:r>
        <w:rPr>
          <w:sz w:val="24"/>
        </w:rPr>
        <w:t>＝</w:t>
      </w:r>
      <w:r>
        <w:rPr>
          <w:i/>
          <w:sz w:val="24"/>
        </w:rPr>
        <w:t>b</w:t>
      </w:r>
      <w:r>
        <w:rPr>
          <w:sz w:val="24"/>
        </w:rPr>
        <w:t>＋1         （</w:t>
      </w:r>
      <w:r>
        <w:rPr>
          <w:i/>
          <w:sz w:val="24"/>
        </w:rPr>
        <w:t>b</w:t>
      </w:r>
      <w:r>
        <w:rPr>
          <w:rFonts w:hint="eastAsia"/>
          <w:sz w:val="24"/>
        </w:rPr>
        <w:t>＞</w:t>
      </w:r>
      <w:r>
        <w:rPr>
          <w:sz w:val="24"/>
        </w:rPr>
        <w:t xml:space="preserve">1m）         </w:t>
      </w:r>
      <w:bookmarkStart w:id="49" w:name="OLE_LINK6"/>
      <w:r>
        <w:rPr>
          <w:sz w:val="24"/>
        </w:rPr>
        <w:t>（5.5.2-</w:t>
      </w:r>
      <w:r>
        <w:rPr>
          <w:rFonts w:hint="eastAsia"/>
          <w:sz w:val="24"/>
        </w:rPr>
        <w:t>8</w:t>
      </w:r>
      <w:r>
        <w:rPr>
          <w:sz w:val="24"/>
        </w:rPr>
        <w:t>）</w:t>
      </w:r>
    </w:p>
    <w:bookmarkEnd w:id="49"/>
    <w:p>
      <w:pPr>
        <w:spacing w:line="360" w:lineRule="auto"/>
        <w:ind w:left="1200" w:hanging="1200" w:hangingChars="500"/>
        <w:jc w:val="left"/>
        <w:rPr>
          <w:sz w:val="24"/>
        </w:rPr>
      </w:pPr>
      <w:r>
        <w:rPr>
          <w:sz w:val="24"/>
        </w:rPr>
        <w:t>式中：</w:t>
      </w:r>
      <w:r>
        <w:rPr>
          <w:i/>
          <w:sz w:val="24"/>
        </w:rPr>
        <w:t>b</w:t>
      </w:r>
      <w:r>
        <w:rPr>
          <w:sz w:val="24"/>
          <w:vertAlign w:val="subscript"/>
        </w:rPr>
        <w:t>0</w:t>
      </w:r>
      <w:r>
        <w:rPr>
          <w:sz w:val="24"/>
        </w:rPr>
        <w:t>—</w:t>
      </w:r>
      <w:r>
        <w:rPr>
          <w:rFonts w:hint="eastAsia"/>
          <w:sz w:val="24"/>
        </w:rPr>
        <w:t>单根支护桩上的土反力计算宽度（m）；当按公式(5.5.2-5)～公式(5.5.2-8)计算的</w:t>
      </w:r>
      <w:r>
        <w:rPr>
          <w:i/>
          <w:sz w:val="24"/>
        </w:rPr>
        <w:t>b</w:t>
      </w:r>
      <w:r>
        <w:rPr>
          <w:sz w:val="24"/>
          <w:vertAlign w:val="subscript"/>
        </w:rPr>
        <w:t>0</w:t>
      </w:r>
      <w:r>
        <w:rPr>
          <w:rFonts w:hint="eastAsia"/>
          <w:sz w:val="24"/>
        </w:rPr>
        <w:t>大于排桩间距时，</w:t>
      </w:r>
      <w:r>
        <w:rPr>
          <w:i/>
          <w:sz w:val="24"/>
        </w:rPr>
        <w:t>b</w:t>
      </w:r>
      <w:r>
        <w:rPr>
          <w:sz w:val="24"/>
          <w:vertAlign w:val="subscript"/>
        </w:rPr>
        <w:t>0</w:t>
      </w:r>
      <w:r>
        <w:rPr>
          <w:rFonts w:hint="eastAsia"/>
          <w:sz w:val="24"/>
        </w:rPr>
        <w:t>取排桩间距</w:t>
      </w:r>
      <w:r>
        <w:rPr>
          <w:sz w:val="24"/>
        </w:rPr>
        <w:t>；</w:t>
      </w:r>
    </w:p>
    <w:p>
      <w:pPr>
        <w:spacing w:line="360" w:lineRule="auto"/>
        <w:ind w:firstLine="840" w:firstLineChars="350"/>
        <w:jc w:val="left"/>
        <w:rPr>
          <w:sz w:val="24"/>
        </w:rPr>
      </w:pPr>
      <w:r>
        <w:rPr>
          <w:i/>
          <w:sz w:val="24"/>
        </w:rPr>
        <w:t>d</w:t>
      </w:r>
      <w:r>
        <w:rPr>
          <w:sz w:val="24"/>
        </w:rPr>
        <w:t>—桩的直径(m)；</w:t>
      </w:r>
    </w:p>
    <w:p>
      <w:pPr>
        <w:spacing w:line="360" w:lineRule="auto"/>
        <w:ind w:firstLine="840" w:firstLineChars="350"/>
        <w:jc w:val="left"/>
        <w:rPr>
          <w:sz w:val="24"/>
        </w:rPr>
      </w:pPr>
      <w:r>
        <w:rPr>
          <w:i/>
          <w:sz w:val="24"/>
        </w:rPr>
        <w:t>b</w:t>
      </w:r>
      <w:r>
        <w:rPr>
          <w:sz w:val="24"/>
        </w:rPr>
        <w:t>—</w:t>
      </w:r>
      <w:r>
        <w:rPr>
          <w:rFonts w:hint="eastAsia"/>
          <w:sz w:val="24"/>
        </w:rPr>
        <w:t>矩形桩或工字形桩</w:t>
      </w:r>
      <w:r>
        <w:rPr>
          <w:sz w:val="24"/>
        </w:rPr>
        <w:t>的宽度(m)。</w:t>
      </w:r>
    </w:p>
    <w:p>
      <w:pPr>
        <w:pStyle w:val="9"/>
        <w:jc w:val="center"/>
        <w:rPr>
          <w:rFonts w:eastAsia="黑体"/>
          <w:color w:val="FF0000"/>
          <w:szCs w:val="21"/>
          <w:lang w:eastAsia="zh-CN"/>
        </w:rPr>
      </w:pPr>
      <w:r>
        <w:rPr>
          <w:rFonts w:eastAsia="黑体"/>
          <w:color w:val="FF0000"/>
          <w:szCs w:val="21"/>
          <w:lang w:val="en-US" w:eastAsia="zh-CN"/>
        </w:rPr>
        <w:drawing>
          <wp:inline distT="0" distB="0" distL="0" distR="0">
            <wp:extent cx="4319270" cy="2332355"/>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319778" cy="2332482"/>
                    </a:xfrm>
                    <a:prstGeom prst="rect">
                      <a:avLst/>
                    </a:prstGeom>
                  </pic:spPr>
                </pic:pic>
              </a:graphicData>
            </a:graphic>
          </wp:inline>
        </w:drawing>
      </w:r>
    </w:p>
    <w:p>
      <w:pPr>
        <w:pStyle w:val="9"/>
        <w:jc w:val="center"/>
        <w:rPr>
          <w:rFonts w:eastAsia="黑体"/>
          <w:szCs w:val="21"/>
          <w:lang w:eastAsia="zh-CN"/>
        </w:rPr>
      </w:pPr>
      <w:r>
        <w:rPr>
          <w:rFonts w:eastAsia="黑体"/>
          <w:szCs w:val="21"/>
        </w:rPr>
        <w:t>图</w:t>
      </w:r>
      <w:r>
        <w:rPr>
          <w:rFonts w:eastAsia="黑体"/>
          <w:szCs w:val="21"/>
          <w:lang w:eastAsia="zh-CN"/>
        </w:rPr>
        <w:t>5.5.2-2</w:t>
      </w:r>
      <w:r>
        <w:rPr>
          <w:rFonts w:eastAsia="黑体"/>
          <w:szCs w:val="21"/>
        </w:rPr>
        <w:t xml:space="preserve"> 排桩计算宽度</w:t>
      </w:r>
    </w:p>
    <w:p>
      <w:pPr>
        <w:pStyle w:val="9"/>
        <w:jc w:val="center"/>
        <w:rPr>
          <w:szCs w:val="21"/>
          <w:lang w:eastAsia="zh-CN"/>
        </w:rPr>
      </w:pPr>
      <w:r>
        <w:rPr>
          <w:szCs w:val="21"/>
        </w:rPr>
        <w:t>1—排桩对称中心线；2—圆形桩；3—矩形桩或工字型桩</w:t>
      </w:r>
    </w:p>
    <w:p>
      <w:pPr>
        <w:spacing w:line="360" w:lineRule="auto"/>
        <w:ind w:firstLine="480" w:firstLineChars="200"/>
        <w:jc w:val="left"/>
        <w:rPr>
          <w:bCs/>
          <w:iCs/>
          <w:sz w:val="24"/>
        </w:rPr>
      </w:pPr>
      <w:r>
        <w:rPr>
          <w:rFonts w:hint="eastAsia"/>
          <w:bCs/>
          <w:iCs/>
          <w:sz w:val="24"/>
        </w:rPr>
        <w:t>6  当坑底以下存在软土时，应采用经典法进行土压力计算。</w:t>
      </w:r>
    </w:p>
    <w:p>
      <w:pPr>
        <w:spacing w:line="360" w:lineRule="auto"/>
        <w:jc w:val="left"/>
        <w:rPr>
          <w:bCs/>
          <w:iCs/>
          <w:sz w:val="24"/>
        </w:rPr>
      </w:pPr>
      <w:r>
        <w:rPr>
          <w:b/>
          <w:bCs/>
          <w:iCs/>
          <w:sz w:val="24"/>
        </w:rPr>
        <w:t>5.5.</w:t>
      </w:r>
      <w:r>
        <w:rPr>
          <w:rFonts w:hint="eastAsia"/>
          <w:b/>
          <w:bCs/>
          <w:iCs/>
          <w:sz w:val="24"/>
        </w:rPr>
        <w:t>3</w:t>
      </w:r>
      <w:r>
        <w:rPr>
          <w:bCs/>
          <w:iCs/>
          <w:sz w:val="24"/>
        </w:rPr>
        <w:t xml:space="preserve">  双排桩结构的</w:t>
      </w:r>
      <w:r>
        <w:rPr>
          <w:rFonts w:hint="eastAsia"/>
          <w:bCs/>
          <w:iCs/>
          <w:sz w:val="24"/>
        </w:rPr>
        <w:t>排</w:t>
      </w:r>
      <w:r>
        <w:rPr>
          <w:bCs/>
          <w:iCs/>
          <w:sz w:val="24"/>
        </w:rPr>
        <w:t>距</w:t>
      </w:r>
      <w:r>
        <w:rPr>
          <w:rFonts w:hint="eastAsia"/>
          <w:bCs/>
          <w:iCs/>
          <w:sz w:val="24"/>
        </w:rPr>
        <w:t>应为3d~5d</w:t>
      </w:r>
      <w:r>
        <w:rPr>
          <w:bCs/>
          <w:iCs/>
          <w:sz w:val="24"/>
        </w:rPr>
        <w:t>，且采用图5.5.</w:t>
      </w:r>
      <w:r>
        <w:rPr>
          <w:rFonts w:hint="eastAsia"/>
          <w:bCs/>
          <w:iCs/>
          <w:sz w:val="24"/>
        </w:rPr>
        <w:t>3</w:t>
      </w:r>
      <w:r>
        <w:rPr>
          <w:bCs/>
          <w:iCs/>
          <w:sz w:val="24"/>
        </w:rPr>
        <w:t>-1的结构模型时，前、后排桩的桩顶连梁应按图5.5.</w:t>
      </w:r>
      <w:r>
        <w:rPr>
          <w:rFonts w:hint="eastAsia"/>
          <w:bCs/>
          <w:iCs/>
          <w:sz w:val="24"/>
        </w:rPr>
        <w:t>3</w:t>
      </w:r>
      <w:r>
        <w:rPr>
          <w:bCs/>
          <w:iCs/>
          <w:sz w:val="24"/>
        </w:rPr>
        <w:t>-2布置。</w:t>
      </w:r>
    </w:p>
    <w:p>
      <w:pPr>
        <w:pStyle w:val="79"/>
        <w:widowControl/>
        <w:spacing w:line="360" w:lineRule="auto"/>
        <w:ind w:firstLine="0" w:firstLineChars="0"/>
        <w:jc w:val="center"/>
        <w:rPr>
          <w:rFonts w:ascii="Times New Roman" w:hAnsi="Times New Roman"/>
          <w:kern w:val="0"/>
          <w:sz w:val="24"/>
        </w:rPr>
      </w:pPr>
      <w:r>
        <w:rPr>
          <w:rFonts w:hint="eastAsia" w:ascii="黑体" w:hAnsi="黑体" w:eastAsia="黑体"/>
          <w:szCs w:val="21"/>
        </w:rPr>
        <w:drawing>
          <wp:inline distT="0" distB="0" distL="0" distR="0">
            <wp:extent cx="2263140" cy="3453130"/>
            <wp:effectExtent l="0" t="0" r="3810" b="0"/>
            <wp:docPr id="34" name="图片 34" descr="E:\G规范编制\昆明地区基坑规范编制\2019.6第二次审查修改\插图\图5.5.4-1  双排桩计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G规范编制\昆明地区基坑规范编制\2019.6第二次审查修改\插图\图5.5.4-1  双排桩计算.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a:xfrm>
                      <a:off x="0" y="0"/>
                      <a:ext cx="2263140" cy="3453130"/>
                    </a:xfrm>
                    <a:prstGeom prst="rect">
                      <a:avLst/>
                    </a:prstGeom>
                    <a:noFill/>
                    <a:ln>
                      <a:noFill/>
                    </a:ln>
                  </pic:spPr>
                </pic:pic>
              </a:graphicData>
            </a:graphic>
          </wp:inline>
        </w:drawing>
      </w:r>
    </w:p>
    <w:p>
      <w:pPr>
        <w:spacing w:line="360" w:lineRule="auto"/>
        <w:jc w:val="center"/>
        <w:rPr>
          <w:b/>
          <w:bCs/>
          <w:sz w:val="24"/>
        </w:rPr>
      </w:pPr>
      <w:r>
        <w:rPr>
          <w:b/>
          <w:bCs/>
          <w:sz w:val="24"/>
        </w:rPr>
        <w:t>图5.5.</w:t>
      </w:r>
      <w:r>
        <w:rPr>
          <w:rFonts w:hint="eastAsia"/>
          <w:b/>
          <w:bCs/>
          <w:sz w:val="24"/>
        </w:rPr>
        <w:t>3</w:t>
      </w:r>
      <w:r>
        <w:rPr>
          <w:b/>
          <w:bCs/>
          <w:sz w:val="24"/>
        </w:rPr>
        <w:t>-1  双排桩计算</w:t>
      </w:r>
    </w:p>
    <w:p>
      <w:pPr>
        <w:spacing w:line="360" w:lineRule="auto"/>
        <w:jc w:val="center"/>
        <w:rPr>
          <w:bCs/>
          <w:szCs w:val="21"/>
        </w:rPr>
      </w:pPr>
      <w:r>
        <w:rPr>
          <w:bCs/>
          <w:szCs w:val="21"/>
        </w:rPr>
        <w:t>1—前排桩；2—后排桩；3—连梁</w:t>
      </w:r>
    </w:p>
    <w:p>
      <w:pPr>
        <w:widowControl/>
        <w:spacing w:line="360" w:lineRule="auto"/>
        <w:jc w:val="center"/>
        <w:rPr>
          <w:kern w:val="0"/>
          <w:sz w:val="24"/>
        </w:rPr>
      </w:pPr>
      <w:r>
        <w:drawing>
          <wp:inline distT="0" distB="0" distL="0" distR="0">
            <wp:extent cx="1951355" cy="1864360"/>
            <wp:effectExtent l="0" t="0" r="0" b="2540"/>
            <wp:docPr id="4" name="图片 4" descr="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a:xfrm>
                      <a:off x="0" y="0"/>
                      <a:ext cx="1951355" cy="1864360"/>
                    </a:xfrm>
                    <a:prstGeom prst="rect">
                      <a:avLst/>
                    </a:prstGeom>
                    <a:noFill/>
                    <a:ln>
                      <a:noFill/>
                    </a:ln>
                  </pic:spPr>
                </pic:pic>
              </a:graphicData>
            </a:graphic>
          </wp:inline>
        </w:drawing>
      </w:r>
    </w:p>
    <w:p>
      <w:pPr>
        <w:spacing w:line="360" w:lineRule="auto"/>
        <w:jc w:val="center"/>
        <w:rPr>
          <w:b/>
          <w:bCs/>
          <w:sz w:val="24"/>
        </w:rPr>
      </w:pPr>
      <w:r>
        <w:rPr>
          <w:b/>
          <w:bCs/>
          <w:sz w:val="24"/>
        </w:rPr>
        <w:t>图5.5.</w:t>
      </w:r>
      <w:r>
        <w:rPr>
          <w:rFonts w:hint="eastAsia"/>
          <w:b/>
          <w:bCs/>
          <w:sz w:val="24"/>
        </w:rPr>
        <w:t>3</w:t>
      </w:r>
      <w:r>
        <w:rPr>
          <w:b/>
          <w:bCs/>
          <w:sz w:val="24"/>
        </w:rPr>
        <w:t>-2  双排桩桩顶连梁布置</w:t>
      </w:r>
    </w:p>
    <w:p>
      <w:pPr>
        <w:spacing w:line="360" w:lineRule="auto"/>
        <w:jc w:val="center"/>
        <w:rPr>
          <w:szCs w:val="21"/>
        </w:rPr>
      </w:pPr>
      <w:r>
        <w:rPr>
          <w:bCs/>
          <w:szCs w:val="21"/>
        </w:rPr>
        <w:t>1—前排桩；2—后排桩；3—排桩对称中心线；4—桩顶冠梁；5—连梁</w:t>
      </w:r>
    </w:p>
    <w:p>
      <w:pPr>
        <w:spacing w:line="360" w:lineRule="auto"/>
        <w:jc w:val="left"/>
        <w:rPr>
          <w:bCs/>
          <w:iCs/>
          <w:color w:val="FF0000"/>
          <w:sz w:val="24"/>
        </w:rPr>
      </w:pPr>
      <w:r>
        <w:rPr>
          <w:b/>
          <w:bCs/>
          <w:iCs/>
          <w:sz w:val="24"/>
        </w:rPr>
        <w:t>5.5.</w:t>
      </w:r>
      <w:r>
        <w:rPr>
          <w:rFonts w:hint="eastAsia"/>
          <w:b/>
          <w:bCs/>
          <w:iCs/>
          <w:sz w:val="24"/>
        </w:rPr>
        <w:t>4</w:t>
      </w:r>
      <w:r>
        <w:rPr>
          <w:bCs/>
          <w:iCs/>
          <w:sz w:val="24"/>
        </w:rPr>
        <w:t xml:space="preserve">  前、后排桩的桩间土体对桩侧的压力可按下式计算</w:t>
      </w:r>
      <w:r>
        <w:rPr>
          <w:rFonts w:hint="eastAsia"/>
          <w:bCs/>
          <w:iCs/>
          <w:sz w:val="24"/>
        </w:rPr>
        <w:t>：</w:t>
      </w:r>
    </w:p>
    <w:p>
      <w:pPr>
        <w:wordWrap w:val="0"/>
        <w:spacing w:line="360" w:lineRule="auto"/>
        <w:jc w:val="right"/>
        <w:rPr>
          <w:sz w:val="24"/>
        </w:rPr>
      </w:pPr>
      <w:r>
        <w:rPr>
          <w:position w:val="-10"/>
          <w:sz w:val="24"/>
        </w:rPr>
        <w:t xml:space="preserve">          </w:t>
      </w:r>
      <w:r>
        <w:rPr>
          <w:rFonts w:hint="eastAsia"/>
          <w:i/>
          <w:position w:val="-10"/>
          <w:sz w:val="24"/>
        </w:rPr>
        <w:t>p</w:t>
      </w:r>
      <w:r>
        <w:rPr>
          <w:rFonts w:hint="eastAsia"/>
          <w:position w:val="-10"/>
          <w:sz w:val="24"/>
          <w:vertAlign w:val="subscript"/>
        </w:rPr>
        <w:t>c</w:t>
      </w:r>
      <w:r>
        <w:rPr>
          <w:position w:val="-10"/>
          <w:sz w:val="24"/>
        </w:rPr>
        <w:t>＝</w:t>
      </w:r>
      <w:r>
        <w:rPr>
          <w:i/>
          <w:position w:val="-10"/>
          <w:sz w:val="24"/>
        </w:rPr>
        <w:t>k</w:t>
      </w:r>
      <w:r>
        <w:rPr>
          <w:rFonts w:hint="eastAsia"/>
          <w:position w:val="-10"/>
          <w:sz w:val="24"/>
          <w:vertAlign w:val="subscript"/>
        </w:rPr>
        <w:t>c</w:t>
      </w:r>
      <w:r>
        <w:rPr>
          <w:position w:val="-10"/>
          <w:sz w:val="24"/>
        </w:rPr>
        <w:t>∆υ＋</w:t>
      </w:r>
      <w:r>
        <w:rPr>
          <w:rFonts w:hint="eastAsia"/>
          <w:i/>
          <w:position w:val="-10"/>
          <w:sz w:val="24"/>
        </w:rPr>
        <w:t>p</w:t>
      </w:r>
      <w:r>
        <w:rPr>
          <w:rFonts w:hint="eastAsia"/>
          <w:position w:val="-10"/>
          <w:sz w:val="24"/>
          <w:vertAlign w:val="subscript"/>
        </w:rPr>
        <w:t>c</w:t>
      </w:r>
      <w:r>
        <w:rPr>
          <w:position w:val="-10"/>
          <w:sz w:val="24"/>
          <w:vertAlign w:val="subscript"/>
        </w:rPr>
        <w:t>0</w:t>
      </w:r>
      <w:r>
        <w:rPr>
          <w:rFonts w:hint="eastAsia"/>
          <w:position w:val="-10"/>
          <w:sz w:val="24"/>
          <w:vertAlign w:val="subscript"/>
        </w:rPr>
        <w:t xml:space="preserve">  </w:t>
      </w:r>
      <w:r>
        <w:rPr>
          <w:position w:val="-10"/>
          <w:sz w:val="24"/>
        </w:rPr>
        <w:t xml:space="preserve">        </w:t>
      </w:r>
      <w:r>
        <w:rPr>
          <w:rFonts w:hint="eastAsia"/>
          <w:position w:val="-10"/>
          <w:sz w:val="24"/>
        </w:rPr>
        <w:t xml:space="preserve">  </w:t>
      </w:r>
      <w:r>
        <w:rPr>
          <w:position w:val="-10"/>
          <w:sz w:val="24"/>
        </w:rPr>
        <w:t xml:space="preserve">        （5.5.</w:t>
      </w:r>
      <w:r>
        <w:rPr>
          <w:rFonts w:hint="eastAsia"/>
          <w:position w:val="-10"/>
          <w:sz w:val="24"/>
        </w:rPr>
        <w:t>4</w:t>
      </w:r>
      <w:r>
        <w:rPr>
          <w:position w:val="-10"/>
          <w:sz w:val="24"/>
        </w:rPr>
        <w:t>-1）</w:t>
      </w:r>
    </w:p>
    <w:p>
      <w:pPr>
        <w:spacing w:line="360" w:lineRule="auto"/>
        <w:ind w:left="1200" w:hanging="1200" w:hangingChars="500"/>
        <w:jc w:val="left"/>
        <w:rPr>
          <w:sz w:val="24"/>
        </w:rPr>
      </w:pPr>
      <w:r>
        <w:rPr>
          <w:sz w:val="24"/>
        </w:rPr>
        <w:t>式中：</w:t>
      </w:r>
      <w:r>
        <w:rPr>
          <w:rFonts w:hint="eastAsia"/>
          <w:i/>
          <w:sz w:val="24"/>
        </w:rPr>
        <w:t>p</w:t>
      </w:r>
      <w:r>
        <w:rPr>
          <w:rFonts w:hint="eastAsia"/>
          <w:sz w:val="24"/>
          <w:vertAlign w:val="subscript"/>
        </w:rPr>
        <w:t>c</w:t>
      </w:r>
      <w:r>
        <w:rPr>
          <w:sz w:val="24"/>
        </w:rPr>
        <w:t>—前、后排桩间土体对桩侧的压力(kPa)，可按作用在前、后排桩上的压力相等考虑；</w:t>
      </w:r>
    </w:p>
    <w:p>
      <w:pPr>
        <w:spacing w:line="360" w:lineRule="auto"/>
        <w:ind w:left="1335" w:leftChars="350" w:hanging="600" w:hangingChars="250"/>
        <w:jc w:val="left"/>
        <w:rPr>
          <w:sz w:val="24"/>
        </w:rPr>
      </w:pPr>
      <w:r>
        <w:rPr>
          <w:i/>
          <w:sz w:val="24"/>
        </w:rPr>
        <w:t>k</w:t>
      </w:r>
      <w:r>
        <w:rPr>
          <w:rFonts w:hint="eastAsia"/>
          <w:sz w:val="24"/>
          <w:vertAlign w:val="subscript"/>
        </w:rPr>
        <w:t>c</w:t>
      </w:r>
      <w:r>
        <w:rPr>
          <w:sz w:val="24"/>
        </w:rPr>
        <w:t>—桩间土的水平刚度系数(kN/m</w:t>
      </w:r>
      <w:r>
        <w:rPr>
          <w:sz w:val="24"/>
          <w:vertAlign w:val="superscript"/>
        </w:rPr>
        <w:t>3</w:t>
      </w:r>
      <w:r>
        <w:rPr>
          <w:sz w:val="24"/>
        </w:rPr>
        <w:t xml:space="preserve"> )；</w:t>
      </w:r>
    </w:p>
    <w:p>
      <w:pPr>
        <w:spacing w:line="360" w:lineRule="auto"/>
        <w:ind w:left="1335" w:leftChars="350" w:hanging="600" w:hangingChars="250"/>
        <w:jc w:val="left"/>
        <w:rPr>
          <w:sz w:val="24"/>
        </w:rPr>
      </w:pPr>
      <w:r>
        <w:rPr>
          <w:sz w:val="24"/>
        </w:rPr>
        <w:t>∆υ —前、后排桩水平位移的差值(m) ：当其相对位移减小时为正值；当其相对    位移增加时，取∆υ＝0；</w:t>
      </w:r>
    </w:p>
    <w:p>
      <w:pPr>
        <w:spacing w:line="360" w:lineRule="auto"/>
        <w:ind w:left="1335" w:leftChars="350" w:hanging="600" w:hangingChars="250"/>
        <w:jc w:val="left"/>
        <w:rPr>
          <w:sz w:val="24"/>
        </w:rPr>
      </w:pPr>
      <w:r>
        <w:rPr>
          <w:rFonts w:hint="eastAsia"/>
          <w:i/>
          <w:sz w:val="24"/>
        </w:rPr>
        <w:t>p</w:t>
      </w:r>
      <w:r>
        <w:rPr>
          <w:rFonts w:hint="eastAsia"/>
          <w:sz w:val="24"/>
          <w:vertAlign w:val="subscript"/>
        </w:rPr>
        <w:t>c</w:t>
      </w:r>
      <w:r>
        <w:rPr>
          <w:sz w:val="24"/>
          <w:vertAlign w:val="subscript"/>
        </w:rPr>
        <w:t>0</w:t>
      </w:r>
      <w:r>
        <w:rPr>
          <w:sz w:val="24"/>
        </w:rPr>
        <w:t>—前、后排桩间土体对桩侧的初始压力(kPa)。</w:t>
      </w:r>
      <w:r>
        <w:rPr>
          <w:rFonts w:hint="eastAsia"/>
          <w:sz w:val="24"/>
        </w:rPr>
        <w:t>按本规程5.5.5计算。</w:t>
      </w:r>
    </w:p>
    <w:p>
      <w:pPr>
        <w:spacing w:line="360" w:lineRule="auto"/>
        <w:ind w:firstLine="480" w:firstLineChars="200"/>
        <w:jc w:val="left"/>
        <w:rPr>
          <w:sz w:val="24"/>
        </w:rPr>
      </w:pPr>
      <w:r>
        <w:rPr>
          <w:sz w:val="24"/>
        </w:rPr>
        <w:t>桩间土的水平刚度系数</w:t>
      </w:r>
      <w:r>
        <w:rPr>
          <w:i/>
          <w:sz w:val="24"/>
        </w:rPr>
        <w:t>k</w:t>
      </w:r>
      <w:r>
        <w:rPr>
          <w:rFonts w:hint="eastAsia"/>
          <w:sz w:val="24"/>
          <w:vertAlign w:val="subscript"/>
        </w:rPr>
        <w:t>c</w:t>
      </w:r>
      <w:r>
        <w:rPr>
          <w:sz w:val="24"/>
        </w:rPr>
        <w:t>可按下式计算：</w:t>
      </w:r>
    </w:p>
    <w:p>
      <w:pPr>
        <w:spacing w:line="360" w:lineRule="auto"/>
        <w:jc w:val="right"/>
        <w:rPr>
          <w:sz w:val="24"/>
        </w:rPr>
      </w:pPr>
      <w:r>
        <w:rPr>
          <w:position w:val="-42"/>
          <w:sz w:val="24"/>
        </w:rPr>
        <w:object>
          <v:shape id="_x0000_i1080" o:spt="75" type="#_x0000_t75" style="height:43.65pt;width:61.65pt;" o:ole="t" filled="f" coordsize="21600,21600">
            <v:path/>
            <v:fill on="f" focussize="0,0"/>
            <v:stroke/>
            <v:imagedata r:id="rId144" o:title=""/>
            <o:lock v:ext="edit" aspectratio="t"/>
            <w10:wrap type="none"/>
            <w10:anchorlock/>
          </v:shape>
          <o:OLEObject Type="Embed" ProgID="Equation.DSMT4" ShapeID="_x0000_i1080" DrawAspect="Content" ObjectID="_1468075780" r:id="rId143">
            <o:LockedField>false</o:LockedField>
          </o:OLEObject>
        </w:object>
      </w:r>
      <w:bookmarkStart w:id="50" w:name="OLE_LINK21"/>
      <w:r>
        <w:rPr>
          <w:position w:val="-24"/>
          <w:sz w:val="24"/>
        </w:rPr>
        <w:t xml:space="preserve">                          </w:t>
      </w:r>
      <w:r>
        <w:rPr>
          <w:sz w:val="24"/>
        </w:rPr>
        <w:t>（5.5.</w:t>
      </w:r>
      <w:r>
        <w:rPr>
          <w:rFonts w:hint="eastAsia"/>
          <w:sz w:val="24"/>
        </w:rPr>
        <w:t>4</w:t>
      </w:r>
      <w:r>
        <w:rPr>
          <w:sz w:val="24"/>
        </w:rPr>
        <w:t>-2）</w:t>
      </w:r>
      <w:bookmarkEnd w:id="50"/>
    </w:p>
    <w:p>
      <w:pPr>
        <w:spacing w:line="360" w:lineRule="auto"/>
        <w:ind w:left="1200" w:hanging="1200" w:hangingChars="500"/>
        <w:jc w:val="left"/>
        <w:rPr>
          <w:sz w:val="24"/>
        </w:rPr>
      </w:pPr>
      <w:r>
        <w:rPr>
          <w:sz w:val="24"/>
        </w:rPr>
        <w:t>式中：</w:t>
      </w:r>
      <w:r>
        <w:rPr>
          <w:i/>
          <w:sz w:val="24"/>
        </w:rPr>
        <w:t>E</w:t>
      </w:r>
      <w:r>
        <w:rPr>
          <w:sz w:val="24"/>
          <w:vertAlign w:val="subscript"/>
        </w:rPr>
        <w:t>s</w:t>
      </w:r>
      <w:r>
        <w:rPr>
          <w:sz w:val="24"/>
        </w:rPr>
        <w:t>—计算深度处，前、后排桩间土体的压缩模量(kPa)；当为成层土时，应按计算点的深度分别取相应土层的压缩模量；</w:t>
      </w:r>
    </w:p>
    <w:p>
      <w:pPr>
        <w:spacing w:line="360" w:lineRule="auto"/>
        <w:ind w:firstLine="720" w:firstLineChars="300"/>
        <w:jc w:val="left"/>
        <w:rPr>
          <w:sz w:val="24"/>
        </w:rPr>
      </w:pPr>
      <w:r>
        <w:rPr>
          <w:i/>
          <w:sz w:val="24"/>
        </w:rPr>
        <w:t>S</w:t>
      </w:r>
      <w:r>
        <w:rPr>
          <w:sz w:val="24"/>
          <w:vertAlign w:val="subscript"/>
        </w:rPr>
        <w:t>y</w:t>
      </w:r>
      <w:r>
        <w:rPr>
          <w:sz w:val="24"/>
        </w:rPr>
        <w:t>—双排桩的排距(m)；</w:t>
      </w:r>
    </w:p>
    <w:p>
      <w:pPr>
        <w:spacing w:line="360" w:lineRule="auto"/>
        <w:ind w:firstLine="840" w:firstLineChars="350"/>
        <w:jc w:val="left"/>
        <w:rPr>
          <w:sz w:val="24"/>
        </w:rPr>
      </w:pPr>
      <w:r>
        <w:rPr>
          <w:i/>
          <w:sz w:val="24"/>
        </w:rPr>
        <w:t>d</w:t>
      </w:r>
      <w:r>
        <w:rPr>
          <w:sz w:val="24"/>
        </w:rPr>
        <w:t>—桩的直径(m)。</w:t>
      </w:r>
    </w:p>
    <w:p>
      <w:pPr>
        <w:spacing w:line="360" w:lineRule="auto"/>
        <w:jc w:val="left"/>
        <w:rPr>
          <w:sz w:val="24"/>
        </w:rPr>
      </w:pPr>
      <w:r>
        <w:rPr>
          <w:b/>
          <w:sz w:val="24"/>
        </w:rPr>
        <w:t>5.5.</w:t>
      </w:r>
      <w:r>
        <w:rPr>
          <w:rFonts w:hint="eastAsia"/>
          <w:b/>
          <w:sz w:val="24"/>
        </w:rPr>
        <w:t>5</w:t>
      </w:r>
      <w:r>
        <w:rPr>
          <w:sz w:val="24"/>
        </w:rPr>
        <w:t xml:space="preserve">  前、后排桩间土体对桩侧的初始压力可按下式计算</w:t>
      </w:r>
      <w:r>
        <w:rPr>
          <w:rFonts w:hint="eastAsia"/>
          <w:sz w:val="24"/>
        </w:rPr>
        <w:t>：</w:t>
      </w:r>
    </w:p>
    <w:p>
      <w:pPr>
        <w:spacing w:line="360" w:lineRule="auto"/>
        <w:jc w:val="right"/>
        <w:rPr>
          <w:sz w:val="24"/>
        </w:rPr>
      </w:pPr>
      <w:bookmarkStart w:id="51" w:name="OLE_LINK22"/>
      <w:r>
        <w:rPr>
          <w:position w:val="-10"/>
          <w:sz w:val="24"/>
        </w:rPr>
        <w:t xml:space="preserve">  </w:t>
      </w:r>
      <w:r>
        <w:rPr>
          <w:position w:val="-16"/>
        </w:rPr>
        <w:object>
          <v:shape id="_x0000_i1081" o:spt="75" type="#_x0000_t75" style="height:21.05pt;width:93.85pt;" o:ole="t" filled="f" coordsize="21600,21600">
            <v:path/>
            <v:fill on="f" focussize="0,0"/>
            <v:stroke/>
            <v:imagedata r:id="rId146" o:title=""/>
            <o:lock v:ext="edit" aspectratio="t"/>
            <w10:wrap type="none"/>
            <w10:anchorlock/>
          </v:shape>
          <o:OLEObject Type="Embed" ProgID="Equation.DSMT4" ShapeID="_x0000_i1081" DrawAspect="Content" ObjectID="_1468075781" r:id="rId145">
            <o:LockedField>false</o:LockedField>
          </o:OLEObject>
        </w:object>
      </w:r>
      <w:r>
        <w:rPr>
          <w:position w:val="-10"/>
          <w:sz w:val="24"/>
        </w:rPr>
        <w:t xml:space="preserve">                   </w:t>
      </w:r>
      <w:r>
        <w:rPr>
          <w:sz w:val="24"/>
        </w:rPr>
        <w:t>（5.5.</w:t>
      </w:r>
      <w:r>
        <w:rPr>
          <w:rFonts w:hint="eastAsia"/>
          <w:sz w:val="24"/>
        </w:rPr>
        <w:t>5</w:t>
      </w:r>
      <w:r>
        <w:rPr>
          <w:sz w:val="24"/>
        </w:rPr>
        <w:t>-1）</w:t>
      </w:r>
    </w:p>
    <w:bookmarkEnd w:id="51"/>
    <w:p>
      <w:pPr>
        <w:spacing w:line="360" w:lineRule="auto"/>
        <w:jc w:val="right"/>
        <w:rPr>
          <w:sz w:val="24"/>
        </w:rPr>
      </w:pPr>
      <w:bookmarkStart w:id="52" w:name="OLE_LINK23"/>
      <w:r>
        <w:rPr>
          <w:position w:val="-26"/>
          <w:sz w:val="24"/>
        </w:rPr>
        <w:t xml:space="preserve">           </w:t>
      </w:r>
      <w:r>
        <w:rPr>
          <w:position w:val="-32"/>
        </w:rPr>
        <w:object>
          <v:shape id="_x0000_i1082" o:spt="75" type="#_x0000_t75" style="height:37.55pt;width:108.4pt;" o:ole="t" filled="f" coordsize="21600,21600">
            <v:path/>
            <v:fill on="f" focussize="0,0"/>
            <v:stroke/>
            <v:imagedata r:id="rId148" o:title=""/>
            <o:lock v:ext="edit" aspectratio="t"/>
            <w10:wrap type="none"/>
            <w10:anchorlock/>
          </v:shape>
          <o:OLEObject Type="Embed" ProgID="Equation.DSMT4" ShapeID="_x0000_i1082" DrawAspect="Content" ObjectID="_1468075782" r:id="rId147">
            <o:LockedField>false</o:LockedField>
          </o:OLEObject>
        </w:object>
      </w:r>
      <w:r>
        <w:rPr>
          <w:position w:val="-26"/>
          <w:sz w:val="24"/>
        </w:rPr>
        <w:t xml:space="preserve">                   </w:t>
      </w:r>
      <w:r>
        <w:rPr>
          <w:sz w:val="24"/>
        </w:rPr>
        <w:t>（5.5.</w:t>
      </w:r>
      <w:r>
        <w:rPr>
          <w:rFonts w:hint="eastAsia"/>
          <w:sz w:val="24"/>
        </w:rPr>
        <w:t>5</w:t>
      </w:r>
      <w:r>
        <w:rPr>
          <w:sz w:val="24"/>
        </w:rPr>
        <w:t>-2）</w:t>
      </w:r>
    </w:p>
    <w:bookmarkEnd w:id="52"/>
    <w:p>
      <w:pPr>
        <w:spacing w:line="360" w:lineRule="auto"/>
        <w:ind w:left="1200" w:hanging="1200" w:hangingChars="500"/>
        <w:rPr>
          <w:sz w:val="24"/>
        </w:rPr>
      </w:pPr>
      <w:r>
        <w:rPr>
          <w:sz w:val="24"/>
        </w:rPr>
        <w:t>式中：</w:t>
      </w:r>
      <w:r>
        <w:rPr>
          <w:rFonts w:hint="eastAsia"/>
          <w:i/>
          <w:sz w:val="24"/>
        </w:rPr>
        <w:t>p</w:t>
      </w:r>
      <w:r>
        <w:rPr>
          <w:sz w:val="24"/>
          <w:vertAlign w:val="subscript"/>
        </w:rPr>
        <w:t>ak</w:t>
      </w:r>
      <w:r>
        <w:rPr>
          <w:sz w:val="24"/>
        </w:rPr>
        <w:t>—支护结构外侧，第i层土中计算点的主动土压力强度标准值(kPa)；</w:t>
      </w:r>
      <w:r>
        <w:rPr>
          <w:rFonts w:hint="eastAsia"/>
          <w:sz w:val="24"/>
        </w:rPr>
        <w:t>按本规程第5.3.3条的规定计算；</w:t>
      </w:r>
    </w:p>
    <w:p>
      <w:pPr>
        <w:spacing w:line="360" w:lineRule="auto"/>
        <w:ind w:firstLine="840" w:firstLineChars="350"/>
        <w:jc w:val="left"/>
        <w:rPr>
          <w:sz w:val="24"/>
        </w:rPr>
      </w:pPr>
      <w:r>
        <w:rPr>
          <w:i/>
          <w:sz w:val="24"/>
        </w:rPr>
        <w:t>h</w:t>
      </w:r>
      <w:r>
        <w:rPr>
          <w:sz w:val="24"/>
        </w:rPr>
        <w:t>—基坑深度(m)；</w:t>
      </w:r>
    </w:p>
    <w:p>
      <w:pPr>
        <w:spacing w:line="360" w:lineRule="auto"/>
        <w:ind w:firstLine="840" w:firstLineChars="350"/>
        <w:jc w:val="left"/>
        <w:rPr>
          <w:sz w:val="24"/>
        </w:rPr>
      </w:pPr>
      <w:r>
        <w:rPr>
          <w:i/>
          <w:sz w:val="24"/>
        </w:rPr>
        <w:t>φ</w:t>
      </w:r>
      <w:r>
        <w:rPr>
          <w:i/>
          <w:sz w:val="24"/>
          <w:vertAlign w:val="subscript"/>
        </w:rPr>
        <w:t>m</w:t>
      </w:r>
      <w:r>
        <w:rPr>
          <w:sz w:val="24"/>
        </w:rPr>
        <w:t>—基坑底面以上各土层按土层厚度加权的</w:t>
      </w:r>
      <w:r>
        <w:rPr>
          <w:rFonts w:hint="eastAsia"/>
          <w:sz w:val="24"/>
        </w:rPr>
        <w:t>等效</w:t>
      </w:r>
      <w:r>
        <w:rPr>
          <w:sz w:val="24"/>
        </w:rPr>
        <w:t>内摩擦角平均值</w:t>
      </w:r>
      <w:r>
        <w:rPr>
          <w:rFonts w:hint="eastAsia"/>
        </w:rPr>
        <w:t>(°)</w:t>
      </w:r>
      <w:r>
        <w:rPr>
          <w:sz w:val="24"/>
        </w:rPr>
        <w:t>；</w:t>
      </w:r>
    </w:p>
    <w:p>
      <w:pPr>
        <w:spacing w:line="360" w:lineRule="auto"/>
        <w:ind w:firstLine="840" w:firstLineChars="350"/>
        <w:jc w:val="left"/>
        <w:rPr>
          <w:sz w:val="24"/>
        </w:rPr>
      </w:pPr>
      <w:r>
        <w:rPr>
          <w:i/>
          <w:sz w:val="24"/>
        </w:rPr>
        <w:t>α</w:t>
      </w:r>
      <w:r>
        <w:rPr>
          <w:sz w:val="24"/>
        </w:rPr>
        <w:t>—计算系数，当计算的</w:t>
      </w:r>
      <w:r>
        <w:rPr>
          <w:i/>
          <w:sz w:val="24"/>
        </w:rPr>
        <w:t>α</w:t>
      </w:r>
      <w:r>
        <w:rPr>
          <w:sz w:val="24"/>
        </w:rPr>
        <w:t>大于1时，取</w:t>
      </w:r>
      <w:r>
        <w:rPr>
          <w:i/>
          <w:sz w:val="24"/>
        </w:rPr>
        <w:t>α</w:t>
      </w:r>
      <w:r>
        <w:rPr>
          <w:sz w:val="24"/>
        </w:rPr>
        <w:t>=1。</w:t>
      </w:r>
    </w:p>
    <w:p>
      <w:pPr>
        <w:spacing w:line="360" w:lineRule="auto"/>
        <w:jc w:val="left"/>
        <w:rPr>
          <w:bCs/>
          <w:iCs/>
          <w:sz w:val="24"/>
        </w:rPr>
      </w:pPr>
      <w:r>
        <w:rPr>
          <w:b/>
          <w:bCs/>
          <w:iCs/>
          <w:sz w:val="24"/>
        </w:rPr>
        <w:t>5.5.</w:t>
      </w:r>
      <w:r>
        <w:rPr>
          <w:rFonts w:hint="eastAsia"/>
          <w:b/>
          <w:bCs/>
          <w:iCs/>
          <w:sz w:val="24"/>
        </w:rPr>
        <w:t>6</w:t>
      </w:r>
      <w:r>
        <w:rPr>
          <w:bCs/>
          <w:iCs/>
          <w:sz w:val="24"/>
        </w:rPr>
        <w:t xml:space="preserve">  双排桩支挡结构的嵌固深度应满足抗倾覆稳定性要求，对于一、二、三级基坑的支挡结构，其嵌固稳定安全系数应分别不小于1. 25、1. 20和1. 15。嵌固稳定安全系数应按下式计算（图5.5.</w:t>
      </w:r>
      <w:r>
        <w:rPr>
          <w:rFonts w:hint="eastAsia"/>
          <w:bCs/>
          <w:iCs/>
          <w:sz w:val="24"/>
        </w:rPr>
        <w:t>6</w:t>
      </w:r>
      <w:r>
        <w:rPr>
          <w:bCs/>
          <w:iCs/>
          <w:sz w:val="24"/>
        </w:rPr>
        <w:t>）：</w:t>
      </w:r>
    </w:p>
    <w:p>
      <w:pPr>
        <w:spacing w:line="360" w:lineRule="auto"/>
        <w:jc w:val="right"/>
        <w:rPr>
          <w:sz w:val="24"/>
        </w:rPr>
      </w:pPr>
      <w:r>
        <w:rPr>
          <w:b/>
          <w:bCs/>
          <w:iCs/>
          <w:position w:val="-22"/>
          <w:sz w:val="24"/>
        </w:rPr>
        <w:t xml:space="preserve">     </w:t>
      </w:r>
      <w:r>
        <w:rPr>
          <w:position w:val="-30"/>
        </w:rPr>
        <w:object>
          <v:shape id="_x0000_i1083" o:spt="75" type="#_x0000_t75" style="height:34.45pt;width:85.8pt;" o:ole="t" filled="f" coordsize="21600,21600">
            <v:path/>
            <v:fill on="f" focussize="0,0"/>
            <v:stroke/>
            <v:imagedata r:id="rId150" o:title=""/>
            <o:lock v:ext="edit" aspectratio="t"/>
            <w10:wrap type="none"/>
            <w10:anchorlock/>
          </v:shape>
          <o:OLEObject Type="Embed" ProgID="Equation.DSMT4" ShapeID="_x0000_i1083" DrawAspect="Content" ObjectID="_1468075783" r:id="rId149">
            <o:LockedField>false</o:LockedField>
          </o:OLEObject>
        </w:object>
      </w:r>
      <w:r>
        <w:rPr>
          <w:b/>
          <w:bCs/>
          <w:iCs/>
          <w:position w:val="-22"/>
          <w:sz w:val="24"/>
        </w:rPr>
        <w:t xml:space="preserve">                         </w:t>
      </w:r>
      <w:r>
        <w:rPr>
          <w:sz w:val="24"/>
        </w:rPr>
        <w:t>（5.5.</w:t>
      </w:r>
      <w:r>
        <w:rPr>
          <w:rFonts w:hint="eastAsia"/>
          <w:sz w:val="24"/>
        </w:rPr>
        <w:t>6</w:t>
      </w:r>
      <w:r>
        <w:rPr>
          <w:sz w:val="24"/>
        </w:rPr>
        <w:t>）</w:t>
      </w:r>
    </w:p>
    <w:p>
      <w:pPr>
        <w:spacing w:line="360" w:lineRule="auto"/>
        <w:ind w:left="1200" w:hanging="1200" w:hangingChars="500"/>
        <w:rPr>
          <w:sz w:val="24"/>
        </w:rPr>
      </w:pPr>
      <w:r>
        <w:rPr>
          <w:sz w:val="24"/>
        </w:rPr>
        <w:t xml:space="preserve">式中： </w:t>
      </w:r>
      <w:r>
        <w:rPr>
          <w:i/>
          <w:sz w:val="24"/>
        </w:rPr>
        <w:t>K</w:t>
      </w:r>
      <w:r>
        <w:rPr>
          <w:sz w:val="24"/>
          <w:vertAlign w:val="subscript"/>
        </w:rPr>
        <w:t>e</w:t>
      </w:r>
      <w:r>
        <w:rPr>
          <w:sz w:val="24"/>
        </w:rPr>
        <w:t>—嵌固稳定安全系数；</w:t>
      </w:r>
    </w:p>
    <w:p>
      <w:pPr>
        <w:spacing w:line="360" w:lineRule="auto"/>
        <w:ind w:left="210" w:leftChars="100"/>
        <w:jc w:val="left"/>
        <w:rPr>
          <w:sz w:val="24"/>
        </w:rPr>
      </w:pPr>
      <w:r>
        <w:rPr>
          <w:i/>
          <w:sz w:val="24"/>
        </w:rPr>
        <w:t>E</w:t>
      </w:r>
      <w:r>
        <w:rPr>
          <w:sz w:val="24"/>
          <w:vertAlign w:val="subscript"/>
        </w:rPr>
        <w:t>ak</w:t>
      </w:r>
      <w:r>
        <w:rPr>
          <w:sz w:val="24"/>
        </w:rPr>
        <w:t>，</w:t>
      </w:r>
      <w:r>
        <w:rPr>
          <w:i/>
          <w:sz w:val="24"/>
        </w:rPr>
        <w:t>E</w:t>
      </w:r>
      <w:r>
        <w:rPr>
          <w:sz w:val="24"/>
          <w:vertAlign w:val="subscript"/>
        </w:rPr>
        <w:t>pk</w:t>
      </w:r>
      <w:r>
        <w:rPr>
          <w:sz w:val="24"/>
        </w:rPr>
        <w:t>—基坑外侧主动土压力、基坑内侧被动土压力的标准值</w:t>
      </w:r>
      <w:r>
        <w:rPr>
          <w:rFonts w:hint="eastAsia"/>
          <w:sz w:val="24"/>
        </w:rPr>
        <w:t>(kN)</w:t>
      </w:r>
      <w:r>
        <w:rPr>
          <w:sz w:val="24"/>
        </w:rPr>
        <w:t>；</w:t>
      </w:r>
    </w:p>
    <w:p>
      <w:pPr>
        <w:spacing w:line="360" w:lineRule="auto"/>
        <w:ind w:left="1365" w:leftChars="250" w:hanging="840" w:hangingChars="350"/>
        <w:jc w:val="left"/>
        <w:rPr>
          <w:sz w:val="24"/>
        </w:rPr>
      </w:pPr>
      <w:r>
        <w:rPr>
          <w:i/>
          <w:sz w:val="24"/>
        </w:rPr>
        <w:t>z</w:t>
      </w:r>
      <w:r>
        <w:rPr>
          <w:i/>
          <w:sz w:val="24"/>
          <w:vertAlign w:val="subscript"/>
        </w:rPr>
        <w:t>a</w:t>
      </w:r>
      <w:r>
        <w:rPr>
          <w:sz w:val="24"/>
        </w:rPr>
        <w:t>，</w:t>
      </w:r>
      <w:r>
        <w:rPr>
          <w:i/>
          <w:sz w:val="24"/>
        </w:rPr>
        <w:t>z</w:t>
      </w:r>
      <w:r>
        <w:rPr>
          <w:i/>
          <w:sz w:val="24"/>
          <w:vertAlign w:val="subscript"/>
        </w:rPr>
        <w:t>p</w:t>
      </w:r>
      <w:r>
        <w:rPr>
          <w:sz w:val="24"/>
        </w:rPr>
        <w:t>—基坑外侧主动土压力、基坑内侧被动土压力</w:t>
      </w:r>
      <w:r>
        <w:rPr>
          <w:rFonts w:hint="eastAsia"/>
          <w:sz w:val="24"/>
        </w:rPr>
        <w:t>的</w:t>
      </w:r>
      <w:r>
        <w:rPr>
          <w:sz w:val="24"/>
        </w:rPr>
        <w:t>合力作用点至双排桩底端的距离</w:t>
      </w:r>
      <w:r>
        <w:rPr>
          <w:rFonts w:hint="eastAsia"/>
          <w:sz w:val="24"/>
        </w:rPr>
        <w:t>(m)</w:t>
      </w:r>
      <w:r>
        <w:rPr>
          <w:sz w:val="24"/>
        </w:rPr>
        <w:t>；</w:t>
      </w:r>
    </w:p>
    <w:p>
      <w:pPr>
        <w:spacing w:line="360" w:lineRule="auto"/>
        <w:ind w:left="945" w:leftChars="450"/>
        <w:jc w:val="left"/>
        <w:rPr>
          <w:sz w:val="24"/>
        </w:rPr>
      </w:pPr>
      <w:r>
        <w:rPr>
          <w:i/>
          <w:sz w:val="24"/>
        </w:rPr>
        <w:t>G</w:t>
      </w:r>
      <w:r>
        <w:rPr>
          <w:sz w:val="24"/>
        </w:rPr>
        <w:t>—双排桩、桩顶连梁和桩间土的重力之和</w:t>
      </w:r>
      <w:r>
        <w:rPr>
          <w:rFonts w:hint="eastAsia"/>
          <w:sz w:val="24"/>
        </w:rPr>
        <w:t>(kN)</w:t>
      </w:r>
      <w:r>
        <w:rPr>
          <w:sz w:val="24"/>
        </w:rPr>
        <w:t>；</w:t>
      </w:r>
    </w:p>
    <w:p>
      <w:pPr>
        <w:spacing w:line="360" w:lineRule="auto"/>
        <w:ind w:left="945" w:leftChars="450"/>
        <w:jc w:val="left"/>
        <w:rPr>
          <w:sz w:val="24"/>
        </w:rPr>
      </w:pPr>
      <w:r>
        <w:rPr>
          <w:rFonts w:hint="eastAsia"/>
          <w:i/>
          <w:sz w:val="24"/>
        </w:rPr>
        <w:t>z</w:t>
      </w:r>
      <w:r>
        <w:rPr>
          <w:rFonts w:hint="eastAsia"/>
          <w:i/>
          <w:sz w:val="24"/>
          <w:vertAlign w:val="subscript"/>
        </w:rPr>
        <w:t>G</w:t>
      </w:r>
      <w:r>
        <w:rPr>
          <w:sz w:val="24"/>
        </w:rPr>
        <w:t>—双排桩、桩顶连梁和桩间土的重心至前排桩边缘的水平距离</w:t>
      </w:r>
      <w:r>
        <w:rPr>
          <w:rFonts w:hint="eastAsia"/>
          <w:sz w:val="24"/>
        </w:rPr>
        <w:t>(m)</w:t>
      </w:r>
      <w:r>
        <w:rPr>
          <w:sz w:val="24"/>
        </w:rPr>
        <w:t>。</w:t>
      </w:r>
    </w:p>
    <w:p>
      <w:pPr>
        <w:widowControl/>
        <w:spacing w:line="360" w:lineRule="auto"/>
        <w:jc w:val="center"/>
        <w:rPr>
          <w:kern w:val="0"/>
          <w:sz w:val="24"/>
        </w:rPr>
      </w:pPr>
      <w:r>
        <w:rPr>
          <w:rFonts w:hint="eastAsia"/>
        </w:rPr>
        <w:drawing>
          <wp:inline distT="0" distB="0" distL="0" distR="0">
            <wp:extent cx="3065145" cy="3289935"/>
            <wp:effectExtent l="0" t="0" r="1905" b="5715"/>
            <wp:docPr id="5" name="图片 5" descr="E:\G规范编制\昆明地区基坑规范编制\2019.6第二次审查修改\插图\图5.5.7  双排桩抗倾覆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G规范编制\昆明地区基坑规范编制\2019.6第二次审查修改\插图\图5.5.7  双排桩抗倾覆稳定性验算.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a:xfrm>
                      <a:off x="0" y="0"/>
                      <a:ext cx="3065145" cy="3289935"/>
                    </a:xfrm>
                    <a:prstGeom prst="rect">
                      <a:avLst/>
                    </a:prstGeom>
                    <a:noFill/>
                    <a:ln>
                      <a:noFill/>
                    </a:ln>
                  </pic:spPr>
                </pic:pic>
              </a:graphicData>
            </a:graphic>
          </wp:inline>
        </w:drawing>
      </w:r>
    </w:p>
    <w:p>
      <w:pPr>
        <w:spacing w:line="360" w:lineRule="auto"/>
        <w:jc w:val="center"/>
        <w:rPr>
          <w:b/>
          <w:bCs/>
          <w:sz w:val="24"/>
        </w:rPr>
      </w:pPr>
      <w:r>
        <w:rPr>
          <w:b/>
          <w:bCs/>
          <w:sz w:val="24"/>
        </w:rPr>
        <w:t>图</w:t>
      </w:r>
      <w:r>
        <w:rPr>
          <w:b/>
          <w:bCs/>
          <w:iCs/>
          <w:sz w:val="24"/>
        </w:rPr>
        <w:t>5.5.</w:t>
      </w:r>
      <w:r>
        <w:rPr>
          <w:rFonts w:hint="eastAsia"/>
          <w:b/>
          <w:bCs/>
          <w:iCs/>
          <w:sz w:val="24"/>
        </w:rPr>
        <w:t>6</w:t>
      </w:r>
      <w:r>
        <w:rPr>
          <w:b/>
          <w:bCs/>
          <w:iCs/>
          <w:sz w:val="24"/>
        </w:rPr>
        <w:t xml:space="preserve">  </w:t>
      </w:r>
      <w:r>
        <w:rPr>
          <w:b/>
          <w:bCs/>
          <w:sz w:val="24"/>
        </w:rPr>
        <w:t>双排桩抗倾覆稳定性验算</w:t>
      </w:r>
    </w:p>
    <w:p>
      <w:pPr>
        <w:spacing w:line="360" w:lineRule="auto"/>
        <w:jc w:val="center"/>
        <w:rPr>
          <w:bCs/>
          <w:szCs w:val="21"/>
        </w:rPr>
      </w:pPr>
      <w:r>
        <w:rPr>
          <w:bCs/>
          <w:szCs w:val="21"/>
        </w:rPr>
        <w:t>1—前排桩；2—后排桩；3—连梁</w:t>
      </w:r>
    </w:p>
    <w:p>
      <w:pPr>
        <w:spacing w:line="360" w:lineRule="auto"/>
        <w:jc w:val="left"/>
        <w:rPr>
          <w:color w:val="000000"/>
          <w:sz w:val="24"/>
        </w:rPr>
      </w:pPr>
      <w:r>
        <w:rPr>
          <w:b/>
          <w:color w:val="000000"/>
          <w:sz w:val="24"/>
        </w:rPr>
        <w:t>5.5.</w:t>
      </w:r>
      <w:r>
        <w:rPr>
          <w:rFonts w:hint="eastAsia"/>
          <w:b/>
          <w:color w:val="000000"/>
          <w:sz w:val="24"/>
        </w:rPr>
        <w:t>7</w:t>
      </w:r>
      <w:r>
        <w:rPr>
          <w:b/>
          <w:color w:val="000000"/>
          <w:sz w:val="24"/>
        </w:rPr>
        <w:t xml:space="preserve">  </w:t>
      </w:r>
      <w:r>
        <w:rPr>
          <w:rFonts w:hint="eastAsia"/>
          <w:color w:val="000000"/>
          <w:sz w:val="24"/>
        </w:rPr>
        <w:t>悬臂式</w:t>
      </w:r>
      <w:r>
        <w:rPr>
          <w:color w:val="000000"/>
          <w:sz w:val="24"/>
        </w:rPr>
        <w:t>单排桩结构构件，应按其在施工和使用的不同阶段可能出现的最大内力进行截面设计。构件的截面强度计算遵照《混凝土结构设计规范》GB 50010、《钢结构设计规范》GB 50017、《建筑桩基技术规范》JGJ 94等有关规定执行。</w:t>
      </w:r>
    </w:p>
    <w:p>
      <w:pPr>
        <w:spacing w:line="360" w:lineRule="auto"/>
        <w:jc w:val="left"/>
        <w:rPr>
          <w:bCs/>
          <w:color w:val="FF0000"/>
          <w:sz w:val="24"/>
        </w:rPr>
      </w:pPr>
      <w:r>
        <w:rPr>
          <w:rFonts w:hint="eastAsia"/>
          <w:b/>
          <w:color w:val="000000"/>
          <w:sz w:val="24"/>
        </w:rPr>
        <w:t xml:space="preserve">5.5.8  </w:t>
      </w:r>
      <w:r>
        <w:rPr>
          <w:color w:val="000000"/>
          <w:sz w:val="24"/>
        </w:rPr>
        <w:t>被动区</w:t>
      </w:r>
      <w:r>
        <w:rPr>
          <w:rFonts w:hint="eastAsia"/>
          <w:color w:val="000000"/>
          <w:sz w:val="24"/>
        </w:rPr>
        <w:t>土体</w:t>
      </w:r>
      <w:r>
        <w:rPr>
          <w:color w:val="000000"/>
          <w:sz w:val="24"/>
        </w:rPr>
        <w:t>加固</w:t>
      </w:r>
    </w:p>
    <w:p>
      <w:pPr>
        <w:autoSpaceDE w:val="0"/>
        <w:autoSpaceDN w:val="0"/>
        <w:adjustRightInd w:val="0"/>
        <w:spacing w:line="360" w:lineRule="auto"/>
        <w:ind w:firstLine="480" w:firstLineChars="200"/>
        <w:jc w:val="left"/>
        <w:rPr>
          <w:sz w:val="24"/>
        </w:rPr>
      </w:pPr>
      <w:r>
        <w:rPr>
          <w:sz w:val="24"/>
        </w:rPr>
        <w:t>1</w:t>
      </w:r>
      <w:r>
        <w:rPr>
          <w:rFonts w:hint="eastAsia"/>
          <w:sz w:val="24"/>
        </w:rPr>
        <w:t xml:space="preserve"> 软土基坑支护结构稳定性和变形不满足要求时，可在基坑内侧对土体进行加固；</w:t>
      </w:r>
    </w:p>
    <w:p>
      <w:pPr>
        <w:autoSpaceDE w:val="0"/>
        <w:autoSpaceDN w:val="0"/>
        <w:adjustRightInd w:val="0"/>
        <w:spacing w:line="360" w:lineRule="auto"/>
        <w:ind w:firstLine="480" w:firstLineChars="200"/>
        <w:jc w:val="left"/>
        <w:rPr>
          <w:color w:val="000000"/>
          <w:sz w:val="24"/>
        </w:rPr>
      </w:pPr>
      <w:r>
        <w:rPr>
          <w:rFonts w:hint="eastAsia"/>
          <w:color w:val="000000"/>
          <w:sz w:val="24"/>
        </w:rPr>
        <w:t xml:space="preserve">2 </w:t>
      </w:r>
      <w:r>
        <w:rPr>
          <w:color w:val="000000"/>
          <w:sz w:val="24"/>
        </w:rPr>
        <w:t>加固的平面布置形式有满堂式、格栅式、裙边式等</w:t>
      </w:r>
      <w:r>
        <w:rPr>
          <w:rFonts w:hint="eastAsia"/>
          <w:color w:val="000000"/>
          <w:sz w:val="24"/>
        </w:rPr>
        <w:t>；</w:t>
      </w:r>
      <w:r>
        <w:rPr>
          <w:color w:val="000000"/>
          <w:sz w:val="24"/>
        </w:rPr>
        <w:t>竖向布置形式主要</w:t>
      </w:r>
      <w:r>
        <w:rPr>
          <w:rFonts w:hint="eastAsia"/>
          <w:color w:val="000000"/>
          <w:sz w:val="24"/>
        </w:rPr>
        <w:t>有等厚</w:t>
      </w:r>
      <w:r>
        <w:rPr>
          <w:color w:val="000000"/>
          <w:sz w:val="24"/>
        </w:rPr>
        <w:t>式、阶梯式等</w:t>
      </w:r>
      <w:r>
        <w:rPr>
          <w:rFonts w:hint="eastAsia"/>
          <w:color w:val="000000"/>
          <w:sz w:val="24"/>
        </w:rPr>
        <w:t>；</w:t>
      </w:r>
    </w:p>
    <w:p>
      <w:pPr>
        <w:autoSpaceDE w:val="0"/>
        <w:autoSpaceDN w:val="0"/>
        <w:adjustRightInd w:val="0"/>
        <w:spacing w:line="360" w:lineRule="auto"/>
        <w:ind w:firstLine="480" w:firstLineChars="200"/>
        <w:jc w:val="left"/>
        <w:rPr>
          <w:color w:val="000000"/>
          <w:sz w:val="24"/>
        </w:rPr>
      </w:pPr>
      <w:r>
        <w:rPr>
          <w:rFonts w:hint="eastAsia"/>
          <w:color w:val="000000"/>
          <w:sz w:val="24"/>
        </w:rPr>
        <w:t xml:space="preserve">3 </w:t>
      </w:r>
      <w:r>
        <w:rPr>
          <w:color w:val="000000"/>
          <w:sz w:val="24"/>
        </w:rPr>
        <w:t>加固设计需确定加固体布置、置换率、水泥掺量、加固体强度等参数指标，</w:t>
      </w:r>
      <w:r>
        <w:rPr>
          <w:rFonts w:hint="eastAsia"/>
          <w:color w:val="000000"/>
          <w:sz w:val="24"/>
        </w:rPr>
        <w:t>通过</w:t>
      </w:r>
      <w:r>
        <w:rPr>
          <w:color w:val="000000"/>
          <w:sz w:val="24"/>
        </w:rPr>
        <w:t>抽样检测或试验</w:t>
      </w:r>
      <w:r>
        <w:rPr>
          <w:rFonts w:hint="eastAsia"/>
          <w:color w:val="000000"/>
          <w:sz w:val="24"/>
        </w:rPr>
        <w:t>结果确定加固区土体c、φ、m 值；</w:t>
      </w:r>
    </w:p>
    <w:p>
      <w:pPr>
        <w:autoSpaceDE w:val="0"/>
        <w:autoSpaceDN w:val="0"/>
        <w:adjustRightInd w:val="0"/>
        <w:spacing w:line="360" w:lineRule="auto"/>
        <w:ind w:firstLine="480" w:firstLineChars="200"/>
        <w:jc w:val="left"/>
        <w:rPr>
          <w:color w:val="000000"/>
          <w:sz w:val="24"/>
        </w:rPr>
      </w:pPr>
      <w:r>
        <w:rPr>
          <w:rFonts w:hint="eastAsia"/>
          <w:color w:val="000000"/>
          <w:sz w:val="24"/>
        </w:rPr>
        <w:t xml:space="preserve">4 </w:t>
      </w:r>
      <w:r>
        <w:rPr>
          <w:color w:val="000000"/>
          <w:sz w:val="24"/>
        </w:rPr>
        <w:t>加固构造应符合以下要求：</w:t>
      </w:r>
    </w:p>
    <w:p>
      <w:pPr>
        <w:autoSpaceDE w:val="0"/>
        <w:autoSpaceDN w:val="0"/>
        <w:adjustRightInd w:val="0"/>
        <w:spacing w:line="360" w:lineRule="auto"/>
        <w:ind w:left="1095" w:leftChars="350" w:hanging="360" w:hangingChars="150"/>
        <w:jc w:val="left"/>
        <w:rPr>
          <w:color w:val="000000"/>
          <w:sz w:val="24"/>
        </w:rPr>
      </w:pPr>
      <w:r>
        <w:rPr>
          <w:rFonts w:hint="eastAsia"/>
          <w:color w:val="000000"/>
          <w:sz w:val="24"/>
        </w:rPr>
        <w:t>1）被动区加固宜在基坑开挖之前完成；</w:t>
      </w:r>
    </w:p>
    <w:p>
      <w:pPr>
        <w:autoSpaceDE w:val="0"/>
        <w:autoSpaceDN w:val="0"/>
        <w:adjustRightInd w:val="0"/>
        <w:spacing w:line="360" w:lineRule="auto"/>
        <w:ind w:left="1095" w:leftChars="350" w:hanging="360" w:hangingChars="150"/>
        <w:jc w:val="left"/>
        <w:rPr>
          <w:color w:val="000000"/>
          <w:sz w:val="24"/>
        </w:rPr>
      </w:pPr>
      <w:r>
        <w:rPr>
          <w:rFonts w:hint="eastAsia"/>
          <w:color w:val="000000"/>
          <w:sz w:val="24"/>
        </w:rPr>
        <w:t>2）加固体与挡土构件应有效密贴，当挡土构件先于搅拌桩施工时，加固体和挡土构件之间的空隙宜采用旋喷桩或注浆等措施充填；</w:t>
      </w:r>
    </w:p>
    <w:p>
      <w:pPr>
        <w:autoSpaceDE w:val="0"/>
        <w:autoSpaceDN w:val="0"/>
        <w:adjustRightInd w:val="0"/>
        <w:spacing w:line="360" w:lineRule="auto"/>
        <w:ind w:left="1095" w:leftChars="350" w:hanging="360" w:hangingChars="150"/>
        <w:jc w:val="left"/>
        <w:rPr>
          <w:color w:val="000000"/>
          <w:sz w:val="24"/>
        </w:rPr>
      </w:pPr>
      <w:r>
        <w:rPr>
          <w:rFonts w:hint="eastAsia"/>
          <w:color w:val="000000"/>
          <w:sz w:val="24"/>
        </w:rPr>
        <w:t>3）坑底以上空孔段应适量喷浆，水泥掺量不宜小于7％或根据现场试验确定；</w:t>
      </w:r>
    </w:p>
    <w:p>
      <w:pPr>
        <w:autoSpaceDE w:val="0"/>
        <w:autoSpaceDN w:val="0"/>
        <w:adjustRightInd w:val="0"/>
        <w:spacing w:line="360" w:lineRule="auto"/>
        <w:ind w:left="1095" w:leftChars="350" w:hanging="360" w:hangingChars="150"/>
        <w:jc w:val="left"/>
        <w:rPr>
          <w:color w:val="000000"/>
          <w:sz w:val="24"/>
        </w:rPr>
      </w:pPr>
      <w:r>
        <w:rPr>
          <w:rFonts w:hint="eastAsia"/>
          <w:color w:val="000000"/>
          <w:sz w:val="24"/>
        </w:rPr>
        <w:t>4）</w:t>
      </w:r>
      <w:r>
        <w:rPr>
          <w:color w:val="000000"/>
          <w:sz w:val="24"/>
        </w:rPr>
        <w:t>加固</w:t>
      </w:r>
      <w:r>
        <w:rPr>
          <w:rFonts w:hint="eastAsia"/>
          <w:color w:val="000000"/>
          <w:sz w:val="24"/>
        </w:rPr>
        <w:t>宽度根据设计计算确定，加固</w:t>
      </w:r>
      <w:r>
        <w:rPr>
          <w:color w:val="000000"/>
          <w:sz w:val="24"/>
        </w:rPr>
        <w:t>深度</w:t>
      </w:r>
      <w:r>
        <w:rPr>
          <w:rFonts w:hint="eastAsia"/>
          <w:color w:val="000000"/>
          <w:sz w:val="24"/>
        </w:rPr>
        <w:t>宜超过软土深度1~2m。</w:t>
      </w:r>
    </w:p>
    <w:p>
      <w:pPr>
        <w:spacing w:line="360" w:lineRule="auto"/>
        <w:jc w:val="left"/>
        <w:rPr>
          <w:bCs/>
          <w:sz w:val="24"/>
        </w:rPr>
      </w:pPr>
      <w:r>
        <w:rPr>
          <w:b/>
          <w:bCs/>
          <w:sz w:val="24"/>
        </w:rPr>
        <w:t>5.5.</w:t>
      </w:r>
      <w:r>
        <w:rPr>
          <w:rFonts w:hint="eastAsia"/>
          <w:b/>
          <w:bCs/>
          <w:sz w:val="24"/>
        </w:rPr>
        <w:t>9</w:t>
      </w:r>
      <w:r>
        <w:rPr>
          <w:b/>
          <w:bCs/>
          <w:sz w:val="24"/>
        </w:rPr>
        <w:t xml:space="preserve">  </w:t>
      </w:r>
      <w:r>
        <w:rPr>
          <w:bCs/>
          <w:sz w:val="24"/>
        </w:rPr>
        <w:t>排桩支护结构的构造要求</w:t>
      </w:r>
      <w:r>
        <w:rPr>
          <w:rFonts w:hint="eastAsia"/>
          <w:bCs/>
          <w:sz w:val="24"/>
        </w:rPr>
        <w:t>：</w:t>
      </w:r>
    </w:p>
    <w:p>
      <w:pPr>
        <w:spacing w:line="360" w:lineRule="auto"/>
        <w:ind w:firstLine="480" w:firstLineChars="200"/>
        <w:rPr>
          <w:bCs/>
          <w:iCs/>
          <w:sz w:val="24"/>
        </w:rPr>
      </w:pPr>
      <w:r>
        <w:rPr>
          <w:bCs/>
          <w:iCs/>
          <w:sz w:val="24"/>
        </w:rPr>
        <w:t>1  采用混凝土灌注桩时，排桩的桩径、间距、嵌固深度应符合下列规定：</w:t>
      </w:r>
    </w:p>
    <w:p>
      <w:pPr>
        <w:spacing w:line="360" w:lineRule="auto"/>
        <w:ind w:left="1095" w:leftChars="350" w:hanging="360" w:hangingChars="150"/>
        <w:jc w:val="left"/>
        <w:rPr>
          <w:sz w:val="24"/>
        </w:rPr>
      </w:pPr>
      <w:r>
        <w:rPr>
          <w:sz w:val="24"/>
        </w:rPr>
        <w:t>1）桩的直径应根据基坑深度、土层性质和施工场地条件等因素，按其承受的弯矩和剪力值确定，桩径不宜小于600mm；</w:t>
      </w:r>
    </w:p>
    <w:p>
      <w:pPr>
        <w:spacing w:line="360" w:lineRule="auto"/>
        <w:ind w:left="1095" w:leftChars="350" w:hanging="360" w:hangingChars="150"/>
        <w:jc w:val="left"/>
        <w:rPr>
          <w:sz w:val="24"/>
        </w:rPr>
      </w:pPr>
      <w:r>
        <w:rPr>
          <w:sz w:val="24"/>
        </w:rPr>
        <w:t>2）排桩的中心距不宜大于桩直径的2.0倍；</w:t>
      </w:r>
    </w:p>
    <w:p>
      <w:pPr>
        <w:spacing w:line="360" w:lineRule="auto"/>
        <w:ind w:firstLine="480" w:firstLineChars="200"/>
        <w:jc w:val="left"/>
        <w:rPr>
          <w:bCs/>
          <w:iCs/>
          <w:sz w:val="24"/>
        </w:rPr>
      </w:pPr>
      <w:r>
        <w:rPr>
          <w:bCs/>
          <w:iCs/>
          <w:sz w:val="24"/>
        </w:rPr>
        <w:t>2  混凝土灌注桩的配筋、桩身混凝土强度等级和钢筋保护层厚度应符合下列规定：</w:t>
      </w:r>
    </w:p>
    <w:p>
      <w:pPr>
        <w:spacing w:line="360" w:lineRule="auto"/>
        <w:ind w:left="1095" w:leftChars="350" w:hanging="360" w:hangingChars="150"/>
        <w:jc w:val="left"/>
        <w:rPr>
          <w:sz w:val="24"/>
        </w:rPr>
      </w:pPr>
      <w:r>
        <w:rPr>
          <w:sz w:val="24"/>
        </w:rPr>
        <w:t>1）排桩的纵向受力钢筋宜选用HRB400、HRB</w:t>
      </w:r>
      <w:r>
        <w:rPr>
          <w:rFonts w:hint="eastAsia"/>
          <w:sz w:val="24"/>
        </w:rPr>
        <w:t>500</w:t>
      </w:r>
      <w:r>
        <w:rPr>
          <w:sz w:val="24"/>
        </w:rPr>
        <w:t>级钢筋，根数不宜少于8根，净间距不应小于60mm；排桩顶部设置钢筋混凝土构造冠梁时，纵向钢筋锚入冠梁的长度宜取冠梁高度；冠梁按结构受力构件设置时，桩身纵向受力钢筋伸入冠梁的锚固长度应符合《混凝土结构设计规范》GB 50010对钢筋锚固的有关规定；</w:t>
      </w:r>
    </w:p>
    <w:p>
      <w:pPr>
        <w:spacing w:line="360" w:lineRule="auto"/>
        <w:ind w:left="1095" w:leftChars="350" w:hanging="360" w:hangingChars="150"/>
        <w:jc w:val="left"/>
        <w:rPr>
          <w:sz w:val="24"/>
        </w:rPr>
      </w:pPr>
      <w:r>
        <w:rPr>
          <w:sz w:val="24"/>
        </w:rPr>
        <w:t>2）箍筋宜选用HPB300</w:t>
      </w:r>
      <w:r>
        <w:rPr>
          <w:rFonts w:hint="eastAsia"/>
          <w:sz w:val="24"/>
        </w:rPr>
        <w:t>或</w:t>
      </w:r>
      <w:r>
        <w:rPr>
          <w:sz w:val="24"/>
        </w:rPr>
        <w:t>HRB400级钢筋，宜采用螺旋式箍筋，箍筋直径不</w:t>
      </w:r>
      <w:r>
        <w:rPr>
          <w:rFonts w:hint="eastAsia"/>
          <w:sz w:val="24"/>
        </w:rPr>
        <w:t>应小于纵向受力钢筋1/4d，且不</w:t>
      </w:r>
      <w:r>
        <w:rPr>
          <w:sz w:val="24"/>
        </w:rPr>
        <w:t>小于</w:t>
      </w:r>
      <w:r>
        <w:rPr>
          <w:rFonts w:hint="eastAsia"/>
          <w:sz w:val="24"/>
        </w:rPr>
        <w:t>6</w:t>
      </w:r>
      <w:r>
        <w:rPr>
          <w:sz w:val="24"/>
        </w:rPr>
        <w:t>mm，间距宜取100 ～200mm；</w:t>
      </w:r>
    </w:p>
    <w:p>
      <w:pPr>
        <w:spacing w:line="360" w:lineRule="auto"/>
        <w:ind w:left="1095" w:leftChars="350" w:hanging="360" w:hangingChars="150"/>
        <w:jc w:val="left"/>
        <w:rPr>
          <w:sz w:val="24"/>
        </w:rPr>
      </w:pPr>
      <w:r>
        <w:rPr>
          <w:sz w:val="24"/>
        </w:rPr>
        <w:t>3）沿桩身配置的加劲箍应满足钢筋笼起吊安装要求，宜选用HRB400级钢筋，加强筋直径不宜小于12mm，间距宜取1000～2000mm；</w:t>
      </w:r>
    </w:p>
    <w:p>
      <w:pPr>
        <w:spacing w:line="360" w:lineRule="auto"/>
        <w:ind w:left="1095" w:leftChars="350" w:hanging="360" w:hangingChars="150"/>
        <w:jc w:val="left"/>
        <w:rPr>
          <w:sz w:val="24"/>
        </w:rPr>
      </w:pPr>
      <w:r>
        <w:rPr>
          <w:rFonts w:hint="eastAsia"/>
          <w:sz w:val="24"/>
        </w:rPr>
        <w:t>4</w:t>
      </w:r>
      <w:r>
        <w:rPr>
          <w:sz w:val="24"/>
        </w:rPr>
        <w:t>）当采用沿截面周边配置非均匀纵向钢筋时，受压区的纵向钢筋根数不应少于5根；采用水下灌注混凝土工艺且钢筋笼顶端低于泥浆面或钢筋笼顶端低于桩的孔口且不能保证纵向钢筋位置的偏转允许偏差时，应采用沿截面周边均匀配置纵向钢筋的形式；</w:t>
      </w:r>
    </w:p>
    <w:p>
      <w:pPr>
        <w:spacing w:line="360" w:lineRule="auto"/>
        <w:ind w:left="1095" w:leftChars="350" w:hanging="360" w:hangingChars="150"/>
        <w:jc w:val="left"/>
        <w:rPr>
          <w:sz w:val="24"/>
        </w:rPr>
      </w:pPr>
      <w:r>
        <w:rPr>
          <w:rFonts w:hint="eastAsia"/>
          <w:sz w:val="24"/>
        </w:rPr>
        <w:t>5</w:t>
      </w:r>
      <w:r>
        <w:rPr>
          <w:sz w:val="24"/>
        </w:rPr>
        <w:t>）当沿桩身分段配置纵向受力主筋时，分段配置的纵向钢筋</w:t>
      </w:r>
      <w:r>
        <w:rPr>
          <w:rFonts w:hint="eastAsia"/>
          <w:sz w:val="24"/>
        </w:rPr>
        <w:t>的搭接</w:t>
      </w:r>
      <w:r>
        <w:rPr>
          <w:sz w:val="24"/>
        </w:rPr>
        <w:t>长度应符合   《混凝土结构设计规范》GB 50010的相关规定</w:t>
      </w:r>
      <w:r>
        <w:rPr>
          <w:rFonts w:hint="eastAsia"/>
          <w:sz w:val="24"/>
        </w:rPr>
        <w:t>；</w:t>
      </w:r>
    </w:p>
    <w:p>
      <w:pPr>
        <w:spacing w:line="360" w:lineRule="auto"/>
        <w:ind w:left="1095" w:leftChars="350" w:hanging="360" w:hangingChars="150"/>
        <w:jc w:val="left"/>
        <w:rPr>
          <w:sz w:val="24"/>
        </w:rPr>
      </w:pPr>
      <w:r>
        <w:rPr>
          <w:rFonts w:hint="eastAsia"/>
          <w:sz w:val="24"/>
        </w:rPr>
        <w:t>6</w:t>
      </w:r>
      <w:r>
        <w:rPr>
          <w:sz w:val="24"/>
        </w:rPr>
        <w:t>）桩身混凝土强度等级不应低于C25</w:t>
      </w:r>
      <w:r>
        <w:rPr>
          <w:rFonts w:hint="eastAsia"/>
          <w:sz w:val="24"/>
        </w:rPr>
        <w:t>，</w:t>
      </w:r>
      <w:r>
        <w:rPr>
          <w:sz w:val="24"/>
        </w:rPr>
        <w:t>水下</w:t>
      </w:r>
      <w:r>
        <w:rPr>
          <w:rFonts w:hint="eastAsia"/>
          <w:sz w:val="24"/>
        </w:rPr>
        <w:t>浇筑</w:t>
      </w:r>
      <w:r>
        <w:rPr>
          <w:sz w:val="24"/>
        </w:rPr>
        <w:t>混凝土</w:t>
      </w:r>
      <w:r>
        <w:rPr>
          <w:rFonts w:hint="eastAsia"/>
          <w:sz w:val="24"/>
        </w:rPr>
        <w:t>桩的混凝土强度等级不应低于C30</w:t>
      </w:r>
      <w:r>
        <w:rPr>
          <w:sz w:val="24"/>
        </w:rPr>
        <w:t>；</w:t>
      </w:r>
    </w:p>
    <w:p>
      <w:pPr>
        <w:spacing w:line="360" w:lineRule="auto"/>
        <w:ind w:left="1095" w:leftChars="350" w:hanging="360" w:hangingChars="150"/>
        <w:jc w:val="left"/>
        <w:rPr>
          <w:sz w:val="24"/>
        </w:rPr>
      </w:pPr>
      <w:r>
        <w:rPr>
          <w:rFonts w:hint="eastAsia"/>
          <w:sz w:val="24"/>
        </w:rPr>
        <w:t>7</w:t>
      </w:r>
      <w:r>
        <w:rPr>
          <w:sz w:val="24"/>
        </w:rPr>
        <w:t>）纵向受力钢筋的保护层厚度不应小于35mm；采用水下灌注混凝土工艺时，不应小于50mm</w:t>
      </w:r>
      <w:r>
        <w:rPr>
          <w:rFonts w:hint="eastAsia"/>
          <w:sz w:val="24"/>
        </w:rPr>
        <w:t>。</w:t>
      </w:r>
    </w:p>
    <w:p>
      <w:pPr>
        <w:spacing w:line="360" w:lineRule="auto"/>
        <w:ind w:firstLine="480" w:firstLineChars="200"/>
        <w:jc w:val="left"/>
        <w:rPr>
          <w:bCs/>
          <w:iCs/>
          <w:sz w:val="24"/>
        </w:rPr>
      </w:pPr>
      <w:r>
        <w:rPr>
          <w:bCs/>
          <w:iCs/>
          <w:sz w:val="24"/>
        </w:rPr>
        <w:t>3  冠梁</w:t>
      </w:r>
    </w:p>
    <w:p>
      <w:pPr>
        <w:spacing w:line="360" w:lineRule="auto"/>
        <w:ind w:left="1095" w:leftChars="350" w:hanging="360" w:hangingChars="150"/>
        <w:jc w:val="left"/>
        <w:rPr>
          <w:sz w:val="24"/>
        </w:rPr>
      </w:pPr>
      <w:r>
        <w:rPr>
          <w:sz w:val="24"/>
        </w:rPr>
        <w:t>1）排桩顶部应设置冠梁。混凝土冠梁的宽度不宜小于桩径，高度不宜小于桩径   的0. 6倍，混凝土强度等级不宜低于桩身混凝土的强度等级；</w:t>
      </w:r>
    </w:p>
    <w:p>
      <w:pPr>
        <w:spacing w:line="360" w:lineRule="auto"/>
        <w:ind w:left="1095" w:leftChars="350" w:hanging="360" w:hangingChars="150"/>
        <w:jc w:val="left"/>
        <w:rPr>
          <w:sz w:val="24"/>
        </w:rPr>
      </w:pPr>
      <w:r>
        <w:rPr>
          <w:sz w:val="24"/>
        </w:rPr>
        <w:t>2）冠梁钢筋</w:t>
      </w:r>
      <w:r>
        <w:rPr>
          <w:rFonts w:hint="eastAsia"/>
          <w:sz w:val="24"/>
        </w:rPr>
        <w:t>应通过计算确定，且不低于</w:t>
      </w:r>
      <w:r>
        <w:rPr>
          <w:sz w:val="24"/>
        </w:rPr>
        <w:t>构造配筋要求；</w:t>
      </w:r>
    </w:p>
    <w:p>
      <w:pPr>
        <w:spacing w:line="360" w:lineRule="auto"/>
        <w:ind w:left="1095" w:leftChars="350" w:hanging="360" w:hangingChars="150"/>
        <w:jc w:val="left"/>
        <w:rPr>
          <w:sz w:val="24"/>
        </w:rPr>
      </w:pPr>
      <w:r>
        <w:rPr>
          <w:sz w:val="24"/>
        </w:rPr>
        <w:t>3）冠梁纵向钢筋的保护层厚度应符合国家标准《混凝土结构设计规范》GB 50010的有关规定；</w:t>
      </w:r>
    </w:p>
    <w:p>
      <w:pPr>
        <w:spacing w:line="360" w:lineRule="auto"/>
        <w:ind w:left="1095" w:leftChars="350" w:hanging="360" w:hangingChars="150"/>
        <w:jc w:val="left"/>
        <w:rPr>
          <w:sz w:val="24"/>
        </w:rPr>
      </w:pPr>
      <w:r>
        <w:rPr>
          <w:sz w:val="24"/>
        </w:rPr>
        <w:t>4）冠梁纵筋宜采用HRB335级或HRB400级钢筋，箍筋及拉结筋宜采用HPB300   级</w:t>
      </w:r>
      <w:r>
        <w:rPr>
          <w:rFonts w:hint="eastAsia"/>
          <w:sz w:val="24"/>
        </w:rPr>
        <w:t>或</w:t>
      </w:r>
      <w:r>
        <w:rPr>
          <w:sz w:val="24"/>
        </w:rPr>
        <w:t>HRB335级钢筋；</w:t>
      </w:r>
    </w:p>
    <w:p>
      <w:pPr>
        <w:spacing w:line="360" w:lineRule="auto"/>
        <w:ind w:left="1095" w:leftChars="350" w:hanging="360" w:hangingChars="150"/>
        <w:jc w:val="left"/>
        <w:rPr>
          <w:sz w:val="24"/>
        </w:rPr>
      </w:pPr>
      <w:r>
        <w:rPr>
          <w:sz w:val="24"/>
        </w:rPr>
        <w:t>5）冠梁侧面纵筋直径不宜小于20mm，间距不宜大于20</w:t>
      </w:r>
      <w:r>
        <w:rPr>
          <w:rFonts w:hint="eastAsia"/>
          <w:sz w:val="24"/>
        </w:rPr>
        <w:t>0</w:t>
      </w:r>
      <w:r>
        <w:rPr>
          <w:sz w:val="24"/>
        </w:rPr>
        <w:t>mm；顶底面纵筋直径不宜小于20mm，间距不宜大于300mm；箍筋直径不宜小于8mm，间距不宜大于250mm；拉结筋直径宜采用6mm～12mm，间距不宜大于500mm。</w:t>
      </w:r>
    </w:p>
    <w:p>
      <w:pPr>
        <w:spacing w:line="360" w:lineRule="auto"/>
        <w:ind w:firstLine="480" w:firstLineChars="200"/>
        <w:jc w:val="left"/>
        <w:rPr>
          <w:sz w:val="24"/>
        </w:rPr>
      </w:pPr>
      <w:r>
        <w:rPr>
          <w:sz w:val="24"/>
        </w:rPr>
        <w:t>4  双排桩</w:t>
      </w:r>
    </w:p>
    <w:p>
      <w:pPr>
        <w:spacing w:line="360" w:lineRule="auto"/>
        <w:ind w:left="1095" w:leftChars="350" w:hanging="360" w:hangingChars="150"/>
        <w:jc w:val="left"/>
        <w:rPr>
          <w:sz w:val="24"/>
        </w:rPr>
      </w:pPr>
      <w:r>
        <w:rPr>
          <w:sz w:val="24"/>
        </w:rPr>
        <w:t>1）双排桩排距宜取3d～5d。</w:t>
      </w:r>
      <w:r>
        <w:rPr>
          <w:rFonts w:hint="eastAsia"/>
          <w:sz w:val="24"/>
        </w:rPr>
        <w:t>连</w:t>
      </w:r>
      <w:r>
        <w:rPr>
          <w:sz w:val="24"/>
        </w:rPr>
        <w:t>梁的宽度不应小于</w:t>
      </w:r>
      <w:r>
        <w:rPr>
          <w:rFonts w:hint="eastAsia"/>
          <w:sz w:val="24"/>
        </w:rPr>
        <w:t>1</w:t>
      </w:r>
      <w:r>
        <w:rPr>
          <w:sz w:val="24"/>
        </w:rPr>
        <w:t>d，高度不宜小于0. 8d，且不应小于600mm，</w:t>
      </w:r>
      <w:r>
        <w:rPr>
          <w:rFonts w:hint="eastAsia"/>
          <w:sz w:val="24"/>
        </w:rPr>
        <w:t>连</w:t>
      </w:r>
      <w:r>
        <w:rPr>
          <w:sz w:val="24"/>
        </w:rPr>
        <w:t>梁高度与双排桩排距的比值宜取1/6～1/3；</w:t>
      </w:r>
    </w:p>
    <w:p>
      <w:pPr>
        <w:spacing w:line="360" w:lineRule="auto"/>
        <w:ind w:left="1095" w:leftChars="350" w:hanging="360" w:hangingChars="150"/>
        <w:jc w:val="left"/>
        <w:rPr>
          <w:sz w:val="24"/>
        </w:rPr>
      </w:pPr>
      <w:r>
        <w:rPr>
          <w:sz w:val="24"/>
        </w:rPr>
        <w:t>2）双排桩结构的嵌固深度对一般黏性土、砂土，不宜小于0.6h</w:t>
      </w:r>
      <w:r>
        <w:rPr>
          <w:rFonts w:hint="eastAsia"/>
          <w:sz w:val="24"/>
        </w:rPr>
        <w:t>；</w:t>
      </w:r>
      <w:r>
        <w:rPr>
          <w:sz w:val="24"/>
        </w:rPr>
        <w:t>对于淤泥、淤泥质土，应予穿透至稳定地层内一定深度</w:t>
      </w:r>
      <w:r>
        <w:rPr>
          <w:rFonts w:hint="eastAsia"/>
          <w:sz w:val="24"/>
        </w:rPr>
        <w:t>；</w:t>
      </w:r>
      <w:r>
        <w:rPr>
          <w:sz w:val="24"/>
        </w:rPr>
        <w:t>前排桩桩端宜处于桩端阻力较高的土层</w:t>
      </w:r>
      <w:r>
        <w:rPr>
          <w:rFonts w:hint="eastAsia"/>
          <w:sz w:val="24"/>
        </w:rPr>
        <w:t>；</w:t>
      </w:r>
      <w:r>
        <w:rPr>
          <w:sz w:val="24"/>
        </w:rPr>
        <w:t>用泥浆护壁灌注桩时，施工时的孔底沉渣厚度不应大于50mm</w:t>
      </w:r>
      <w:r>
        <w:rPr>
          <w:rFonts w:hint="eastAsia"/>
          <w:sz w:val="24"/>
        </w:rPr>
        <w:t>；</w:t>
      </w:r>
      <w:r>
        <w:rPr>
          <w:sz w:val="24"/>
        </w:rPr>
        <w:t>双排桩的桩间土为软土、松散砂层时，</w:t>
      </w:r>
      <w:r>
        <w:rPr>
          <w:rFonts w:hint="eastAsia"/>
          <w:sz w:val="24"/>
        </w:rPr>
        <w:t>宜</w:t>
      </w:r>
      <w:r>
        <w:rPr>
          <w:sz w:val="24"/>
        </w:rPr>
        <w:t>对桩间土进行加固；</w:t>
      </w:r>
    </w:p>
    <w:p>
      <w:pPr>
        <w:spacing w:line="360" w:lineRule="auto"/>
        <w:ind w:left="1095" w:leftChars="350" w:hanging="360" w:hangingChars="150"/>
        <w:jc w:val="left"/>
        <w:rPr>
          <w:sz w:val="24"/>
        </w:rPr>
      </w:pPr>
      <w:r>
        <w:rPr>
          <w:sz w:val="24"/>
        </w:rPr>
        <w:t>3）双排桩应按偏心受压、偏心受拉构件进行截面承载力计算</w:t>
      </w:r>
      <w:r>
        <w:rPr>
          <w:rFonts w:hint="eastAsia"/>
          <w:sz w:val="24"/>
        </w:rPr>
        <w:t>，连</w:t>
      </w:r>
      <w:r>
        <w:rPr>
          <w:sz w:val="24"/>
        </w:rPr>
        <w:t>梁应根据其跨高比按普通受弯构件或深受弯构件进行截面承载力计算</w:t>
      </w:r>
      <w:r>
        <w:rPr>
          <w:rFonts w:hint="eastAsia"/>
          <w:sz w:val="24"/>
        </w:rPr>
        <w:t>；</w:t>
      </w:r>
      <w:r>
        <w:rPr>
          <w:sz w:val="24"/>
        </w:rPr>
        <w:t>双排桩结构的截面承载力和构造应符合国家标准《混凝土结构设计规范》GB 50010的有关规定；</w:t>
      </w:r>
    </w:p>
    <w:p>
      <w:pPr>
        <w:spacing w:line="360" w:lineRule="auto"/>
        <w:ind w:left="1095" w:leftChars="350" w:hanging="360" w:hangingChars="150"/>
        <w:jc w:val="left"/>
        <w:rPr>
          <w:sz w:val="24"/>
        </w:rPr>
      </w:pPr>
      <w:r>
        <w:rPr>
          <w:sz w:val="24"/>
        </w:rPr>
        <w:t>4）双排桩与刚架节点处，桩</w:t>
      </w:r>
      <w:r>
        <w:rPr>
          <w:rFonts w:hint="eastAsia"/>
          <w:sz w:val="24"/>
        </w:rPr>
        <w:t>的受拉钢筋与连</w:t>
      </w:r>
      <w:r>
        <w:rPr>
          <w:sz w:val="24"/>
        </w:rPr>
        <w:t>梁受拉钢筋的搭接长度不应小于受拉钢筋的锚固长度1. 5</w:t>
      </w:r>
      <w:r>
        <w:rPr>
          <w:rFonts w:hint="eastAsia"/>
          <w:sz w:val="24"/>
        </w:rPr>
        <w:t>倍，</w:t>
      </w:r>
      <w:r>
        <w:rPr>
          <w:sz w:val="24"/>
        </w:rPr>
        <w:t>其节点构造尚应符合国家标准《混凝土结构设计规范》GB 50010对框架顶层端节点的有关规定。</w:t>
      </w:r>
    </w:p>
    <w:p>
      <w:pPr>
        <w:spacing w:line="360" w:lineRule="auto"/>
        <w:rPr>
          <w:sz w:val="24"/>
        </w:rPr>
      </w:pPr>
      <w:r>
        <w:rPr>
          <w:b/>
          <w:sz w:val="24"/>
        </w:rPr>
        <w:t>5.5.1</w:t>
      </w:r>
      <w:r>
        <w:rPr>
          <w:rFonts w:hint="eastAsia"/>
          <w:b/>
          <w:sz w:val="24"/>
        </w:rPr>
        <w:t>0</w:t>
      </w:r>
      <w:r>
        <w:rPr>
          <w:b/>
          <w:sz w:val="24"/>
        </w:rPr>
        <w:t xml:space="preserve">  </w:t>
      </w:r>
      <w:r>
        <w:rPr>
          <w:sz w:val="24"/>
        </w:rPr>
        <w:t>排桩支护施工控制要点</w:t>
      </w:r>
    </w:p>
    <w:p>
      <w:pPr>
        <w:spacing w:line="360" w:lineRule="auto"/>
        <w:ind w:firstLine="480" w:firstLineChars="200"/>
        <w:jc w:val="left"/>
        <w:rPr>
          <w:bCs/>
          <w:iCs/>
          <w:sz w:val="24"/>
        </w:rPr>
      </w:pPr>
      <w:r>
        <w:rPr>
          <w:bCs/>
          <w:iCs/>
          <w:sz w:val="24"/>
        </w:rPr>
        <w:t xml:space="preserve">1  </w:t>
      </w:r>
      <w:r>
        <w:rPr>
          <w:sz w:val="24"/>
        </w:rPr>
        <w:t>当排桩桩位邻近的既有建筑物、地下管线、地下构筑物对地基变形敏感时，</w:t>
      </w:r>
      <w:r>
        <w:rPr>
          <w:rFonts w:hint="eastAsia"/>
          <w:sz w:val="24"/>
        </w:rPr>
        <w:t>应</w:t>
      </w:r>
      <w:r>
        <w:rPr>
          <w:sz w:val="24"/>
        </w:rPr>
        <w:t>采取下列</w:t>
      </w:r>
      <w:r>
        <w:rPr>
          <w:rFonts w:hint="eastAsia"/>
          <w:sz w:val="24"/>
        </w:rPr>
        <w:t>控制地基变形的防护</w:t>
      </w:r>
      <w:r>
        <w:rPr>
          <w:sz w:val="24"/>
        </w:rPr>
        <w:t>措施：</w:t>
      </w:r>
    </w:p>
    <w:p>
      <w:pPr>
        <w:spacing w:line="360" w:lineRule="auto"/>
        <w:ind w:left="1095" w:leftChars="350" w:hanging="360" w:hangingChars="150"/>
        <w:jc w:val="left"/>
        <w:rPr>
          <w:sz w:val="24"/>
        </w:rPr>
      </w:pPr>
      <w:r>
        <w:rPr>
          <w:sz w:val="24"/>
        </w:rPr>
        <w:t>1）宜采取间隔成桩的施工顺序；</w:t>
      </w:r>
    </w:p>
    <w:p>
      <w:pPr>
        <w:spacing w:line="360" w:lineRule="auto"/>
        <w:ind w:left="1095" w:leftChars="350" w:hanging="360" w:hangingChars="150"/>
        <w:jc w:val="left"/>
        <w:rPr>
          <w:sz w:val="24"/>
        </w:rPr>
      </w:pPr>
      <w:r>
        <w:rPr>
          <w:sz w:val="24"/>
        </w:rPr>
        <w:t>2）松散或稍密的砂土、稍密的粉土、软土等易坍塌或流动的软弱土层</w:t>
      </w:r>
      <w:r>
        <w:rPr>
          <w:rFonts w:hint="eastAsia"/>
          <w:sz w:val="24"/>
        </w:rPr>
        <w:t>中的</w:t>
      </w:r>
      <w:r>
        <w:rPr>
          <w:sz w:val="24"/>
        </w:rPr>
        <w:t>钻孔灌注桩宜采取改善泥浆性能或钢套管护壁等措施；</w:t>
      </w:r>
    </w:p>
    <w:p>
      <w:pPr>
        <w:spacing w:line="360" w:lineRule="auto"/>
        <w:ind w:left="1095" w:leftChars="350" w:hanging="360" w:hangingChars="150"/>
        <w:jc w:val="left"/>
        <w:rPr>
          <w:sz w:val="24"/>
        </w:rPr>
      </w:pPr>
      <w:r>
        <w:rPr>
          <w:sz w:val="24"/>
        </w:rPr>
        <w:t>3）支护桩成孔过程出现流砂、塌孔、缩径等异常情况时，应暂停成孔并及时采   取有针对性的措施进行处理；</w:t>
      </w:r>
    </w:p>
    <w:p>
      <w:pPr>
        <w:spacing w:line="360" w:lineRule="auto"/>
        <w:ind w:left="1095" w:leftChars="350" w:hanging="360" w:hangingChars="150"/>
        <w:jc w:val="left"/>
        <w:rPr>
          <w:sz w:val="24"/>
        </w:rPr>
      </w:pPr>
      <w:r>
        <w:rPr>
          <w:sz w:val="24"/>
        </w:rPr>
        <w:t>4）当成孔过程中遇到不明障碍物时，</w:t>
      </w:r>
      <w:r>
        <w:rPr>
          <w:rFonts w:hint="eastAsia"/>
          <w:sz w:val="24"/>
        </w:rPr>
        <w:t>应</w:t>
      </w:r>
      <w:r>
        <w:rPr>
          <w:sz w:val="24"/>
        </w:rPr>
        <w:t>查明</w:t>
      </w:r>
      <w:r>
        <w:rPr>
          <w:rFonts w:hint="eastAsia"/>
          <w:sz w:val="24"/>
        </w:rPr>
        <w:t>情况并采取措施后方能</w:t>
      </w:r>
      <w:r>
        <w:rPr>
          <w:sz w:val="24"/>
        </w:rPr>
        <w:t>继续施工。</w:t>
      </w:r>
    </w:p>
    <w:p>
      <w:pPr>
        <w:spacing w:line="360" w:lineRule="auto"/>
        <w:ind w:firstLine="480" w:firstLineChars="200"/>
        <w:jc w:val="left"/>
        <w:rPr>
          <w:bCs/>
          <w:iCs/>
          <w:sz w:val="24"/>
        </w:rPr>
      </w:pPr>
      <w:r>
        <w:rPr>
          <w:bCs/>
          <w:iCs/>
          <w:sz w:val="24"/>
        </w:rPr>
        <w:t>2  钢筋笼制作</w:t>
      </w:r>
      <w:r>
        <w:rPr>
          <w:rFonts w:hint="eastAsia"/>
          <w:bCs/>
          <w:iCs/>
          <w:sz w:val="24"/>
        </w:rPr>
        <w:t>及安装</w:t>
      </w:r>
    </w:p>
    <w:p>
      <w:pPr>
        <w:spacing w:line="360" w:lineRule="auto"/>
        <w:ind w:firstLine="480" w:firstLineChars="200"/>
        <w:jc w:val="left"/>
        <w:rPr>
          <w:sz w:val="24"/>
        </w:rPr>
      </w:pPr>
      <w:r>
        <w:rPr>
          <w:sz w:val="24"/>
        </w:rPr>
        <w:t>纵向受力钢筋的接头不宜设置在内力较大处</w:t>
      </w:r>
      <w:r>
        <w:rPr>
          <w:rFonts w:hint="eastAsia"/>
          <w:sz w:val="24"/>
        </w:rPr>
        <w:t>，</w:t>
      </w:r>
      <w:r>
        <w:rPr>
          <w:sz w:val="24"/>
        </w:rPr>
        <w:t>同一连接区段内，纵向受力钢筋的连接方式和连接接头面积百分率应符合国家标准《混凝土结构设计规范》GB50010对梁类构件的规定。</w:t>
      </w:r>
    </w:p>
    <w:p>
      <w:pPr>
        <w:spacing w:line="360" w:lineRule="auto"/>
        <w:ind w:left="1095" w:leftChars="350" w:hanging="360" w:hangingChars="150"/>
        <w:jc w:val="left"/>
        <w:rPr>
          <w:sz w:val="24"/>
        </w:rPr>
      </w:pPr>
      <w:r>
        <w:rPr>
          <w:sz w:val="24"/>
        </w:rPr>
        <w:t>1）混凝土灌注桩采用沿纵向分段配置不同钢筋数量时，钢筋笼制作和安放时应采取控制非通长钢筋竖向定位的措施；</w:t>
      </w:r>
    </w:p>
    <w:p>
      <w:pPr>
        <w:spacing w:line="360" w:lineRule="auto"/>
        <w:ind w:left="1095" w:leftChars="350" w:hanging="360" w:hangingChars="150"/>
        <w:jc w:val="left"/>
        <w:rPr>
          <w:sz w:val="24"/>
        </w:rPr>
      </w:pPr>
      <w:r>
        <w:rPr>
          <w:sz w:val="24"/>
        </w:rPr>
        <w:t>2）混凝土灌注桩采用沿桩截面周边非均匀配置纵向受力钢筋时应按设计的钢筋配置方向进行安放，其偏转角度不得大于10度；</w:t>
      </w:r>
    </w:p>
    <w:p>
      <w:pPr>
        <w:spacing w:line="360" w:lineRule="auto"/>
        <w:ind w:left="1095" w:leftChars="350" w:hanging="360" w:hangingChars="150"/>
        <w:jc w:val="left"/>
        <w:rPr>
          <w:sz w:val="24"/>
        </w:rPr>
      </w:pPr>
      <w:r>
        <w:rPr>
          <w:sz w:val="24"/>
        </w:rPr>
        <w:t>3）混凝土灌注桩</w:t>
      </w:r>
      <w:r>
        <w:rPr>
          <w:rFonts w:hint="eastAsia"/>
          <w:sz w:val="24"/>
        </w:rPr>
        <w:t>中</w:t>
      </w:r>
      <w:r>
        <w:rPr>
          <w:sz w:val="24"/>
        </w:rPr>
        <w:t>设有预埋件时，应根据预埋件的用途和受力特点的要求，控制其安装位置及方向；</w:t>
      </w:r>
    </w:p>
    <w:p>
      <w:pPr>
        <w:spacing w:line="360" w:lineRule="auto"/>
        <w:ind w:left="1095" w:leftChars="350" w:hanging="360" w:hangingChars="150"/>
        <w:jc w:val="left"/>
        <w:rPr>
          <w:sz w:val="24"/>
        </w:rPr>
      </w:pPr>
      <w:r>
        <w:rPr>
          <w:sz w:val="24"/>
        </w:rPr>
        <w:t>4）钢筋笼制作安装时，主筋竖向长度允许偏差为±50mm；主筋间距允许偏差为±10mm；箍筋间距允许偏差为±</w:t>
      </w:r>
      <w:r>
        <w:rPr>
          <w:rFonts w:hint="eastAsia"/>
          <w:sz w:val="24"/>
        </w:rPr>
        <w:t>2</w:t>
      </w:r>
      <w:r>
        <w:rPr>
          <w:sz w:val="24"/>
        </w:rPr>
        <w:t>0mm</w:t>
      </w:r>
      <w:r>
        <w:rPr>
          <w:rFonts w:hint="eastAsia"/>
          <w:sz w:val="24"/>
        </w:rPr>
        <w:t>，钢筋笼直径的允许偏差为</w:t>
      </w:r>
      <w:r>
        <w:rPr>
          <w:sz w:val="24"/>
        </w:rPr>
        <w:t>±</w:t>
      </w:r>
      <w:r>
        <w:rPr>
          <w:rFonts w:hint="eastAsia"/>
          <w:sz w:val="24"/>
        </w:rPr>
        <w:t>1</w:t>
      </w:r>
      <w:r>
        <w:rPr>
          <w:sz w:val="24"/>
        </w:rPr>
        <w:t>0mm。</w:t>
      </w:r>
    </w:p>
    <w:p>
      <w:pPr>
        <w:spacing w:line="360" w:lineRule="auto"/>
        <w:ind w:firstLine="480" w:firstLineChars="200"/>
        <w:jc w:val="left"/>
        <w:rPr>
          <w:bCs/>
          <w:iCs/>
          <w:sz w:val="24"/>
        </w:rPr>
      </w:pPr>
      <w:r>
        <w:rPr>
          <w:bCs/>
          <w:iCs/>
          <w:sz w:val="24"/>
        </w:rPr>
        <w:t xml:space="preserve">3  </w:t>
      </w:r>
      <w:r>
        <w:rPr>
          <w:sz w:val="24"/>
        </w:rPr>
        <w:t>钻孔咬合桩施工可采用液压钢套管全长护壁，机械冲抓成孔工艺。咬合桩施工应符合下列要求：</w:t>
      </w:r>
    </w:p>
    <w:p>
      <w:pPr>
        <w:spacing w:line="360" w:lineRule="auto"/>
        <w:ind w:left="1200" w:leftChars="343" w:hanging="480" w:hangingChars="200"/>
        <w:jc w:val="left"/>
        <w:rPr>
          <w:sz w:val="24"/>
        </w:rPr>
      </w:pPr>
      <w:r>
        <w:rPr>
          <w:sz w:val="24"/>
        </w:rPr>
        <w:t>1）桩顶应设置混凝土导墙，导墙</w:t>
      </w:r>
      <w:r>
        <w:rPr>
          <w:rFonts w:hint="eastAsia"/>
          <w:sz w:val="24"/>
        </w:rPr>
        <w:t>宽</w:t>
      </w:r>
      <w:r>
        <w:rPr>
          <w:sz w:val="24"/>
        </w:rPr>
        <w:t>度宜取</w:t>
      </w:r>
      <w:r>
        <w:rPr>
          <w:rFonts w:hint="eastAsia"/>
          <w:sz w:val="24"/>
        </w:rPr>
        <w:t>1.0</w:t>
      </w:r>
      <w:r>
        <w:rPr>
          <w:sz w:val="24"/>
        </w:rPr>
        <w:t>m～</w:t>
      </w:r>
      <w:r>
        <w:rPr>
          <w:rFonts w:hint="eastAsia"/>
          <w:sz w:val="24"/>
        </w:rPr>
        <w:t>1.5</w:t>
      </w:r>
      <w:r>
        <w:rPr>
          <w:sz w:val="24"/>
        </w:rPr>
        <w:t>m，导墙厚度宜取0. 3m～0. 5m；</w:t>
      </w:r>
    </w:p>
    <w:p>
      <w:pPr>
        <w:spacing w:line="360" w:lineRule="auto"/>
        <w:ind w:left="989" w:leftChars="342" w:hanging="271" w:hangingChars="113"/>
        <w:jc w:val="left"/>
        <w:rPr>
          <w:sz w:val="24"/>
        </w:rPr>
      </w:pPr>
      <w:r>
        <w:rPr>
          <w:sz w:val="24"/>
        </w:rPr>
        <w:t>2) 相邻咬合桩应按先施工素混凝土桩、后施工钢筋混凝土桩的顺序进行；钢筋   混凝土桩应在素混凝土桩</w:t>
      </w:r>
      <w:r>
        <w:rPr>
          <w:rFonts w:hint="eastAsia"/>
          <w:sz w:val="24"/>
        </w:rPr>
        <w:t>初凝后、终</w:t>
      </w:r>
      <w:r>
        <w:rPr>
          <w:sz w:val="24"/>
        </w:rPr>
        <w:t>凝前</w:t>
      </w:r>
      <w:r>
        <w:rPr>
          <w:rFonts w:hint="eastAsia"/>
          <w:sz w:val="24"/>
        </w:rPr>
        <w:t>完成</w:t>
      </w:r>
      <w:r>
        <w:rPr>
          <w:sz w:val="24"/>
        </w:rPr>
        <w:t>；</w:t>
      </w:r>
    </w:p>
    <w:p>
      <w:pPr>
        <w:spacing w:line="360" w:lineRule="auto"/>
        <w:ind w:left="1078" w:leftChars="342" w:hanging="360" w:hangingChars="150"/>
        <w:jc w:val="left"/>
        <w:rPr>
          <w:sz w:val="24"/>
        </w:rPr>
      </w:pPr>
      <w:r>
        <w:rPr>
          <w:sz w:val="24"/>
        </w:rPr>
        <w:t>3）钻机就位及吊设第一节套管时，应采用两个测斜仪贴附在套管外壁并用经纬仪复核套管垂直度，其垂直度偏差不应大于</w:t>
      </w:r>
      <w:r>
        <w:rPr>
          <w:rFonts w:hint="eastAsia"/>
          <w:sz w:val="24"/>
        </w:rPr>
        <w:t>0.3</w:t>
      </w:r>
      <w:r>
        <w:rPr>
          <w:sz w:val="24"/>
        </w:rPr>
        <w:t>%。液压套管应正反扭动加压下切。管内抓斗取土时，套管底部应始终位于抓土面下方，抓土面与套管底的距离应大于1m；</w:t>
      </w:r>
    </w:p>
    <w:p>
      <w:pPr>
        <w:spacing w:line="360" w:lineRule="auto"/>
        <w:ind w:left="1078" w:leftChars="342" w:hanging="360" w:hangingChars="150"/>
        <w:jc w:val="left"/>
        <w:rPr>
          <w:sz w:val="24"/>
        </w:rPr>
      </w:pPr>
      <w:r>
        <w:rPr>
          <w:sz w:val="24"/>
        </w:rPr>
        <w:t>4）孔内虚土和沉渣应清除干净，并用抓斗夯实孔底；灌注混凝土时，套管应随混凝土浇注逐段提拔；套管应垂直提拔，阻力过大时应转动套管同时缓慢提拔。</w:t>
      </w:r>
    </w:p>
    <w:p>
      <w:pPr>
        <w:spacing w:line="360" w:lineRule="auto"/>
        <w:ind w:firstLine="480" w:firstLineChars="200"/>
        <w:jc w:val="left"/>
        <w:rPr>
          <w:bCs/>
          <w:iCs/>
          <w:sz w:val="24"/>
        </w:rPr>
      </w:pPr>
      <w:r>
        <w:rPr>
          <w:bCs/>
          <w:iCs/>
          <w:sz w:val="24"/>
        </w:rPr>
        <w:t>4  冠梁</w:t>
      </w:r>
      <w:r>
        <w:rPr>
          <w:rFonts w:hint="eastAsia"/>
          <w:bCs/>
          <w:iCs/>
          <w:sz w:val="24"/>
        </w:rPr>
        <w:t>及连梁</w:t>
      </w:r>
      <w:r>
        <w:rPr>
          <w:bCs/>
          <w:iCs/>
          <w:sz w:val="24"/>
        </w:rPr>
        <w:t>的施工要求</w:t>
      </w:r>
    </w:p>
    <w:p>
      <w:pPr>
        <w:spacing w:line="360" w:lineRule="auto"/>
        <w:ind w:left="1078" w:leftChars="342" w:hanging="360" w:hangingChars="150"/>
        <w:jc w:val="left"/>
        <w:rPr>
          <w:sz w:val="24"/>
        </w:rPr>
      </w:pPr>
      <w:r>
        <w:rPr>
          <w:sz w:val="24"/>
        </w:rPr>
        <w:t>1）绑扎钢筋前应将混凝土灌注桩桩头的浮浆和不满足设计强度要求的混凝土凿除；</w:t>
      </w:r>
    </w:p>
    <w:p>
      <w:pPr>
        <w:spacing w:line="360" w:lineRule="auto"/>
        <w:ind w:left="1078" w:leftChars="342" w:hanging="360" w:hangingChars="150"/>
        <w:jc w:val="left"/>
        <w:rPr>
          <w:sz w:val="24"/>
        </w:rPr>
      </w:pPr>
      <w:r>
        <w:rPr>
          <w:sz w:val="24"/>
        </w:rPr>
        <w:t>2）模板宜选用钢模板或木模板；梁底面采用土面作为模板时，应对土面进行修整、清平，对凹面应填平夯实；</w:t>
      </w:r>
    </w:p>
    <w:p>
      <w:pPr>
        <w:spacing w:line="360" w:lineRule="auto"/>
        <w:ind w:left="1078" w:leftChars="342" w:hanging="360" w:hangingChars="150"/>
        <w:jc w:val="left"/>
        <w:rPr>
          <w:sz w:val="24"/>
        </w:rPr>
      </w:pPr>
      <w:r>
        <w:rPr>
          <w:sz w:val="24"/>
        </w:rPr>
        <w:t>3）施工除应符合上述要求外，尚应符合《混凝土结构工程施工质量验收规范》GB 50204的有关规定。</w:t>
      </w:r>
    </w:p>
    <w:p>
      <w:pPr>
        <w:spacing w:line="360" w:lineRule="auto"/>
        <w:ind w:firstLine="480" w:firstLineChars="200"/>
        <w:jc w:val="left"/>
        <w:rPr>
          <w:sz w:val="24"/>
        </w:rPr>
      </w:pPr>
      <w:r>
        <w:rPr>
          <w:bCs/>
          <w:iCs/>
          <w:sz w:val="24"/>
        </w:rPr>
        <w:t xml:space="preserve">5  </w:t>
      </w:r>
      <w:r>
        <w:rPr>
          <w:sz w:val="24"/>
        </w:rPr>
        <w:t>排桩的施工偏差应符合下列规定：</w:t>
      </w:r>
    </w:p>
    <w:p>
      <w:pPr>
        <w:spacing w:line="360" w:lineRule="auto"/>
        <w:ind w:left="1078" w:leftChars="342" w:hanging="360" w:hangingChars="150"/>
        <w:jc w:val="left"/>
        <w:rPr>
          <w:sz w:val="24"/>
        </w:rPr>
      </w:pPr>
      <w:r>
        <w:rPr>
          <w:sz w:val="24"/>
        </w:rPr>
        <w:t>1）桩位的</w:t>
      </w:r>
      <w:r>
        <w:rPr>
          <w:rFonts w:hint="eastAsia"/>
          <w:sz w:val="24"/>
        </w:rPr>
        <w:t>允</w:t>
      </w:r>
      <w:r>
        <w:rPr>
          <w:sz w:val="24"/>
        </w:rPr>
        <w:t>许偏差应为50mm；</w:t>
      </w:r>
    </w:p>
    <w:p>
      <w:pPr>
        <w:spacing w:line="360" w:lineRule="auto"/>
        <w:ind w:left="1078" w:leftChars="342" w:hanging="360" w:hangingChars="150"/>
        <w:jc w:val="left"/>
        <w:rPr>
          <w:sz w:val="24"/>
        </w:rPr>
      </w:pPr>
      <w:r>
        <w:rPr>
          <w:sz w:val="24"/>
        </w:rPr>
        <w:t>2）桩垂直度的允许偏差应为0.</w:t>
      </w:r>
      <w:r>
        <w:rPr>
          <w:rFonts w:hint="eastAsia"/>
          <w:sz w:val="24"/>
        </w:rPr>
        <w:t>5</w:t>
      </w:r>
      <w:r>
        <w:rPr>
          <w:sz w:val="24"/>
        </w:rPr>
        <w:t>%</w:t>
      </w:r>
      <w:r>
        <w:rPr>
          <w:rFonts w:hint="eastAsia"/>
          <w:sz w:val="24"/>
        </w:rPr>
        <w:t>；</w:t>
      </w:r>
    </w:p>
    <w:p>
      <w:pPr>
        <w:spacing w:line="360" w:lineRule="auto"/>
        <w:ind w:left="1078" w:leftChars="342" w:hanging="360" w:hangingChars="150"/>
        <w:jc w:val="left"/>
        <w:rPr>
          <w:sz w:val="24"/>
        </w:rPr>
      </w:pPr>
      <w:r>
        <w:rPr>
          <w:rFonts w:hint="eastAsia"/>
          <w:sz w:val="24"/>
        </w:rPr>
        <w:t>3）桩长、桩径不小于设计要求</w:t>
      </w:r>
      <w:r>
        <w:rPr>
          <w:sz w:val="24"/>
        </w:rPr>
        <w:t>；</w:t>
      </w:r>
    </w:p>
    <w:p>
      <w:pPr>
        <w:spacing w:line="360" w:lineRule="auto"/>
        <w:ind w:left="1078" w:leftChars="342" w:hanging="360" w:hangingChars="150"/>
        <w:jc w:val="left"/>
        <w:rPr>
          <w:sz w:val="24"/>
        </w:rPr>
      </w:pPr>
      <w:r>
        <w:rPr>
          <w:rFonts w:hint="eastAsia"/>
          <w:sz w:val="24"/>
        </w:rPr>
        <w:t>4</w:t>
      </w:r>
      <w:r>
        <w:rPr>
          <w:sz w:val="24"/>
        </w:rPr>
        <w:t>）桩的其他施工允许偏差</w:t>
      </w:r>
      <w:r>
        <w:rPr>
          <w:rFonts w:hint="eastAsia"/>
          <w:sz w:val="24"/>
        </w:rPr>
        <w:t>尚</w:t>
      </w:r>
      <w:r>
        <w:rPr>
          <w:sz w:val="24"/>
        </w:rPr>
        <w:t>应符合</w:t>
      </w:r>
      <w:r>
        <w:rPr>
          <w:rFonts w:hint="eastAsia"/>
          <w:sz w:val="24"/>
        </w:rPr>
        <w:t>国家标准《建筑地基基础工程施工质量验收标准》GB50202的有关规定</w:t>
      </w:r>
      <w:r>
        <w:rPr>
          <w:sz w:val="24"/>
        </w:rPr>
        <w:t>。</w:t>
      </w:r>
    </w:p>
    <w:p>
      <w:pPr>
        <w:spacing w:line="360" w:lineRule="auto"/>
        <w:jc w:val="center"/>
        <w:outlineLvl w:val="1"/>
        <w:rPr>
          <w:b/>
          <w:sz w:val="24"/>
        </w:rPr>
      </w:pPr>
      <w:bookmarkStart w:id="53" w:name="_Toc87018268"/>
      <w:bookmarkStart w:id="54" w:name="_Toc87018337"/>
      <w:r>
        <w:rPr>
          <w:b/>
          <w:sz w:val="24"/>
        </w:rPr>
        <w:t>5.</w:t>
      </w:r>
      <w:r>
        <w:rPr>
          <w:rFonts w:hint="eastAsia"/>
          <w:b/>
          <w:sz w:val="24"/>
        </w:rPr>
        <w:t>6</w:t>
      </w:r>
      <w:r>
        <w:rPr>
          <w:b/>
          <w:sz w:val="24"/>
        </w:rPr>
        <w:t xml:space="preserve">  桩锚支护</w:t>
      </w:r>
      <w:bookmarkEnd w:id="53"/>
      <w:bookmarkEnd w:id="54"/>
    </w:p>
    <w:p>
      <w:pPr>
        <w:tabs>
          <w:tab w:val="left" w:pos="420"/>
        </w:tabs>
        <w:spacing w:line="360" w:lineRule="auto"/>
        <w:rPr>
          <w:sz w:val="24"/>
        </w:rPr>
      </w:pPr>
      <w:r>
        <w:rPr>
          <w:b/>
          <w:sz w:val="24"/>
        </w:rPr>
        <w:t>5.6.1</w:t>
      </w:r>
      <w:r>
        <w:rPr>
          <w:b/>
          <w:color w:val="FF0000"/>
          <w:sz w:val="24"/>
        </w:rPr>
        <w:t xml:space="preserve">  </w:t>
      </w:r>
      <w:r>
        <w:rPr>
          <w:sz w:val="24"/>
        </w:rPr>
        <w:t>桩锚支护</w:t>
      </w:r>
      <w:r>
        <w:rPr>
          <w:rFonts w:hint="eastAsia"/>
          <w:sz w:val="24"/>
        </w:rPr>
        <w:t>结构</w:t>
      </w:r>
      <w:r>
        <w:rPr>
          <w:sz w:val="24"/>
        </w:rPr>
        <w:t>的选型和适用范围</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 xml:space="preserve">1  </w:t>
      </w:r>
      <w:r>
        <w:rPr>
          <w:rFonts w:hint="eastAsia" w:ascii="Times New Roman" w:hAnsi="Times New Roman" w:cs="Times New Roman"/>
          <w:color w:val="auto"/>
        </w:rPr>
        <w:t>支护桩的选型按5.2条执行；</w:t>
      </w:r>
    </w:p>
    <w:p>
      <w:pPr>
        <w:pStyle w:val="74"/>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 xml:space="preserve">  易塌孔</w:t>
      </w:r>
      <w:r>
        <w:rPr>
          <w:rFonts w:hint="eastAsia" w:ascii="Times New Roman" w:hAnsi="Times New Roman" w:cs="Times New Roman"/>
          <w:color w:val="auto"/>
        </w:rPr>
        <w:t>地层中的</w:t>
      </w:r>
      <w:r>
        <w:rPr>
          <w:rFonts w:ascii="Times New Roman" w:hAnsi="Times New Roman" w:cs="Times New Roman"/>
          <w:color w:val="auto"/>
        </w:rPr>
        <w:t>锚杆宜采用套管护壁成孔工艺</w:t>
      </w:r>
      <w:r>
        <w:rPr>
          <w:rFonts w:hint="eastAsia" w:ascii="Times New Roman" w:hAnsi="Times New Roman" w:cs="Times New Roman"/>
          <w:color w:val="auto"/>
        </w:rPr>
        <w:t>；</w:t>
      </w:r>
    </w:p>
    <w:p>
      <w:pPr>
        <w:pStyle w:val="74"/>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 xml:space="preserve">3  </w:t>
      </w:r>
      <w:r>
        <w:rPr>
          <w:rFonts w:ascii="Times New Roman" w:hAnsi="Times New Roman" w:cs="Times New Roman"/>
          <w:color w:val="auto"/>
        </w:rPr>
        <w:t>锚固段不宜设置在淤泥、淤泥质土、泥炭、泥炭质土等软土及松散填土层内</w:t>
      </w:r>
      <w:r>
        <w:rPr>
          <w:rFonts w:hint="eastAsia" w:ascii="Times New Roman" w:hAnsi="Times New Roman" w:cs="Times New Roman"/>
          <w:color w:val="auto"/>
        </w:rPr>
        <w:t>；</w:t>
      </w:r>
    </w:p>
    <w:p>
      <w:pPr>
        <w:pStyle w:val="74"/>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 xml:space="preserve">4  </w:t>
      </w:r>
      <w:r>
        <w:rPr>
          <w:rFonts w:ascii="Times New Roman" w:hAnsi="Times New Roman" w:cs="Times New Roman"/>
          <w:color w:val="auto"/>
        </w:rPr>
        <w:t>锚杆注浆宜采用二次压力注浆工艺</w:t>
      </w:r>
      <w:r>
        <w:rPr>
          <w:rFonts w:hint="eastAsia" w:ascii="Times New Roman" w:hAnsi="Times New Roman" w:cs="Times New Roman"/>
          <w:color w:val="auto"/>
        </w:rPr>
        <w:t>；</w:t>
      </w:r>
    </w:p>
    <w:p>
      <w:pPr>
        <w:pStyle w:val="74"/>
        <w:spacing w:line="360" w:lineRule="auto"/>
        <w:ind w:firstLine="480" w:firstLineChars="200"/>
      </w:pPr>
      <w:r>
        <w:rPr>
          <w:rFonts w:hint="eastAsia" w:ascii="Times New Roman" w:hAnsi="Times New Roman" w:cs="Times New Roman"/>
          <w:color w:val="auto"/>
        </w:rPr>
        <w:t xml:space="preserve">5  </w:t>
      </w:r>
      <w:r>
        <w:rPr>
          <w:color w:val="auto"/>
        </w:rPr>
        <w:t>锚拉结构杆体宜采用</w:t>
      </w:r>
      <w:r>
        <w:rPr>
          <w:rFonts w:hint="eastAsia"/>
          <w:color w:val="auto"/>
        </w:rPr>
        <w:t>钢绞线</w:t>
      </w:r>
      <w:r>
        <w:rPr>
          <w:color w:val="auto"/>
        </w:rPr>
        <w:t>锚杆；承载力要求较低时，可采用钢筋锚杆；承载力要求较高、变形控制较</w:t>
      </w:r>
      <w:r>
        <w:t>严时应采用</w:t>
      </w:r>
      <w:r>
        <w:rPr>
          <w:rFonts w:hint="eastAsia"/>
        </w:rPr>
        <w:t>预应力锚杆</w:t>
      </w:r>
      <w:r>
        <w:t>；</w:t>
      </w:r>
      <w:r>
        <w:rPr>
          <w:color w:val="auto"/>
        </w:rPr>
        <w:t>当地下空间不允许在锚杆使用结束后滞留在地层中，应采用压力分散型可回收锚</w:t>
      </w:r>
      <w:r>
        <w:rPr>
          <w:rFonts w:hint="eastAsia"/>
          <w:color w:val="auto"/>
        </w:rPr>
        <w:t>杆</w:t>
      </w:r>
      <w:r>
        <w:rPr>
          <w:rFonts w:hint="eastAsia"/>
        </w:rPr>
        <w:t>。</w:t>
      </w:r>
    </w:p>
    <w:p>
      <w:pPr>
        <w:pStyle w:val="74"/>
        <w:spacing w:line="360" w:lineRule="auto"/>
        <w:rPr>
          <w:rFonts w:ascii="Times New Roman" w:hAnsi="Times New Roman" w:cs="Times New Roman"/>
          <w:color w:val="auto"/>
        </w:rPr>
      </w:pPr>
      <w:r>
        <w:rPr>
          <w:rFonts w:ascii="Times New Roman" w:hAnsi="Times New Roman" w:cs="Times New Roman"/>
          <w:b/>
          <w:color w:val="auto"/>
        </w:rPr>
        <w:t>5.6.2</w:t>
      </w:r>
      <w:r>
        <w:rPr>
          <w:rFonts w:ascii="Times New Roman" w:hAnsi="Times New Roman" w:cs="Times New Roman"/>
          <w:b/>
        </w:rPr>
        <w:t xml:space="preserve">  </w:t>
      </w:r>
      <w:r>
        <w:rPr>
          <w:rFonts w:ascii="Times New Roman" w:hAnsi="Times New Roman" w:cs="Times New Roman"/>
          <w:color w:val="auto"/>
        </w:rPr>
        <w:t>桩锚支护结构的设计计算与验算</w:t>
      </w:r>
    </w:p>
    <w:p>
      <w:pPr>
        <w:pStyle w:val="74"/>
        <w:spacing w:line="360" w:lineRule="auto"/>
        <w:ind w:firstLine="480" w:firstLineChars="200"/>
        <w:rPr>
          <w:rFonts w:ascii="Times New Roman" w:hAnsi="Times New Roman" w:cs="Times New Roman"/>
          <w:color w:val="FF0000"/>
        </w:rPr>
      </w:pPr>
      <w:r>
        <w:rPr>
          <w:rFonts w:ascii="Times New Roman" w:hAnsi="Times New Roman" w:cs="Times New Roman"/>
          <w:color w:val="auto"/>
        </w:rPr>
        <w:t>1  锚杆水平向刚度系数应通过现场试验确定，有经验时，三级基坑可按下式估算：</w:t>
      </w:r>
    </w:p>
    <w:p>
      <w:pPr>
        <w:spacing w:line="360" w:lineRule="auto"/>
        <w:jc w:val="right"/>
        <w:rPr>
          <w:sz w:val="24"/>
        </w:rPr>
      </w:pPr>
      <w:r>
        <w:rPr>
          <w:position w:val="-38"/>
        </w:rPr>
        <w:object>
          <v:shape id="_x0000_i1084" o:spt="75" type="#_x0000_t75" style="height:42.9pt;width:174.25pt;" o:ole="t" filled="f" coordsize="21600,21600">
            <v:path/>
            <v:fill on="f" focussize="0,0"/>
            <v:stroke/>
            <v:imagedata r:id="rId153" o:title=""/>
            <o:lock v:ext="edit" aspectratio="t"/>
            <w10:wrap type="none"/>
            <w10:anchorlock/>
          </v:shape>
          <o:OLEObject Type="Embed" ProgID="Equation.DSMT4" ShapeID="_x0000_i1084" DrawAspect="Content" ObjectID="_1468075784" r:id="rId152">
            <o:LockedField>false</o:LockedField>
          </o:OLEObject>
        </w:object>
      </w:r>
      <w:r>
        <w:rPr>
          <w:sz w:val="24"/>
        </w:rPr>
        <w:t xml:space="preserve">                （5.6.2-1）</w:t>
      </w:r>
    </w:p>
    <w:p>
      <w:pPr>
        <w:spacing w:line="360" w:lineRule="auto"/>
        <w:jc w:val="right"/>
        <w:rPr>
          <w:sz w:val="24"/>
        </w:rPr>
      </w:pPr>
      <w:r>
        <w:rPr>
          <w:position w:val="-26"/>
        </w:rPr>
        <w:object>
          <v:shape id="_x0000_i1085" o:spt="75" type="#_x0000_t75" style="height:37.55pt;width:137.5pt;" o:ole="t" filled="f" coordsize="21600,21600">
            <v:path/>
            <v:fill on="f" focussize="0,0"/>
            <v:stroke/>
            <v:imagedata r:id="rId155" o:title=""/>
            <o:lock v:ext="edit" aspectratio="t"/>
            <w10:wrap type="none"/>
            <w10:anchorlock/>
          </v:shape>
          <o:OLEObject Type="Embed" ProgID="Equation.DSMT4" ShapeID="_x0000_i1085" DrawAspect="Content" ObjectID="_1468075785" r:id="rId154">
            <o:LockedField>false</o:LockedField>
          </o:OLEObject>
        </w:object>
      </w:r>
      <w:r>
        <w:t xml:space="preserve">                    </w:t>
      </w:r>
      <w:r>
        <w:rPr>
          <w:sz w:val="24"/>
        </w:rPr>
        <w:t>（5.6.2-2）</w:t>
      </w:r>
    </w:p>
    <w:p>
      <w:pPr>
        <w:spacing w:line="360" w:lineRule="auto"/>
        <w:jc w:val="left"/>
        <w:rPr>
          <w:sz w:val="24"/>
        </w:rPr>
      </w:pPr>
      <w:r>
        <w:rPr>
          <w:sz w:val="24"/>
        </w:rPr>
        <w:t>式中：</w:t>
      </w:r>
      <w:r>
        <w:rPr>
          <w:rFonts w:hint="eastAsia"/>
          <w:i/>
          <w:sz w:val="24"/>
        </w:rPr>
        <w:t>k</w:t>
      </w:r>
      <w:r>
        <w:rPr>
          <w:rFonts w:hint="eastAsia"/>
          <w:i/>
          <w:sz w:val="24"/>
          <w:vertAlign w:val="subscript"/>
        </w:rPr>
        <w:t>R</w:t>
      </w:r>
      <w:r>
        <w:rPr>
          <w:sz w:val="24"/>
        </w:rPr>
        <w:t>—锚杆</w:t>
      </w:r>
      <w:r>
        <w:rPr>
          <w:rFonts w:hint="eastAsia"/>
          <w:sz w:val="24"/>
        </w:rPr>
        <w:t>水平向刚度系数</w:t>
      </w:r>
      <w:r>
        <w:rPr>
          <w:sz w:val="24"/>
        </w:rPr>
        <w:t>（k</w:t>
      </w:r>
      <w:r>
        <w:rPr>
          <w:rFonts w:hint="eastAsia"/>
          <w:sz w:val="24"/>
        </w:rPr>
        <w:t>N/m</w:t>
      </w:r>
      <w:r>
        <w:rPr>
          <w:sz w:val="24"/>
        </w:rPr>
        <w:t>）；</w:t>
      </w:r>
    </w:p>
    <w:p>
      <w:pPr>
        <w:pStyle w:val="74"/>
        <w:spacing w:line="360" w:lineRule="auto"/>
        <w:ind w:firstLine="720" w:firstLineChars="300"/>
        <w:rPr>
          <w:rFonts w:ascii="Times New Roman" w:hAnsi="Times New Roman" w:cs="Times New Roman"/>
          <w:i/>
          <w:color w:val="auto"/>
        </w:rPr>
      </w:pPr>
      <w:r>
        <w:rPr>
          <w:i/>
          <w:color w:val="auto"/>
        </w:rPr>
        <w:t>E</w:t>
      </w:r>
      <w:r>
        <w:rPr>
          <w:i/>
          <w:color w:val="auto"/>
          <w:vertAlign w:val="subscript"/>
        </w:rPr>
        <w:t>s</w:t>
      </w:r>
      <w:r>
        <w:rPr>
          <w:color w:val="auto"/>
        </w:rPr>
        <w:t>—锚杆杆体的弹性模量（kPa）；</w:t>
      </w:r>
    </w:p>
    <w:p>
      <w:pPr>
        <w:pStyle w:val="74"/>
        <w:spacing w:line="360" w:lineRule="auto"/>
        <w:ind w:firstLine="720" w:firstLineChars="300"/>
        <w:rPr>
          <w:rFonts w:ascii="Times New Roman" w:hAnsi="Times New Roman" w:cs="Times New Roman"/>
          <w:color w:val="auto"/>
        </w:rPr>
      </w:pPr>
      <w:r>
        <w:rPr>
          <w:rFonts w:ascii="Times New Roman" w:hAnsi="Times New Roman" w:cs="Times New Roman"/>
          <w:i/>
          <w:color w:val="auto"/>
        </w:rPr>
        <w:t>E</w:t>
      </w:r>
      <w:r>
        <w:rPr>
          <w:rFonts w:ascii="Times New Roman" w:hAnsi="Times New Roman" w:cs="Times New Roman"/>
          <w:i/>
          <w:color w:val="auto"/>
          <w:vertAlign w:val="subscript"/>
        </w:rPr>
        <w:t>c</w:t>
      </w:r>
      <w:r>
        <w:rPr>
          <w:rFonts w:ascii="Times New Roman" w:hAnsi="Times New Roman" w:cs="Times New Roman"/>
          <w:color w:val="auto"/>
        </w:rPr>
        <w:t>—锚杆的复合弹性模量（kPa）；</w:t>
      </w:r>
    </w:p>
    <w:p>
      <w:pPr>
        <w:pStyle w:val="74"/>
        <w:spacing w:line="360" w:lineRule="auto"/>
        <w:ind w:firstLine="720" w:firstLineChars="300"/>
        <w:rPr>
          <w:rFonts w:ascii="Times New Roman" w:hAnsi="Times New Roman" w:cs="Times New Roman"/>
          <w:color w:val="auto"/>
        </w:rPr>
      </w:pPr>
      <w:r>
        <w:rPr>
          <w:rFonts w:ascii="Times New Roman" w:hAnsi="Times New Roman" w:cs="Times New Roman"/>
          <w:i/>
          <w:color w:val="auto"/>
        </w:rPr>
        <w:t>A</w:t>
      </w:r>
      <w:r>
        <w:rPr>
          <w:rFonts w:ascii="Times New Roman" w:hAnsi="Times New Roman" w:cs="Times New Roman"/>
          <w:i/>
          <w:color w:val="auto"/>
          <w:vertAlign w:val="subscript"/>
        </w:rPr>
        <w:t>p</w:t>
      </w:r>
      <w:r>
        <w:rPr>
          <w:rFonts w:ascii="Times New Roman" w:hAnsi="Times New Roman" w:cs="Times New Roman"/>
          <w:color w:val="auto"/>
        </w:rPr>
        <w:t>—锚杆杆体的截面面积（m</w:t>
      </w:r>
      <w:r>
        <w:rPr>
          <w:rFonts w:ascii="Times New Roman" w:hAnsi="Times New Roman" w:cs="Times New Roman"/>
          <w:color w:val="auto"/>
          <w:vertAlign w:val="superscript"/>
        </w:rPr>
        <w:t>2</w:t>
      </w:r>
      <w:r>
        <w:rPr>
          <w:rFonts w:ascii="Times New Roman" w:hAnsi="Times New Roman" w:cs="Times New Roman"/>
          <w:color w:val="auto"/>
        </w:rPr>
        <w:t>）；</w:t>
      </w:r>
    </w:p>
    <w:p>
      <w:pPr>
        <w:pStyle w:val="74"/>
        <w:spacing w:line="360" w:lineRule="auto"/>
        <w:ind w:firstLine="840" w:firstLineChars="350"/>
        <w:rPr>
          <w:rFonts w:ascii="Times New Roman" w:hAnsi="Times New Roman" w:cs="Times New Roman"/>
          <w:i/>
          <w:color w:val="auto"/>
        </w:rPr>
      </w:pPr>
      <w:r>
        <w:rPr>
          <w:rFonts w:ascii="Times New Roman" w:hAnsi="Times New Roman" w:cs="Times New Roman"/>
          <w:i/>
          <w:color w:val="auto"/>
        </w:rPr>
        <w:t>A—</w:t>
      </w:r>
      <w:r>
        <w:rPr>
          <w:rFonts w:hint="eastAsia" w:ascii="Times New Roman" w:hAnsi="Times New Roman" w:cs="Times New Roman"/>
          <w:color w:val="auto"/>
        </w:rPr>
        <w:t>锚杆锚固段</w:t>
      </w:r>
      <w:r>
        <w:rPr>
          <w:rFonts w:ascii="Times New Roman" w:hAnsi="Times New Roman" w:cs="Times New Roman"/>
          <w:color w:val="auto"/>
        </w:rPr>
        <w:t>的截面面积（m</w:t>
      </w:r>
      <w:r>
        <w:rPr>
          <w:rFonts w:ascii="Times New Roman" w:hAnsi="Times New Roman" w:cs="Times New Roman"/>
          <w:color w:val="auto"/>
          <w:vertAlign w:val="superscript"/>
        </w:rPr>
        <w:t>2</w:t>
      </w:r>
      <w:r>
        <w:rPr>
          <w:rFonts w:ascii="Times New Roman" w:hAnsi="Times New Roman" w:cs="Times New Roman"/>
          <w:color w:val="auto"/>
        </w:rPr>
        <w:t>）</w:t>
      </w:r>
      <w:r>
        <w:rPr>
          <w:rFonts w:ascii="Times New Roman" w:hAnsi="Times New Roman" w:cs="Times New Roman"/>
          <w:i/>
          <w:color w:val="auto"/>
        </w:rPr>
        <w:t>；</w:t>
      </w:r>
    </w:p>
    <w:p>
      <w:pPr>
        <w:pStyle w:val="74"/>
        <w:spacing w:line="360" w:lineRule="auto"/>
        <w:ind w:firstLine="840" w:firstLineChars="350"/>
        <w:rPr>
          <w:rFonts w:ascii="Times New Roman" w:hAnsi="Times New Roman" w:cs="Times New Roman"/>
          <w:color w:val="auto"/>
        </w:rPr>
      </w:pPr>
      <w:r>
        <w:rPr>
          <w:rFonts w:ascii="Times New Roman" w:hAnsi="Times New Roman" w:cs="Times New Roman"/>
          <w:i/>
          <w:color w:val="auto"/>
        </w:rPr>
        <w:t>l</w:t>
      </w:r>
      <w:r>
        <w:rPr>
          <w:rFonts w:ascii="Times New Roman" w:hAnsi="Times New Roman" w:cs="Times New Roman"/>
          <w:i/>
          <w:color w:val="auto"/>
          <w:vertAlign w:val="subscript"/>
        </w:rPr>
        <w:t>f</w:t>
      </w:r>
      <w:r>
        <w:rPr>
          <w:rFonts w:ascii="Times New Roman" w:hAnsi="Times New Roman" w:cs="Times New Roman"/>
          <w:color w:val="auto"/>
        </w:rPr>
        <w:t>—锚杆自由段长度（m）；</w:t>
      </w:r>
    </w:p>
    <w:p>
      <w:pPr>
        <w:pStyle w:val="74"/>
        <w:spacing w:line="360" w:lineRule="auto"/>
        <w:ind w:firstLine="840" w:firstLineChars="350"/>
        <w:rPr>
          <w:rFonts w:ascii="Times New Roman" w:hAnsi="Times New Roman" w:cs="Times New Roman"/>
          <w:color w:val="auto"/>
        </w:rPr>
      </w:pPr>
      <w:r>
        <w:rPr>
          <w:rFonts w:ascii="Times New Roman" w:hAnsi="Times New Roman" w:cs="Times New Roman"/>
          <w:i/>
          <w:color w:val="auto"/>
        </w:rPr>
        <w:t>l</w:t>
      </w:r>
      <w:r>
        <w:rPr>
          <w:rFonts w:hint="eastAsia" w:ascii="Times New Roman" w:hAnsi="Times New Roman" w:cs="Times New Roman"/>
          <w:i/>
          <w:color w:val="auto"/>
          <w:vertAlign w:val="subscript"/>
        </w:rPr>
        <w:t>a</w:t>
      </w:r>
      <w:r>
        <w:rPr>
          <w:rFonts w:ascii="Times New Roman" w:hAnsi="Times New Roman" w:cs="Times New Roman"/>
          <w:color w:val="auto"/>
        </w:rPr>
        <w:t>—锚杆</w:t>
      </w:r>
      <w:r>
        <w:rPr>
          <w:rFonts w:hint="eastAsia" w:ascii="Times New Roman" w:hAnsi="Times New Roman" w:cs="Times New Roman"/>
          <w:color w:val="auto"/>
        </w:rPr>
        <w:t>锚固段</w:t>
      </w:r>
      <w:r>
        <w:rPr>
          <w:rFonts w:ascii="Times New Roman" w:hAnsi="Times New Roman" w:cs="Times New Roman"/>
          <w:color w:val="auto"/>
        </w:rPr>
        <w:t>长度（m）；</w:t>
      </w:r>
    </w:p>
    <w:p>
      <w:pPr>
        <w:pStyle w:val="74"/>
        <w:spacing w:line="360" w:lineRule="auto"/>
        <w:ind w:firstLine="720" w:firstLineChars="300"/>
        <w:rPr>
          <w:rFonts w:ascii="Times New Roman" w:hAnsi="Times New Roman" w:cs="Times New Roman"/>
          <w:color w:val="auto"/>
        </w:rPr>
      </w:pPr>
      <w:r>
        <w:rPr>
          <w:rFonts w:ascii="Times New Roman" w:hAnsi="Times New Roman" w:cs="Times New Roman"/>
          <w:i/>
          <w:color w:val="auto"/>
        </w:rPr>
        <w:t>E</w:t>
      </w:r>
      <w:r>
        <w:rPr>
          <w:rFonts w:ascii="Times New Roman" w:hAnsi="Times New Roman" w:cs="Times New Roman"/>
          <w:i/>
          <w:color w:val="auto"/>
          <w:vertAlign w:val="subscript"/>
        </w:rPr>
        <w:t>m</w:t>
      </w:r>
      <w:r>
        <w:rPr>
          <w:rFonts w:ascii="Times New Roman" w:hAnsi="Times New Roman" w:cs="Times New Roman"/>
          <w:color w:val="auto"/>
        </w:rPr>
        <w:t>—注浆固结体的弹性模量（kPa）</w:t>
      </w:r>
      <w:r>
        <w:rPr>
          <w:rFonts w:hint="eastAsia" w:ascii="Times New Roman" w:hAnsi="Times New Roman" w:cs="Times New Roman"/>
          <w:color w:val="auto"/>
        </w:rPr>
        <w:t>；</w:t>
      </w:r>
    </w:p>
    <w:p>
      <w:pPr>
        <w:pStyle w:val="74"/>
        <w:spacing w:line="360" w:lineRule="auto"/>
        <w:ind w:firstLine="840" w:firstLineChars="350"/>
        <w:rPr>
          <w:rFonts w:ascii="Times New Roman" w:hAnsi="Times New Roman" w:cs="Times New Roman"/>
          <w:color w:val="auto"/>
        </w:rPr>
      </w:pPr>
      <w:r>
        <w:rPr>
          <w:rFonts w:hint="eastAsia" w:ascii="Times New Roman" w:hAnsi="Times New Roman" w:cs="Times New Roman"/>
          <w:i/>
          <w:color w:val="auto"/>
        </w:rPr>
        <w:t>b</w:t>
      </w:r>
      <w:r>
        <w:rPr>
          <w:rFonts w:hint="eastAsia" w:ascii="Times New Roman" w:hAnsi="Times New Roman" w:cs="Times New Roman"/>
          <w:i/>
          <w:color w:val="auto"/>
          <w:vertAlign w:val="subscript"/>
        </w:rPr>
        <w:t>a</w:t>
      </w:r>
      <w:r>
        <w:rPr>
          <w:rFonts w:ascii="Times New Roman" w:hAnsi="Times New Roman" w:cs="Times New Roman"/>
          <w:color w:val="auto"/>
        </w:rPr>
        <w:t>—</w:t>
      </w:r>
      <w:r>
        <w:rPr>
          <w:rFonts w:hint="eastAsia" w:ascii="Times New Roman" w:hAnsi="Times New Roman" w:cs="Times New Roman"/>
          <w:color w:val="auto"/>
        </w:rPr>
        <w:t>结构计算分析宽度</w:t>
      </w:r>
      <w:r>
        <w:rPr>
          <w:rFonts w:ascii="Times New Roman" w:hAnsi="Times New Roman" w:cs="Times New Roman"/>
          <w:color w:val="auto"/>
        </w:rPr>
        <w:t>（m）；</w:t>
      </w:r>
    </w:p>
    <w:p>
      <w:pPr>
        <w:pStyle w:val="74"/>
        <w:spacing w:line="360" w:lineRule="auto"/>
        <w:ind w:firstLine="840" w:firstLineChars="350"/>
        <w:rPr>
          <w:rFonts w:ascii="Times New Roman" w:hAnsi="Times New Roman" w:cs="Times New Roman"/>
          <w:color w:val="auto"/>
        </w:rPr>
      </w:pPr>
      <w:r>
        <w:rPr>
          <w:rFonts w:hint="eastAsia" w:ascii="Times New Roman" w:hAnsi="Times New Roman" w:cs="Times New Roman"/>
          <w:i/>
          <w:color w:val="auto"/>
        </w:rPr>
        <w:t>s</w:t>
      </w:r>
      <w:r>
        <w:rPr>
          <w:rFonts w:ascii="Times New Roman" w:hAnsi="Times New Roman" w:cs="Times New Roman"/>
          <w:color w:val="auto"/>
        </w:rPr>
        <w:t>—锚杆</w:t>
      </w:r>
      <w:r>
        <w:rPr>
          <w:rFonts w:hint="eastAsia" w:ascii="Times New Roman" w:hAnsi="Times New Roman" w:cs="Times New Roman"/>
          <w:color w:val="auto"/>
        </w:rPr>
        <w:t>水平间距</w:t>
      </w:r>
      <w:r>
        <w:rPr>
          <w:rFonts w:ascii="Times New Roman" w:hAnsi="Times New Roman" w:cs="Times New Roman"/>
          <w:color w:val="auto"/>
        </w:rPr>
        <w:t>（m）；</w:t>
      </w:r>
    </w:p>
    <w:p>
      <w:pPr>
        <w:pStyle w:val="74"/>
        <w:spacing w:line="360" w:lineRule="auto"/>
        <w:ind w:firstLine="840" w:firstLineChars="350"/>
        <w:rPr>
          <w:rFonts w:ascii="Times New Roman" w:hAnsi="Times New Roman" w:cs="Times New Roman"/>
          <w:color w:val="auto"/>
        </w:rPr>
      </w:pPr>
      <w:r>
        <w:rPr>
          <w:position w:val="-6"/>
        </w:rPr>
        <w:object>
          <v:shape id="_x0000_i1086" o:spt="75" type="#_x0000_t75" style="height:11.5pt;width:12.25pt;" o:ole="t" filled="f" coordsize="21600,21600">
            <v:path/>
            <v:fill on="f" focussize="0,0"/>
            <v:stroke/>
            <v:imagedata r:id="rId157" o:title=""/>
            <o:lock v:ext="edit" aspectratio="t"/>
            <w10:wrap type="none"/>
            <w10:anchorlock/>
          </v:shape>
          <o:OLEObject Type="Embed" ProgID="Equation.DSMT4" ShapeID="_x0000_i1086" DrawAspect="Content" ObjectID="_1468075786" r:id="rId156">
            <o:LockedField>false</o:LockedField>
          </o:OLEObject>
        </w:object>
      </w:r>
      <w:r>
        <w:rPr>
          <w:rFonts w:ascii="Times New Roman" w:hAnsi="Times New Roman" w:cs="Times New Roman"/>
          <w:color w:val="auto"/>
        </w:rPr>
        <w:t>—锚杆</w:t>
      </w:r>
      <w:r>
        <w:rPr>
          <w:rFonts w:hint="eastAsia" w:ascii="Times New Roman" w:hAnsi="Times New Roman" w:cs="Times New Roman"/>
          <w:color w:val="auto"/>
        </w:rPr>
        <w:t>水平倾角</w:t>
      </w:r>
      <w:r>
        <w:rPr>
          <w:rFonts w:ascii="Times New Roman" w:hAnsi="Times New Roman" w:cs="Times New Roman"/>
          <w:color w:val="auto"/>
        </w:rPr>
        <w:t>（m）</w:t>
      </w:r>
      <w:r>
        <w:rPr>
          <w:rFonts w:hint="eastAsia" w:ascii="Times New Roman" w:hAnsi="Times New Roman" w:cs="Times New Roman"/>
          <w:color w:val="auto"/>
        </w:rPr>
        <w:t>。</w:t>
      </w:r>
    </w:p>
    <w:p>
      <w:pPr>
        <w:spacing w:line="360" w:lineRule="auto"/>
        <w:ind w:firstLine="480" w:firstLineChars="200"/>
        <w:jc w:val="left"/>
        <w:rPr>
          <w:sz w:val="24"/>
        </w:rPr>
      </w:pPr>
      <w:r>
        <w:rPr>
          <w:sz w:val="24"/>
        </w:rPr>
        <w:t>2  锚</w:t>
      </w:r>
      <w:r>
        <w:rPr>
          <w:color w:val="000000"/>
          <w:sz w:val="24"/>
        </w:rPr>
        <w:t>杆</w:t>
      </w:r>
      <w:r>
        <w:rPr>
          <w:sz w:val="24"/>
        </w:rPr>
        <w:t>自由段长度应按下式确定</w:t>
      </w:r>
      <w:r>
        <w:rPr>
          <w:rFonts w:hint="eastAsia"/>
          <w:sz w:val="24"/>
        </w:rPr>
        <w:t>，且</w:t>
      </w:r>
      <w:r>
        <w:rPr>
          <w:sz w:val="24"/>
        </w:rPr>
        <w:t xml:space="preserve">不应小于5.0m。（图5.6.2）： </w:t>
      </w:r>
    </w:p>
    <w:p>
      <w:pPr>
        <w:adjustRightInd w:val="0"/>
        <w:snapToGrid w:val="0"/>
        <w:spacing w:line="360" w:lineRule="auto"/>
        <w:jc w:val="right"/>
        <w:rPr>
          <w:sz w:val="24"/>
        </w:rPr>
      </w:pPr>
      <w:r>
        <w:rPr>
          <w:position w:val="-46"/>
          <w:sz w:val="24"/>
        </w:rPr>
        <w:object>
          <v:shape id="_x0000_i1087" o:spt="75" type="#_x0000_t75" style="height:52.1pt;width:225.55pt;" o:ole="t" filled="f" coordsize="21600,21600">
            <v:path/>
            <v:fill on="f" focussize="0,0"/>
            <v:stroke/>
            <v:imagedata r:id="rId159" o:title=""/>
            <o:lock v:ext="edit" aspectratio="t"/>
            <w10:wrap type="none"/>
            <w10:anchorlock/>
          </v:shape>
          <o:OLEObject Type="Embed" ProgID="Equation.DSMT4" ShapeID="_x0000_i1087" DrawAspect="Content" ObjectID="_1468075787" r:id="rId158">
            <o:LockedField>false</o:LockedField>
          </o:OLEObject>
        </w:object>
      </w:r>
      <w:r>
        <w:rPr>
          <w:sz w:val="24"/>
        </w:rPr>
        <w:t xml:space="preserve">         （5.6.2-3）</w:t>
      </w:r>
    </w:p>
    <w:p>
      <w:pPr>
        <w:pStyle w:val="74"/>
        <w:spacing w:line="360" w:lineRule="auto"/>
        <w:rPr>
          <w:rFonts w:ascii="Times New Roman" w:hAnsi="Times New Roman" w:cs="Times New Roman"/>
          <w:color w:val="auto"/>
        </w:rPr>
      </w:pPr>
      <w:r>
        <w:rPr>
          <w:rFonts w:ascii="Times New Roman" w:hAnsi="Times New Roman" w:cs="Times New Roman"/>
          <w:color w:val="auto"/>
        </w:rPr>
        <w:t>式中：</w:t>
      </w:r>
      <w:r>
        <w:rPr>
          <w:rFonts w:ascii="Times New Roman" w:hAnsi="Times New Roman" w:cs="Times New Roman"/>
          <w:i/>
          <w:color w:val="auto"/>
        </w:rPr>
        <w:t>l</w:t>
      </w:r>
      <w:r>
        <w:rPr>
          <w:rFonts w:ascii="Times New Roman" w:hAnsi="Times New Roman" w:cs="Times New Roman"/>
          <w:i/>
          <w:color w:val="auto"/>
          <w:vertAlign w:val="subscript"/>
        </w:rPr>
        <w:t>f</w:t>
      </w:r>
      <w:r>
        <w:rPr>
          <w:rFonts w:ascii="Times New Roman" w:hAnsi="Times New Roman" w:cs="Times New Roman"/>
          <w:color w:val="auto"/>
        </w:rPr>
        <w:t>—锚杆自由段长度（m）；</w:t>
      </w:r>
    </w:p>
    <w:p>
      <w:pPr>
        <w:pStyle w:val="74"/>
        <w:spacing w:line="360" w:lineRule="auto"/>
        <w:ind w:firstLine="720" w:firstLineChars="300"/>
        <w:rPr>
          <w:rFonts w:ascii="Times New Roman" w:hAnsi="Times New Roman" w:cs="Times New Roman"/>
          <w:color w:val="auto"/>
        </w:rPr>
      </w:pPr>
      <w:r>
        <w:rPr>
          <w:rFonts w:ascii="Times New Roman" w:hAnsi="Times New Roman" w:cs="Times New Roman"/>
          <w:i/>
          <w:color w:val="auto"/>
        </w:rPr>
        <w:t>α</w:t>
      </w:r>
      <w:r>
        <w:rPr>
          <w:rFonts w:ascii="Times New Roman" w:hAnsi="Times New Roman" w:cs="Times New Roman"/>
          <w:color w:val="auto"/>
        </w:rPr>
        <w:t>—锚杆的倾角（°）；</w:t>
      </w:r>
    </w:p>
    <w:p>
      <w:pPr>
        <w:pStyle w:val="74"/>
        <w:spacing w:line="360" w:lineRule="auto"/>
        <w:ind w:firstLine="720" w:firstLineChars="300"/>
        <w:rPr>
          <w:rFonts w:ascii="Times New Roman" w:hAnsi="Times New Roman" w:cs="Times New Roman"/>
          <w:color w:val="auto"/>
        </w:rPr>
      </w:pPr>
      <w:r>
        <w:rPr>
          <w:rFonts w:ascii="Times New Roman" w:hAnsi="Times New Roman" w:cs="Times New Roman"/>
          <w:i/>
          <w:color w:val="auto"/>
        </w:rPr>
        <w:t>a</w:t>
      </w:r>
      <w:r>
        <w:rPr>
          <w:rFonts w:ascii="Times New Roman" w:hAnsi="Times New Roman" w:cs="Times New Roman"/>
          <w:color w:val="auto"/>
          <w:vertAlign w:val="subscript"/>
        </w:rPr>
        <w:t>1</w:t>
      </w:r>
      <w:r>
        <w:rPr>
          <w:rFonts w:ascii="Times New Roman" w:hAnsi="Times New Roman" w:cs="Times New Roman"/>
          <w:color w:val="auto"/>
        </w:rPr>
        <w:t>—锚杆的锚头中点至基坑底面的距离（m）；</w:t>
      </w:r>
    </w:p>
    <w:p>
      <w:pPr>
        <w:pStyle w:val="74"/>
        <w:spacing w:line="360" w:lineRule="auto"/>
        <w:ind w:left="1132" w:leftChars="343" w:hanging="412" w:hangingChars="172"/>
        <w:rPr>
          <w:rFonts w:ascii="Times New Roman" w:hAnsi="Times New Roman" w:cs="Times New Roman"/>
          <w:color w:val="C00000"/>
        </w:rPr>
      </w:pPr>
      <w:r>
        <w:rPr>
          <w:rFonts w:ascii="Times New Roman" w:hAnsi="Times New Roman" w:cs="Times New Roman"/>
          <w:i/>
          <w:color w:val="auto"/>
        </w:rPr>
        <w:t>a</w:t>
      </w:r>
      <w:r>
        <w:rPr>
          <w:rFonts w:ascii="Times New Roman" w:hAnsi="Times New Roman" w:cs="Times New Roman"/>
          <w:color w:val="auto"/>
          <w:vertAlign w:val="subscript"/>
        </w:rPr>
        <w:t>2</w:t>
      </w:r>
      <w:r>
        <w:rPr>
          <w:rFonts w:ascii="Times New Roman" w:hAnsi="Times New Roman" w:cs="Times New Roman"/>
          <w:color w:val="auto"/>
        </w:rPr>
        <w:t>—基坑底面至基坑外侧主动土压力强度与基坑内侧被动土压力强度等值点O的</w:t>
      </w:r>
      <w:r>
        <w:rPr>
          <w:rFonts w:ascii="Times New Roman" w:hAnsi="Times New Roman" w:cs="Times New Roman"/>
        </w:rPr>
        <w:t>距离(m)；对成层土存在多个等值点时应按其中最深的等值点计算；</w:t>
      </w:r>
    </w:p>
    <w:p>
      <w:pPr>
        <w:spacing w:line="360" w:lineRule="auto"/>
        <w:ind w:firstLine="720" w:firstLineChars="300"/>
        <w:jc w:val="left"/>
        <w:rPr>
          <w:sz w:val="24"/>
        </w:rPr>
      </w:pPr>
      <w:r>
        <w:rPr>
          <w:i/>
          <w:sz w:val="24"/>
        </w:rPr>
        <w:t>φ</w:t>
      </w:r>
      <w:r>
        <w:rPr>
          <w:i/>
          <w:sz w:val="24"/>
          <w:vertAlign w:val="subscript"/>
        </w:rPr>
        <w:t>m</w:t>
      </w:r>
      <w:r>
        <w:rPr>
          <w:sz w:val="24"/>
        </w:rPr>
        <w:t>— O点以上各土层按厚度加权的内摩擦角平均值（°）。</w:t>
      </w:r>
    </w:p>
    <w:p>
      <w:pPr>
        <w:spacing w:line="360" w:lineRule="auto"/>
        <w:jc w:val="center"/>
        <w:rPr>
          <w:sz w:val="24"/>
        </w:rPr>
      </w:pPr>
      <w:r>
        <w:rPr>
          <w:rFonts w:hint="eastAsia" w:ascii="黑体" w:hAnsi="黑体" w:eastAsia="黑体"/>
          <w:szCs w:val="21"/>
        </w:rPr>
        <w:drawing>
          <wp:inline distT="0" distB="0" distL="0" distR="0">
            <wp:extent cx="3545840" cy="2562860"/>
            <wp:effectExtent l="0" t="0" r="0" b="8890"/>
            <wp:docPr id="35" name="图片 35" descr="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10"/>
                    <pic:cNvPicPr>
                      <a:picLocks noChangeAspect="1" noChangeArrowheads="1"/>
                    </pic:cNvPicPr>
                  </pic:nvPicPr>
                  <pic:blipFill>
                    <a:blip r:embed="rId160" cstate="print">
                      <a:extLst>
                        <a:ext uri="{28A0092B-C50C-407E-A947-70E740481C1C}">
                          <a14:useLocalDpi xmlns:a14="http://schemas.microsoft.com/office/drawing/2010/main" val="0"/>
                        </a:ext>
                      </a:extLst>
                    </a:blip>
                    <a:srcRect b="647"/>
                    <a:stretch>
                      <a:fillRect/>
                    </a:stretch>
                  </pic:blipFill>
                  <pic:spPr>
                    <a:xfrm>
                      <a:off x="0" y="0"/>
                      <a:ext cx="3546000" cy="2563200"/>
                    </a:xfrm>
                    <a:prstGeom prst="rect">
                      <a:avLst/>
                    </a:prstGeom>
                    <a:noFill/>
                    <a:ln>
                      <a:noFill/>
                    </a:ln>
                  </pic:spPr>
                </pic:pic>
              </a:graphicData>
            </a:graphic>
          </wp:inline>
        </w:drawing>
      </w:r>
    </w:p>
    <w:p>
      <w:pPr>
        <w:spacing w:line="360" w:lineRule="auto"/>
        <w:jc w:val="center"/>
        <w:rPr>
          <w:b/>
          <w:sz w:val="24"/>
        </w:rPr>
      </w:pPr>
      <w:r>
        <w:rPr>
          <w:b/>
          <w:sz w:val="24"/>
        </w:rPr>
        <w:t>图5.6.2  理论直线滑动面</w:t>
      </w:r>
    </w:p>
    <w:p>
      <w:pPr>
        <w:spacing w:line="360" w:lineRule="auto"/>
        <w:jc w:val="center"/>
        <w:rPr>
          <w:szCs w:val="21"/>
        </w:rPr>
      </w:pPr>
      <w:r>
        <w:rPr>
          <w:szCs w:val="21"/>
        </w:rPr>
        <w:t>1—挡土构件；2—锚杆；3—理论直线滑动面</w:t>
      </w:r>
    </w:p>
    <w:p>
      <w:pPr>
        <w:tabs>
          <w:tab w:val="left" w:pos="420"/>
        </w:tabs>
        <w:spacing w:line="360" w:lineRule="auto"/>
        <w:ind w:firstLine="480" w:firstLineChars="200"/>
        <w:jc w:val="left"/>
        <w:rPr>
          <w:sz w:val="24"/>
        </w:rPr>
      </w:pPr>
      <w:r>
        <w:rPr>
          <w:sz w:val="24"/>
        </w:rPr>
        <w:t>3  锚杆杆体的受拉承载力应符合下式规定：</w:t>
      </w:r>
    </w:p>
    <w:p>
      <w:pPr>
        <w:spacing w:line="360" w:lineRule="auto"/>
        <w:jc w:val="right"/>
        <w:rPr>
          <w:sz w:val="24"/>
        </w:rPr>
      </w:pPr>
      <w:r>
        <w:rPr>
          <w:sz w:val="24"/>
        </w:rPr>
        <w:t xml:space="preserve">         </w:t>
      </w:r>
      <w:r>
        <w:rPr>
          <w:i/>
          <w:sz w:val="24"/>
        </w:rPr>
        <w:t>N</w:t>
      </w:r>
      <w:r>
        <w:rPr>
          <w:rFonts w:hint="eastAsia"/>
          <w:sz w:val="24"/>
        </w:rPr>
        <w:t>≤</w:t>
      </w:r>
      <w:r>
        <w:rPr>
          <w:sz w:val="24"/>
        </w:rPr>
        <w:t xml:space="preserve"> </w:t>
      </w:r>
      <w:r>
        <w:rPr>
          <w:i/>
          <w:sz w:val="24"/>
        </w:rPr>
        <w:t>f</w:t>
      </w:r>
      <w:r>
        <w:rPr>
          <w:sz w:val="24"/>
          <w:vertAlign w:val="subscript"/>
        </w:rPr>
        <w:t>py</w:t>
      </w:r>
      <w:r>
        <w:rPr>
          <w:sz w:val="24"/>
        </w:rPr>
        <w:t xml:space="preserve"> </w:t>
      </w:r>
      <w:r>
        <w:rPr>
          <w:i/>
          <w:sz w:val="24"/>
        </w:rPr>
        <w:t>A</w:t>
      </w:r>
      <w:r>
        <w:rPr>
          <w:sz w:val="24"/>
          <w:vertAlign w:val="subscript"/>
        </w:rPr>
        <w:t>p</w:t>
      </w:r>
      <w:r>
        <w:rPr>
          <w:sz w:val="24"/>
        </w:rPr>
        <w:t xml:space="preserve">                     （5.6.2-4）</w:t>
      </w:r>
    </w:p>
    <w:p>
      <w:pPr>
        <w:spacing w:line="360" w:lineRule="auto"/>
        <w:jc w:val="left"/>
        <w:rPr>
          <w:sz w:val="24"/>
        </w:rPr>
      </w:pPr>
      <w:r>
        <w:rPr>
          <w:sz w:val="24"/>
        </w:rPr>
        <w:t>式中：</w:t>
      </w:r>
      <w:r>
        <w:rPr>
          <w:i/>
          <w:position w:val="-6"/>
          <w:sz w:val="24"/>
        </w:rPr>
        <w:t>N</w:t>
      </w:r>
      <w:r>
        <w:rPr>
          <w:sz w:val="24"/>
        </w:rPr>
        <w:t xml:space="preserve"> —锚杆轴向拉力设计值（kN）；</w:t>
      </w:r>
    </w:p>
    <w:p>
      <w:pPr>
        <w:spacing w:line="360" w:lineRule="auto"/>
        <w:ind w:left="1110" w:leftChars="300" w:hanging="480" w:hangingChars="200"/>
        <w:jc w:val="left"/>
        <w:rPr>
          <w:sz w:val="24"/>
        </w:rPr>
      </w:pPr>
      <w:r>
        <w:rPr>
          <w:i/>
          <w:sz w:val="24"/>
        </w:rPr>
        <w:t>f</w:t>
      </w:r>
      <w:r>
        <w:rPr>
          <w:sz w:val="24"/>
          <w:vertAlign w:val="subscript"/>
        </w:rPr>
        <w:t>py</w:t>
      </w:r>
      <w:r>
        <w:rPr>
          <w:sz w:val="24"/>
        </w:rPr>
        <w:t>—</w:t>
      </w:r>
      <w:r>
        <w:rPr>
          <w:rFonts w:hint="eastAsia"/>
          <w:sz w:val="24"/>
        </w:rPr>
        <w:t>预应力筋抗拉强度设计值</w:t>
      </w:r>
      <w:r>
        <w:rPr>
          <w:sz w:val="24"/>
        </w:rPr>
        <w:t>（k</w:t>
      </w:r>
      <w:r>
        <w:rPr>
          <w:rFonts w:hint="eastAsia"/>
          <w:sz w:val="24"/>
        </w:rPr>
        <w:t>Pa</w:t>
      </w:r>
      <w:r>
        <w:rPr>
          <w:sz w:val="24"/>
        </w:rPr>
        <w:t>）；</w:t>
      </w:r>
      <w:r>
        <w:rPr>
          <w:rFonts w:hint="eastAsia"/>
          <w:sz w:val="24"/>
        </w:rPr>
        <w:t>当锚杆杆体采用普通钢筋时，取普通钢筋的抗拉强度设计值；</w:t>
      </w:r>
    </w:p>
    <w:p>
      <w:pPr>
        <w:spacing w:line="360" w:lineRule="auto"/>
        <w:ind w:firstLine="720" w:firstLineChars="300"/>
        <w:jc w:val="left"/>
        <w:rPr>
          <w:sz w:val="24"/>
        </w:rPr>
      </w:pPr>
      <w:r>
        <w:rPr>
          <w:i/>
          <w:sz w:val="24"/>
        </w:rPr>
        <w:t>A</w:t>
      </w:r>
      <w:r>
        <w:rPr>
          <w:sz w:val="24"/>
          <w:vertAlign w:val="subscript"/>
        </w:rPr>
        <w:t>p</w:t>
      </w:r>
      <w:r>
        <w:rPr>
          <w:sz w:val="24"/>
        </w:rPr>
        <w:t>—</w:t>
      </w:r>
      <w:r>
        <w:rPr>
          <w:rFonts w:hint="eastAsia"/>
          <w:sz w:val="24"/>
        </w:rPr>
        <w:t>预应力筋的</w:t>
      </w:r>
      <w:r>
        <w:rPr>
          <w:sz w:val="24"/>
        </w:rPr>
        <w:t>截</w:t>
      </w:r>
      <w:r>
        <w:rPr>
          <w:rFonts w:hint="eastAsia"/>
          <w:sz w:val="24"/>
        </w:rPr>
        <w:t>面</w:t>
      </w:r>
      <w:r>
        <w:rPr>
          <w:sz w:val="24"/>
        </w:rPr>
        <w:t>面积（m</w:t>
      </w:r>
      <w:r>
        <w:rPr>
          <w:sz w:val="24"/>
          <w:vertAlign w:val="superscript"/>
        </w:rPr>
        <w:t>2</w:t>
      </w:r>
      <w:r>
        <w:rPr>
          <w:sz w:val="24"/>
        </w:rPr>
        <w:t>）。</w:t>
      </w:r>
    </w:p>
    <w:p>
      <w:pPr>
        <w:tabs>
          <w:tab w:val="left" w:pos="420"/>
        </w:tabs>
        <w:spacing w:line="360" w:lineRule="auto"/>
        <w:ind w:firstLine="480" w:firstLineChars="200"/>
        <w:jc w:val="left"/>
        <w:rPr>
          <w:color w:val="FF0000"/>
          <w:sz w:val="24"/>
        </w:rPr>
      </w:pPr>
      <w:r>
        <w:rPr>
          <w:rFonts w:hint="eastAsia"/>
          <w:sz w:val="24"/>
        </w:rPr>
        <w:t>4</w:t>
      </w:r>
      <w:r>
        <w:rPr>
          <w:sz w:val="24"/>
        </w:rPr>
        <w:t xml:space="preserve">  锚杆</w:t>
      </w:r>
      <w:r>
        <w:rPr>
          <w:rFonts w:hint="eastAsia"/>
          <w:sz w:val="24"/>
        </w:rPr>
        <w:t>极限抗拔承载力的</w:t>
      </w:r>
      <w:r>
        <w:rPr>
          <w:sz w:val="24"/>
        </w:rPr>
        <w:t>确定应</w:t>
      </w:r>
      <w:r>
        <w:rPr>
          <w:rFonts w:hint="eastAsia"/>
          <w:sz w:val="24"/>
        </w:rPr>
        <w:t>符合</w:t>
      </w:r>
      <w:r>
        <w:rPr>
          <w:sz w:val="24"/>
        </w:rPr>
        <w:t>下列规定：</w:t>
      </w:r>
    </w:p>
    <w:p>
      <w:pPr>
        <w:tabs>
          <w:tab w:val="left" w:pos="420"/>
        </w:tabs>
        <w:spacing w:line="360" w:lineRule="auto"/>
        <w:ind w:left="1095" w:leftChars="350" w:hanging="360" w:hangingChars="150"/>
        <w:jc w:val="left"/>
        <w:rPr>
          <w:sz w:val="24"/>
        </w:rPr>
      </w:pPr>
      <w:r>
        <w:rPr>
          <w:rFonts w:hint="eastAsia"/>
          <w:sz w:val="24"/>
        </w:rPr>
        <w:t>1） 锚杆极限抗拔承载力应通过抗拔试验确定，其试验方法应符合</w:t>
      </w:r>
      <w:r>
        <w:rPr>
          <w:sz w:val="24"/>
        </w:rPr>
        <w:t>本规程附录</w:t>
      </w:r>
      <w:r>
        <w:rPr>
          <w:rFonts w:hint="eastAsia"/>
          <w:sz w:val="24"/>
        </w:rPr>
        <w:t xml:space="preserve">D的规定。 </w:t>
      </w:r>
    </w:p>
    <w:p>
      <w:pPr>
        <w:tabs>
          <w:tab w:val="left" w:pos="420"/>
        </w:tabs>
        <w:spacing w:line="360" w:lineRule="auto"/>
        <w:ind w:left="1095" w:leftChars="350" w:hanging="360" w:hangingChars="150"/>
        <w:jc w:val="left"/>
        <w:rPr>
          <w:sz w:val="24"/>
        </w:rPr>
      </w:pPr>
      <w:r>
        <w:rPr>
          <w:rFonts w:hint="eastAsia"/>
          <w:sz w:val="24"/>
        </w:rPr>
        <w:t>2） 锚杆极限抗拔承载力标准值也</w:t>
      </w:r>
      <w:r>
        <w:rPr>
          <w:sz w:val="24"/>
        </w:rPr>
        <w:t>可按</w:t>
      </w:r>
      <w:r>
        <w:rPr>
          <w:rFonts w:hint="eastAsia"/>
          <w:sz w:val="24"/>
        </w:rPr>
        <w:t>下式估算</w:t>
      </w:r>
      <w:r>
        <w:rPr>
          <w:sz w:val="24"/>
        </w:rPr>
        <w:t>，</w:t>
      </w:r>
      <w:r>
        <w:rPr>
          <w:rFonts w:hint="eastAsia"/>
          <w:sz w:val="24"/>
        </w:rPr>
        <w:t>但</w:t>
      </w:r>
      <w:r>
        <w:rPr>
          <w:sz w:val="24"/>
        </w:rPr>
        <w:t>应</w:t>
      </w:r>
      <w:r>
        <w:rPr>
          <w:rFonts w:hint="eastAsia"/>
          <w:sz w:val="24"/>
        </w:rPr>
        <w:t>按</w:t>
      </w:r>
      <w:r>
        <w:rPr>
          <w:sz w:val="24"/>
        </w:rPr>
        <w:t>本规程附录</w:t>
      </w:r>
      <w:r>
        <w:rPr>
          <w:rFonts w:hint="eastAsia"/>
          <w:sz w:val="24"/>
        </w:rPr>
        <w:t>D规定的抗拔试验</w:t>
      </w:r>
      <w:r>
        <w:rPr>
          <w:sz w:val="24"/>
        </w:rPr>
        <w:t>进行</w:t>
      </w:r>
      <w:r>
        <w:rPr>
          <w:rFonts w:hint="eastAsia"/>
          <w:sz w:val="24"/>
        </w:rPr>
        <w:t>验证</w:t>
      </w:r>
      <w:r>
        <w:rPr>
          <w:sz w:val="24"/>
        </w:rPr>
        <w:t>：</w:t>
      </w:r>
    </w:p>
    <w:p>
      <w:pPr>
        <w:tabs>
          <w:tab w:val="left" w:pos="420"/>
        </w:tabs>
        <w:spacing w:line="360" w:lineRule="auto"/>
        <w:ind w:firstLine="480" w:firstLineChars="200"/>
        <w:jc w:val="right"/>
        <w:rPr>
          <w:sz w:val="24"/>
        </w:rPr>
      </w:pPr>
      <w:r>
        <w:rPr>
          <w:sz w:val="24"/>
        </w:rPr>
        <w:object>
          <v:shape id="_x0000_i1088" o:spt="75" type="#_x0000_t75" style="height:19.9pt;width:78.5pt;" o:ole="t" filled="f" coordsize="21600,21600">
            <v:path/>
            <v:fill on="f" focussize="0,0"/>
            <v:stroke/>
            <v:imagedata r:id="rId162" o:title=""/>
            <o:lock v:ext="edit" aspectratio="t"/>
            <w10:wrap type="none"/>
            <w10:anchorlock/>
          </v:shape>
          <o:OLEObject Type="Embed" ProgID="Equation.DSMT4" ShapeID="_x0000_i1088" DrawAspect="Content" ObjectID="_1468075788" r:id="rId161">
            <o:LockedField>false</o:LockedField>
          </o:OLEObject>
        </w:object>
      </w:r>
      <w:r>
        <w:rPr>
          <w:rFonts w:hint="eastAsia"/>
          <w:sz w:val="24"/>
        </w:rPr>
        <w:t xml:space="preserve">                        （5.6.2-5）</w:t>
      </w:r>
    </w:p>
    <w:p>
      <w:pPr>
        <w:tabs>
          <w:tab w:val="left" w:pos="420"/>
        </w:tabs>
        <w:spacing w:line="360" w:lineRule="auto"/>
        <w:ind w:left="630" w:leftChars="300"/>
        <w:jc w:val="left"/>
        <w:rPr>
          <w:sz w:val="24"/>
        </w:rPr>
      </w:pPr>
      <w:r>
        <w:rPr>
          <w:rFonts w:hint="eastAsia"/>
          <w:sz w:val="24"/>
        </w:rPr>
        <w:t>式中：</w:t>
      </w:r>
      <w:r>
        <w:rPr>
          <w:i/>
          <w:sz w:val="24"/>
        </w:rPr>
        <w:t>d</w:t>
      </w:r>
      <w:r>
        <w:rPr>
          <w:sz w:val="24"/>
        </w:rPr>
        <w:t>—</w:t>
      </w:r>
      <w:r>
        <w:rPr>
          <w:rFonts w:hint="eastAsia"/>
          <w:sz w:val="24"/>
        </w:rPr>
        <w:t>锚杆的锚固体直径(m)；</w:t>
      </w:r>
    </w:p>
    <w:p>
      <w:pPr>
        <w:tabs>
          <w:tab w:val="left" w:pos="420"/>
        </w:tabs>
        <w:spacing w:line="360" w:lineRule="auto"/>
        <w:ind w:left="1620" w:leftChars="600" w:hanging="360" w:hangingChars="150"/>
        <w:jc w:val="left"/>
        <w:rPr>
          <w:sz w:val="24"/>
        </w:rPr>
      </w:pPr>
      <w:r>
        <w:rPr>
          <w:i/>
          <w:sz w:val="24"/>
        </w:rPr>
        <w:t>l</w:t>
      </w:r>
      <w:r>
        <w:rPr>
          <w:i/>
          <w:sz w:val="24"/>
          <w:vertAlign w:val="subscript"/>
        </w:rPr>
        <w:t>i</w:t>
      </w:r>
      <w:r>
        <w:rPr>
          <w:sz w:val="24"/>
        </w:rPr>
        <w:t>—</w:t>
      </w:r>
      <w:r>
        <w:rPr>
          <w:rFonts w:hint="eastAsia"/>
          <w:sz w:val="24"/>
        </w:rPr>
        <w:t>锚杆的锚固段在第i土层中的长度(m)；锚固段长度（</w:t>
      </w:r>
      <w:r>
        <w:rPr>
          <w:i/>
          <w:sz w:val="24"/>
        </w:rPr>
        <w:t>l</w:t>
      </w:r>
      <w:r>
        <w:rPr>
          <w:rFonts w:hint="eastAsia"/>
          <w:i/>
          <w:sz w:val="24"/>
          <w:vertAlign w:val="subscript"/>
        </w:rPr>
        <w:t>a</w:t>
      </w:r>
      <w:r>
        <w:rPr>
          <w:rFonts w:hint="eastAsia"/>
          <w:sz w:val="24"/>
        </w:rPr>
        <w:t>）为锚杆在理论直线滑动面以外的长度，理论直线滑动面按本条第2款的规定确定；</w:t>
      </w:r>
    </w:p>
    <w:p>
      <w:pPr>
        <w:tabs>
          <w:tab w:val="left" w:pos="420"/>
        </w:tabs>
        <w:spacing w:line="360" w:lineRule="auto"/>
        <w:ind w:left="1650" w:leftChars="500" w:hanging="600" w:hangingChars="250"/>
        <w:jc w:val="left"/>
        <w:rPr>
          <w:sz w:val="24"/>
        </w:rPr>
      </w:pPr>
      <w:r>
        <w:rPr>
          <w:i/>
          <w:sz w:val="24"/>
        </w:rPr>
        <w:t>q</w:t>
      </w:r>
      <w:r>
        <w:rPr>
          <w:i/>
          <w:sz w:val="24"/>
          <w:vertAlign w:val="subscript"/>
        </w:rPr>
        <w:t>s</w:t>
      </w:r>
      <w:r>
        <w:rPr>
          <w:rFonts w:hint="eastAsia"/>
          <w:i/>
          <w:sz w:val="24"/>
          <w:vertAlign w:val="subscript"/>
        </w:rPr>
        <w:t>k,i</w:t>
      </w:r>
      <w:r>
        <w:rPr>
          <w:sz w:val="24"/>
        </w:rPr>
        <w:t>—</w:t>
      </w:r>
      <w:r>
        <w:rPr>
          <w:rFonts w:hint="eastAsia"/>
          <w:sz w:val="24"/>
        </w:rPr>
        <w:t>锚固体与第i土层之间的极限粘结强度标准值(kPa)，应根据工程经验并结合附录B取值。</w:t>
      </w:r>
    </w:p>
    <w:p>
      <w:pPr>
        <w:tabs>
          <w:tab w:val="left" w:pos="420"/>
        </w:tabs>
        <w:spacing w:line="360" w:lineRule="auto"/>
        <w:ind w:firstLine="480" w:firstLineChars="200"/>
        <w:jc w:val="left"/>
        <w:rPr>
          <w:sz w:val="24"/>
        </w:rPr>
      </w:pPr>
      <w:r>
        <w:rPr>
          <w:rFonts w:hint="eastAsia"/>
          <w:sz w:val="24"/>
        </w:rPr>
        <w:t>5</w:t>
      </w:r>
      <w:r>
        <w:rPr>
          <w:sz w:val="24"/>
        </w:rPr>
        <w:t xml:space="preserve">  </w:t>
      </w:r>
      <w:r>
        <w:rPr>
          <w:rFonts w:hint="eastAsia"/>
          <w:sz w:val="24"/>
        </w:rPr>
        <w:t>采用2根或2根以上钢筋或钢绞线时，界面粘结强度降低，宜取折减系数0.70~0.85。</w:t>
      </w:r>
    </w:p>
    <w:p>
      <w:pPr>
        <w:spacing w:line="360" w:lineRule="auto"/>
        <w:ind w:firstLine="480" w:firstLineChars="200"/>
        <w:rPr>
          <w:sz w:val="24"/>
        </w:rPr>
      </w:pPr>
      <w:r>
        <w:rPr>
          <w:rFonts w:hint="eastAsia"/>
          <w:sz w:val="24"/>
        </w:rPr>
        <w:t>6</w:t>
      </w:r>
      <w:r>
        <w:rPr>
          <w:sz w:val="24"/>
        </w:rPr>
        <w:t xml:space="preserve">  压力分散型可回收锚杆</w:t>
      </w:r>
      <w:r>
        <w:rPr>
          <w:rFonts w:hint="eastAsia"/>
          <w:sz w:val="24"/>
        </w:rPr>
        <w:t>锚固段</w:t>
      </w:r>
      <w:r>
        <w:rPr>
          <w:sz w:val="24"/>
        </w:rPr>
        <w:t>注浆体承压面积</w:t>
      </w:r>
      <w:r>
        <w:rPr>
          <w:rFonts w:hint="eastAsia"/>
          <w:sz w:val="24"/>
        </w:rPr>
        <w:t>应</w:t>
      </w:r>
      <w:r>
        <w:rPr>
          <w:sz w:val="24"/>
        </w:rPr>
        <w:t>按下式</w:t>
      </w:r>
      <w:r>
        <w:rPr>
          <w:rFonts w:hint="eastAsia"/>
          <w:sz w:val="24"/>
        </w:rPr>
        <w:t>验算</w:t>
      </w:r>
    </w:p>
    <w:p>
      <w:pPr>
        <w:tabs>
          <w:tab w:val="right" w:pos="9072"/>
        </w:tabs>
        <w:spacing w:line="360" w:lineRule="auto"/>
        <w:rPr>
          <w:color w:val="FF0000"/>
          <w:sz w:val="24"/>
        </w:rPr>
      </w:pPr>
      <w:r>
        <w:rPr>
          <w:color w:val="FF0000"/>
        </w:rPr>
        <w:tab/>
      </w:r>
      <w:r>
        <w:rPr>
          <w:color w:val="FF0000"/>
          <w:position w:val="-30"/>
        </w:rPr>
        <w:object>
          <v:shape id="_x0000_i1089" o:spt="75" type="#_x0000_t75" style="height:34.45pt;width:108.4pt;" o:ole="t" filled="f" coordsize="21600,21600">
            <v:path/>
            <v:fill on="f" focussize="0,0"/>
            <v:stroke/>
            <v:imagedata r:id="rId164" o:title=""/>
            <o:lock v:ext="edit" aspectratio="t"/>
            <w10:wrap type="none"/>
            <w10:anchorlock/>
          </v:shape>
          <o:OLEObject Type="Embed" ProgID="Equation.DSMT4" ShapeID="_x0000_i1089" DrawAspect="Content" ObjectID="_1468075789" r:id="rId163">
            <o:LockedField>false</o:LockedField>
          </o:OLEObject>
        </w:object>
      </w:r>
      <w:r>
        <w:rPr>
          <w:color w:val="FF0000"/>
          <w:position w:val="-18"/>
        </w:rPr>
        <w:t xml:space="preserve">  </w:t>
      </w:r>
      <w:r>
        <w:rPr>
          <w:position w:val="-18"/>
        </w:rPr>
        <w:t xml:space="preserve">                  </w:t>
      </w:r>
      <w:r>
        <w:rPr>
          <w:sz w:val="24"/>
        </w:rPr>
        <w:t>（5.6.2-</w:t>
      </w:r>
      <w:r>
        <w:rPr>
          <w:rFonts w:hint="eastAsia"/>
          <w:sz w:val="24"/>
        </w:rPr>
        <w:t>6</w:t>
      </w:r>
      <w:r>
        <w:rPr>
          <w:sz w:val="24"/>
        </w:rPr>
        <w:t>）</w:t>
      </w:r>
    </w:p>
    <w:p>
      <w:pPr>
        <w:spacing w:line="360" w:lineRule="auto"/>
        <w:jc w:val="left"/>
        <w:rPr>
          <w:sz w:val="24"/>
        </w:rPr>
      </w:pPr>
      <w:r>
        <w:rPr>
          <w:sz w:val="24"/>
        </w:rPr>
        <w:t>式中：</w:t>
      </w:r>
      <w:r>
        <w:rPr>
          <w:rFonts w:hint="eastAsia"/>
          <w:i/>
          <w:sz w:val="24"/>
        </w:rPr>
        <w:t>N</w:t>
      </w:r>
      <w:r>
        <w:rPr>
          <w:sz w:val="24"/>
        </w:rPr>
        <w:t>—锚杆</w:t>
      </w:r>
      <w:r>
        <w:rPr>
          <w:rFonts w:hint="eastAsia"/>
          <w:sz w:val="24"/>
        </w:rPr>
        <w:t>或单元锚杆</w:t>
      </w:r>
      <w:r>
        <w:rPr>
          <w:sz w:val="24"/>
        </w:rPr>
        <w:t>轴向拉力设计值（kN）；</w:t>
      </w:r>
    </w:p>
    <w:p>
      <w:pPr>
        <w:spacing w:line="360" w:lineRule="auto"/>
        <w:ind w:firstLine="600" w:firstLineChars="250"/>
        <w:rPr>
          <w:sz w:val="24"/>
        </w:rPr>
      </w:pPr>
      <w:r>
        <w:rPr>
          <w:i/>
          <w:sz w:val="24"/>
        </w:rPr>
        <w:t>A</w:t>
      </w:r>
      <w:r>
        <w:rPr>
          <w:i/>
          <w:sz w:val="24"/>
          <w:vertAlign w:val="subscript"/>
        </w:rPr>
        <w:t>n</w:t>
      </w:r>
      <w:r>
        <w:rPr>
          <w:sz w:val="24"/>
        </w:rPr>
        <w:t>—</w:t>
      </w:r>
      <w:r>
        <w:rPr>
          <w:rFonts w:hint="eastAsia"/>
          <w:sz w:val="24"/>
        </w:rPr>
        <w:t>锚杆</w:t>
      </w:r>
      <w:r>
        <w:rPr>
          <w:sz w:val="24"/>
        </w:rPr>
        <w:t>承载体与</w:t>
      </w:r>
      <w:r>
        <w:rPr>
          <w:rFonts w:hint="eastAsia"/>
          <w:sz w:val="24"/>
        </w:rPr>
        <w:t>锚固段注浆体横截面净接触面积</w:t>
      </w:r>
      <w:r>
        <w:rPr>
          <w:sz w:val="24"/>
        </w:rPr>
        <w:t>；</w:t>
      </w:r>
    </w:p>
    <w:p>
      <w:pPr>
        <w:spacing w:line="360" w:lineRule="auto"/>
        <w:ind w:firstLine="600" w:firstLineChars="250"/>
        <w:rPr>
          <w:sz w:val="24"/>
        </w:rPr>
      </w:pPr>
      <w:r>
        <w:rPr>
          <w:i/>
          <w:sz w:val="24"/>
        </w:rPr>
        <w:t>A</w:t>
      </w:r>
      <w:r>
        <w:rPr>
          <w:rFonts w:hint="eastAsia"/>
          <w:i/>
          <w:sz w:val="24"/>
          <w:vertAlign w:val="subscript"/>
        </w:rPr>
        <w:t>m</w:t>
      </w:r>
      <w:r>
        <w:rPr>
          <w:sz w:val="24"/>
        </w:rPr>
        <w:t>—</w:t>
      </w:r>
      <w:r>
        <w:rPr>
          <w:rFonts w:hint="eastAsia"/>
          <w:sz w:val="24"/>
        </w:rPr>
        <w:t>锚固段注浆体横截面积</w:t>
      </w:r>
      <w:r>
        <w:rPr>
          <w:sz w:val="24"/>
        </w:rPr>
        <w:t>；</w:t>
      </w:r>
    </w:p>
    <w:p>
      <w:pPr>
        <w:spacing w:line="360" w:lineRule="auto"/>
        <w:ind w:firstLine="602" w:firstLineChars="250"/>
        <w:rPr>
          <w:b/>
          <w:i/>
          <w:sz w:val="24"/>
        </w:rPr>
      </w:pPr>
      <w:r>
        <w:rPr>
          <w:rFonts w:hint="eastAsia"/>
          <w:b/>
          <w:i/>
          <w:sz w:val="24"/>
        </w:rPr>
        <w:t>η</w:t>
      </w:r>
      <w:r>
        <w:rPr>
          <w:sz w:val="24"/>
        </w:rPr>
        <w:t>—</w:t>
      </w:r>
      <w:r>
        <w:rPr>
          <w:rFonts w:hint="eastAsia"/>
          <w:sz w:val="24"/>
        </w:rPr>
        <w:t>有侧限锚固段注浆体强度增大系数，由试验确定；</w:t>
      </w:r>
    </w:p>
    <w:p>
      <w:pPr>
        <w:spacing w:line="360" w:lineRule="auto"/>
        <w:ind w:firstLine="720" w:firstLineChars="300"/>
        <w:rPr>
          <w:sz w:val="24"/>
        </w:rPr>
      </w:pPr>
      <w:r>
        <w:rPr>
          <w:i/>
          <w:sz w:val="24"/>
        </w:rPr>
        <w:t>f</w:t>
      </w:r>
      <w:r>
        <w:rPr>
          <w:i/>
          <w:sz w:val="24"/>
          <w:vertAlign w:val="subscript"/>
        </w:rPr>
        <w:t>c</w:t>
      </w:r>
      <w:r>
        <w:rPr>
          <w:sz w:val="24"/>
        </w:rPr>
        <w:t>—</w:t>
      </w:r>
      <w:r>
        <w:rPr>
          <w:rFonts w:hint="eastAsia"/>
          <w:sz w:val="24"/>
        </w:rPr>
        <w:t>锚固段注</w:t>
      </w:r>
      <w:r>
        <w:rPr>
          <w:sz w:val="24"/>
        </w:rPr>
        <w:t>浆体轴心抗压强度</w:t>
      </w:r>
      <w:r>
        <w:rPr>
          <w:rFonts w:hint="eastAsia"/>
          <w:sz w:val="24"/>
        </w:rPr>
        <w:t>设计值（kN）</w:t>
      </w:r>
      <w:r>
        <w:rPr>
          <w:sz w:val="24"/>
        </w:rPr>
        <w:t>。</w:t>
      </w:r>
    </w:p>
    <w:p>
      <w:pPr>
        <w:tabs>
          <w:tab w:val="left" w:pos="420"/>
        </w:tabs>
        <w:spacing w:line="360" w:lineRule="auto"/>
        <w:rPr>
          <w:sz w:val="24"/>
        </w:rPr>
      </w:pPr>
      <w:r>
        <w:rPr>
          <w:b/>
          <w:sz w:val="24"/>
        </w:rPr>
        <w:t xml:space="preserve">5.6.3  </w:t>
      </w:r>
      <w:r>
        <w:rPr>
          <w:sz w:val="24"/>
        </w:rPr>
        <w:t>桩锚支护结构的构造要求</w:t>
      </w:r>
    </w:p>
    <w:p>
      <w:pPr>
        <w:pStyle w:val="24"/>
        <w:widowControl/>
        <w:shd w:val="clear" w:color="auto" w:fill="FFFFFF"/>
        <w:tabs>
          <w:tab w:val="left" w:pos="420"/>
        </w:tabs>
        <w:spacing w:line="360" w:lineRule="auto"/>
        <w:ind w:firstLine="480" w:firstLineChars="200"/>
        <w:rPr>
          <w:shd w:val="clear" w:color="auto" w:fill="FFFFFF"/>
        </w:rPr>
      </w:pPr>
      <w:r>
        <w:rPr>
          <w:color w:val="000000"/>
          <w:shd w:val="clear" w:color="auto" w:fill="FFFFFF"/>
        </w:rPr>
        <w:t>1</w:t>
      </w:r>
      <w:r>
        <w:rPr>
          <w:shd w:val="clear" w:color="auto" w:fill="FFFFFF"/>
        </w:rPr>
        <w:t xml:space="preserve">  </w:t>
      </w:r>
      <w:r>
        <w:rPr>
          <w:rFonts w:hint="eastAsia"/>
          <w:shd w:val="clear" w:color="auto" w:fill="FFFFFF"/>
        </w:rPr>
        <w:t>支护桩及冠梁的构造要求执行本规程5.5.9；</w:t>
      </w:r>
    </w:p>
    <w:p>
      <w:pPr>
        <w:tabs>
          <w:tab w:val="left" w:pos="420"/>
        </w:tabs>
        <w:spacing w:line="360" w:lineRule="auto"/>
        <w:ind w:firstLine="480" w:firstLineChars="200"/>
        <w:jc w:val="left"/>
        <w:rPr>
          <w:sz w:val="24"/>
        </w:rPr>
      </w:pPr>
      <w:r>
        <w:rPr>
          <w:rFonts w:hint="eastAsia"/>
          <w:sz w:val="24"/>
        </w:rPr>
        <w:t>2</w:t>
      </w:r>
      <w:r>
        <w:rPr>
          <w:sz w:val="24"/>
        </w:rPr>
        <w:t xml:space="preserve">  锚杆的布置应符合下列规定：</w:t>
      </w:r>
    </w:p>
    <w:p>
      <w:pPr>
        <w:tabs>
          <w:tab w:val="left" w:pos="420"/>
        </w:tabs>
        <w:spacing w:line="360" w:lineRule="auto"/>
        <w:ind w:left="1095" w:leftChars="350" w:hanging="360" w:hangingChars="150"/>
        <w:jc w:val="left"/>
        <w:rPr>
          <w:sz w:val="24"/>
        </w:rPr>
      </w:pPr>
      <w:r>
        <w:rPr>
          <w:sz w:val="24"/>
        </w:rPr>
        <w:t>1）锚杆的水平间距不宜小于1.5m；多层锚杆，其竖向间距不宜小于2.0m；当锚杆的间距小于1.5m时，应根据群锚效应对锚杆抗拔承载力进行折减或相邻锚杆应取不同的倾角；</w:t>
      </w:r>
    </w:p>
    <w:p>
      <w:pPr>
        <w:tabs>
          <w:tab w:val="left" w:pos="420"/>
        </w:tabs>
        <w:spacing w:line="360" w:lineRule="auto"/>
        <w:ind w:left="1095" w:leftChars="350" w:hanging="360" w:hangingChars="150"/>
        <w:jc w:val="left"/>
        <w:rPr>
          <w:sz w:val="24"/>
        </w:rPr>
      </w:pPr>
      <w:r>
        <w:rPr>
          <w:sz w:val="24"/>
        </w:rPr>
        <w:t>2）锚杆锚固段的上覆土层厚度不宜小于4.0m；</w:t>
      </w:r>
    </w:p>
    <w:p>
      <w:pPr>
        <w:tabs>
          <w:tab w:val="left" w:pos="420"/>
        </w:tabs>
        <w:spacing w:line="360" w:lineRule="auto"/>
        <w:ind w:left="1095" w:leftChars="350" w:hanging="360" w:hangingChars="150"/>
        <w:jc w:val="left"/>
        <w:rPr>
          <w:sz w:val="24"/>
        </w:rPr>
      </w:pPr>
      <w:r>
        <w:rPr>
          <w:sz w:val="24"/>
        </w:rPr>
        <w:t>3）锚杆倾角宜取15°～25°，且不</w:t>
      </w:r>
      <w:r>
        <w:rPr>
          <w:rFonts w:hint="eastAsia"/>
          <w:sz w:val="24"/>
        </w:rPr>
        <w:t>宜</w:t>
      </w:r>
      <w:r>
        <w:rPr>
          <w:sz w:val="24"/>
        </w:rPr>
        <w:t>大于</w:t>
      </w:r>
      <w:r>
        <w:rPr>
          <w:rFonts w:hint="eastAsia"/>
          <w:sz w:val="24"/>
        </w:rPr>
        <w:t>35</w:t>
      </w:r>
      <w:r>
        <w:rPr>
          <w:sz w:val="24"/>
        </w:rPr>
        <w:t>°，不应小于10°；锚杆的锚固段宜设置在黏结强度</w:t>
      </w:r>
      <w:r>
        <w:rPr>
          <w:rFonts w:hint="eastAsia"/>
          <w:sz w:val="24"/>
        </w:rPr>
        <w:t>较</w:t>
      </w:r>
      <w:r>
        <w:rPr>
          <w:sz w:val="24"/>
        </w:rPr>
        <w:t>高的土层内；</w:t>
      </w:r>
    </w:p>
    <w:p>
      <w:pPr>
        <w:tabs>
          <w:tab w:val="left" w:pos="420"/>
        </w:tabs>
        <w:spacing w:line="360" w:lineRule="auto"/>
        <w:ind w:left="1095" w:leftChars="350" w:hanging="360" w:hangingChars="150"/>
        <w:jc w:val="left"/>
        <w:rPr>
          <w:sz w:val="24"/>
        </w:rPr>
      </w:pPr>
      <w:r>
        <w:rPr>
          <w:sz w:val="24"/>
        </w:rPr>
        <w:t>4）当锚杆穿过的地层上方存在天然地基的建筑物或地下构筑物时，</w:t>
      </w:r>
      <w:r>
        <w:rPr>
          <w:rFonts w:hint="eastAsia"/>
          <w:sz w:val="24"/>
        </w:rPr>
        <w:t>应采取防</w:t>
      </w:r>
      <w:r>
        <w:rPr>
          <w:sz w:val="24"/>
        </w:rPr>
        <w:t>塌孔</w:t>
      </w:r>
      <w:r>
        <w:rPr>
          <w:rFonts w:hint="eastAsia"/>
          <w:sz w:val="24"/>
        </w:rPr>
        <w:t>、防变形的措施</w:t>
      </w:r>
      <w:r>
        <w:rPr>
          <w:sz w:val="24"/>
        </w:rPr>
        <w:t>。</w:t>
      </w:r>
    </w:p>
    <w:p>
      <w:pPr>
        <w:tabs>
          <w:tab w:val="left" w:pos="420"/>
        </w:tabs>
        <w:spacing w:line="360" w:lineRule="auto"/>
        <w:ind w:firstLine="480" w:firstLineChars="200"/>
        <w:jc w:val="left"/>
        <w:rPr>
          <w:color w:val="000000"/>
          <w:sz w:val="24"/>
          <w:lang w:val="ru-RU"/>
        </w:rPr>
      </w:pPr>
      <w:r>
        <w:rPr>
          <w:rFonts w:hint="eastAsia"/>
          <w:sz w:val="24"/>
          <w:lang w:val="ru-RU"/>
        </w:rPr>
        <w:t>3</w:t>
      </w:r>
      <w:r>
        <w:rPr>
          <w:sz w:val="24"/>
          <w:lang w:val="ru-RU"/>
        </w:rPr>
        <w:t xml:space="preserve">  </w:t>
      </w:r>
      <w:r>
        <w:rPr>
          <w:color w:val="000000"/>
          <w:sz w:val="24"/>
          <w:lang w:val="ru-RU"/>
        </w:rPr>
        <w:t>锚杆的构造应符合下列规定：</w:t>
      </w:r>
    </w:p>
    <w:p>
      <w:pPr>
        <w:tabs>
          <w:tab w:val="left" w:pos="420"/>
        </w:tabs>
        <w:spacing w:line="360" w:lineRule="auto"/>
        <w:ind w:left="1095" w:leftChars="350" w:hanging="360" w:hangingChars="150"/>
        <w:jc w:val="left"/>
        <w:rPr>
          <w:sz w:val="24"/>
        </w:rPr>
      </w:pPr>
      <w:r>
        <w:rPr>
          <w:sz w:val="24"/>
        </w:rPr>
        <w:t>1）成孔直径宜取1</w:t>
      </w:r>
      <w:r>
        <w:rPr>
          <w:rFonts w:hint="eastAsia"/>
          <w:sz w:val="24"/>
        </w:rPr>
        <w:t>0</w:t>
      </w:r>
      <w:r>
        <w:rPr>
          <w:sz w:val="24"/>
        </w:rPr>
        <w:t>0mm～200mm；</w:t>
      </w:r>
    </w:p>
    <w:p>
      <w:pPr>
        <w:tabs>
          <w:tab w:val="left" w:pos="420"/>
        </w:tabs>
        <w:spacing w:line="360" w:lineRule="auto"/>
        <w:ind w:left="1095" w:leftChars="350" w:hanging="360" w:hangingChars="150"/>
        <w:jc w:val="left"/>
        <w:rPr>
          <w:sz w:val="24"/>
        </w:rPr>
      </w:pPr>
      <w:r>
        <w:rPr>
          <w:sz w:val="24"/>
        </w:rPr>
        <w:t>2）自由段的长度不应小于5m，且穿过潜在滑动面进入稳定土层的长度不小于1.5m；</w:t>
      </w:r>
      <w:r>
        <w:rPr>
          <w:rFonts w:hint="eastAsia"/>
          <w:sz w:val="24"/>
        </w:rPr>
        <w:t>预应力锚杆</w:t>
      </w:r>
      <w:r>
        <w:rPr>
          <w:sz w:val="24"/>
        </w:rPr>
        <w:t>自由段应设置隔离套管；</w:t>
      </w:r>
    </w:p>
    <w:p>
      <w:pPr>
        <w:tabs>
          <w:tab w:val="left" w:pos="420"/>
        </w:tabs>
        <w:spacing w:line="360" w:lineRule="auto"/>
        <w:ind w:left="1095" w:leftChars="350" w:hanging="360" w:hangingChars="150"/>
        <w:jc w:val="left"/>
        <w:rPr>
          <w:sz w:val="24"/>
        </w:rPr>
      </w:pPr>
      <w:r>
        <w:rPr>
          <w:sz w:val="24"/>
        </w:rPr>
        <w:t>3）土层中的锚固段长度不宜小于6m；</w:t>
      </w:r>
    </w:p>
    <w:p>
      <w:pPr>
        <w:tabs>
          <w:tab w:val="left" w:pos="420"/>
        </w:tabs>
        <w:spacing w:line="360" w:lineRule="auto"/>
        <w:ind w:left="1095" w:leftChars="350" w:hanging="360" w:hangingChars="150"/>
        <w:jc w:val="left"/>
        <w:rPr>
          <w:sz w:val="24"/>
        </w:rPr>
      </w:pPr>
      <w:r>
        <w:rPr>
          <w:sz w:val="24"/>
        </w:rPr>
        <w:t>4）杆体的外露长度应满足</w:t>
      </w:r>
      <w:r>
        <w:rPr>
          <w:rFonts w:hint="eastAsia"/>
          <w:sz w:val="24"/>
        </w:rPr>
        <w:t>围檩</w:t>
      </w:r>
      <w:r>
        <w:rPr>
          <w:sz w:val="24"/>
        </w:rPr>
        <w:t>、台座尺寸及张拉锁定的要求；</w:t>
      </w:r>
    </w:p>
    <w:p>
      <w:pPr>
        <w:tabs>
          <w:tab w:val="left" w:pos="420"/>
        </w:tabs>
        <w:spacing w:line="360" w:lineRule="auto"/>
        <w:ind w:left="1095" w:leftChars="350" w:hanging="360" w:hangingChars="150"/>
        <w:jc w:val="left"/>
        <w:rPr>
          <w:sz w:val="24"/>
        </w:rPr>
      </w:pPr>
      <w:r>
        <w:rPr>
          <w:sz w:val="24"/>
        </w:rPr>
        <w:t>5）杆体用钢绞线应符合国家标准《预应力混凝土用钢绞线》GB/T5224的有关规定；</w:t>
      </w:r>
    </w:p>
    <w:p>
      <w:pPr>
        <w:tabs>
          <w:tab w:val="left" w:pos="420"/>
        </w:tabs>
        <w:spacing w:line="360" w:lineRule="auto"/>
        <w:ind w:left="1095" w:leftChars="350" w:hanging="360" w:hangingChars="150"/>
        <w:jc w:val="left"/>
        <w:rPr>
          <w:sz w:val="24"/>
        </w:rPr>
      </w:pPr>
      <w:r>
        <w:rPr>
          <w:sz w:val="24"/>
        </w:rPr>
        <w:t>6）钢筋锚杆的杆体宜选用预应力螺纹钢筋、HRB400、HRB500级螺纹钢筋；</w:t>
      </w:r>
    </w:p>
    <w:p>
      <w:pPr>
        <w:tabs>
          <w:tab w:val="left" w:pos="420"/>
        </w:tabs>
        <w:spacing w:line="360" w:lineRule="auto"/>
        <w:ind w:left="1095" w:leftChars="350" w:hanging="360" w:hangingChars="150"/>
        <w:jc w:val="left"/>
        <w:rPr>
          <w:sz w:val="24"/>
          <w:lang w:val="ru-RU"/>
        </w:rPr>
      </w:pPr>
      <w:r>
        <w:rPr>
          <w:sz w:val="24"/>
        </w:rPr>
        <w:t>7）应沿锚杆体全长设置定位支架；定位支架应能使相邻定位支架中点处锚</w:t>
      </w:r>
      <w:r>
        <w:rPr>
          <w:rFonts w:hint="eastAsia"/>
          <w:sz w:val="24"/>
        </w:rPr>
        <w:t>杆</w:t>
      </w:r>
      <w:r>
        <w:rPr>
          <w:sz w:val="24"/>
        </w:rPr>
        <w:t>杆体的注浆固结体保护层厚度不小于 10mm，定位支架的间距宜根据锚杆</w:t>
      </w:r>
      <w:r>
        <w:rPr>
          <w:rFonts w:hint="eastAsia"/>
          <w:sz w:val="24"/>
        </w:rPr>
        <w:t>杆</w:t>
      </w:r>
      <w:r>
        <w:rPr>
          <w:sz w:val="24"/>
          <w:lang w:val="ru-RU"/>
        </w:rPr>
        <w:t>体的组装刚度确定，对自由段宜取 1.5m～2.0m；对锚固段宜取 1.0m～1.5m；定位支架应能使各根钢绞线相互分离；</w:t>
      </w:r>
    </w:p>
    <w:p>
      <w:pPr>
        <w:tabs>
          <w:tab w:val="left" w:pos="420"/>
        </w:tabs>
        <w:spacing w:line="360" w:lineRule="auto"/>
        <w:ind w:left="1095" w:leftChars="350" w:hanging="360" w:hangingChars="150"/>
        <w:jc w:val="left"/>
        <w:rPr>
          <w:sz w:val="24"/>
        </w:rPr>
      </w:pPr>
      <w:r>
        <w:rPr>
          <w:sz w:val="24"/>
        </w:rPr>
        <w:t>8）锚具应符合国家标准《预应力筋用锚具、夹具和连接器》GB/T14370的规定；</w:t>
      </w:r>
    </w:p>
    <w:p>
      <w:pPr>
        <w:tabs>
          <w:tab w:val="left" w:pos="420"/>
        </w:tabs>
        <w:spacing w:line="360" w:lineRule="auto"/>
        <w:ind w:left="1095" w:leftChars="350" w:hanging="360" w:hangingChars="150"/>
        <w:jc w:val="left"/>
        <w:rPr>
          <w:sz w:val="24"/>
        </w:rPr>
      </w:pPr>
      <w:r>
        <w:rPr>
          <w:sz w:val="24"/>
        </w:rPr>
        <w:t>9）锚杆注浆应采用水泥浆或水泥砂浆，注浆固结体强度不宜低于20MPa；</w:t>
      </w:r>
    </w:p>
    <w:p>
      <w:pPr>
        <w:tabs>
          <w:tab w:val="left" w:pos="420"/>
        </w:tabs>
        <w:spacing w:line="360" w:lineRule="auto"/>
        <w:ind w:left="850" w:leftChars="229" w:hanging="369" w:hangingChars="154"/>
        <w:jc w:val="left"/>
        <w:rPr>
          <w:sz w:val="24"/>
          <w:lang w:val="ru-RU"/>
        </w:rPr>
      </w:pPr>
      <w:r>
        <w:rPr>
          <w:rFonts w:hint="eastAsia"/>
          <w:sz w:val="24"/>
          <w:lang w:val="ru-RU"/>
        </w:rPr>
        <w:t>4</w:t>
      </w:r>
      <w:r>
        <w:rPr>
          <w:sz w:val="24"/>
          <w:lang w:val="ru-RU"/>
        </w:rPr>
        <w:t xml:space="preserve">  围檩可采用型钢组合梁或混凝土梁</w:t>
      </w:r>
      <w:r>
        <w:rPr>
          <w:rFonts w:hint="eastAsia"/>
          <w:sz w:val="24"/>
          <w:lang w:val="ru-RU"/>
        </w:rPr>
        <w:t>，</w:t>
      </w:r>
      <w:r>
        <w:rPr>
          <w:sz w:val="24"/>
          <w:lang w:val="ru-RU"/>
        </w:rPr>
        <w:t>应按受弯构件设计</w:t>
      </w:r>
      <w:r>
        <w:rPr>
          <w:rFonts w:hint="eastAsia"/>
          <w:sz w:val="24"/>
          <w:lang w:val="ru-RU"/>
        </w:rPr>
        <w:t>。</w:t>
      </w:r>
      <w:r>
        <w:rPr>
          <w:sz w:val="24"/>
          <w:lang w:val="ru-RU"/>
        </w:rPr>
        <w:t>混凝土围檩的正截面、斜截面承载力应符合国家标准《混凝土结构设计规范》G</w:t>
      </w:r>
      <w:r>
        <w:rPr>
          <w:rFonts w:hint="eastAsia"/>
          <w:sz w:val="24"/>
          <w:lang w:val="ru-RU"/>
        </w:rPr>
        <w:t>B</w:t>
      </w:r>
      <w:r>
        <w:rPr>
          <w:sz w:val="24"/>
          <w:lang w:val="ru-RU"/>
        </w:rPr>
        <w:t>50010的规定；型钢组合围檩的正截面、斜截面承载力应符合国家标准《钢结构设计规范》GB50017的规定。当锚杆锚</w:t>
      </w:r>
      <w:r>
        <w:rPr>
          <w:rFonts w:hint="eastAsia"/>
          <w:sz w:val="24"/>
          <w:lang w:val="ru-RU"/>
        </w:rPr>
        <w:t>头设置</w:t>
      </w:r>
      <w:r>
        <w:rPr>
          <w:sz w:val="24"/>
          <w:lang w:val="ru-RU"/>
        </w:rPr>
        <w:t>在混凝土冠梁上时，冠梁应按受弯构件设计。</w:t>
      </w:r>
    </w:p>
    <w:p>
      <w:pPr>
        <w:tabs>
          <w:tab w:val="left" w:pos="420"/>
        </w:tabs>
        <w:spacing w:line="360" w:lineRule="auto"/>
        <w:rPr>
          <w:sz w:val="24"/>
        </w:rPr>
      </w:pPr>
      <w:r>
        <w:rPr>
          <w:b/>
          <w:sz w:val="24"/>
        </w:rPr>
        <w:t xml:space="preserve">5.6.4  </w:t>
      </w:r>
      <w:r>
        <w:rPr>
          <w:sz w:val="24"/>
        </w:rPr>
        <w:t>桩锚支护施工控制要点</w:t>
      </w:r>
    </w:p>
    <w:p>
      <w:pPr>
        <w:spacing w:line="360" w:lineRule="auto"/>
        <w:ind w:firstLine="480" w:firstLineChars="200"/>
        <w:jc w:val="left"/>
        <w:rPr>
          <w:color w:val="000000"/>
          <w:sz w:val="24"/>
          <w:shd w:val="clear" w:color="auto" w:fill="FFFFFF"/>
        </w:rPr>
      </w:pPr>
      <w:r>
        <w:rPr>
          <w:color w:val="000000"/>
          <w:sz w:val="24"/>
          <w:shd w:val="clear" w:color="auto" w:fill="FFFFFF"/>
        </w:rPr>
        <w:t xml:space="preserve">1  </w:t>
      </w:r>
      <w:r>
        <w:rPr>
          <w:rFonts w:hint="eastAsia"/>
          <w:color w:val="000000"/>
          <w:sz w:val="24"/>
          <w:shd w:val="clear" w:color="auto" w:fill="FFFFFF"/>
        </w:rPr>
        <w:t>支护桩施工控制要点执行本规程5.5.10条；</w:t>
      </w:r>
    </w:p>
    <w:p>
      <w:pPr>
        <w:spacing w:line="360" w:lineRule="auto"/>
        <w:ind w:firstLine="480" w:firstLineChars="200"/>
        <w:jc w:val="left"/>
        <w:rPr>
          <w:color w:val="000000"/>
          <w:sz w:val="24"/>
          <w:shd w:val="clear" w:color="auto" w:fill="FFFFFF"/>
          <w:lang w:val="ru-RU"/>
        </w:rPr>
      </w:pPr>
      <w:r>
        <w:rPr>
          <w:color w:val="000000"/>
          <w:sz w:val="24"/>
          <w:shd w:val="clear" w:color="auto" w:fill="FFFFFF"/>
          <w:lang w:val="ru-RU"/>
        </w:rPr>
        <w:t>2  锚杆的成孔应符合下列规定：</w:t>
      </w:r>
    </w:p>
    <w:p>
      <w:pPr>
        <w:tabs>
          <w:tab w:val="left" w:pos="420"/>
        </w:tabs>
        <w:spacing w:line="360" w:lineRule="auto"/>
        <w:ind w:left="1095" w:leftChars="350" w:hanging="360" w:hangingChars="150"/>
        <w:jc w:val="left"/>
        <w:rPr>
          <w:sz w:val="24"/>
        </w:rPr>
      </w:pPr>
      <w:r>
        <w:rPr>
          <w:sz w:val="24"/>
        </w:rPr>
        <w:t>1）应根据土层性状和地下水条件选择套管护壁、干成孔或泥浆护壁成孔工艺，成孔工艺应满足孔壁稳定性要求；</w:t>
      </w:r>
    </w:p>
    <w:p>
      <w:pPr>
        <w:tabs>
          <w:tab w:val="left" w:pos="420"/>
        </w:tabs>
        <w:spacing w:line="360" w:lineRule="auto"/>
        <w:ind w:left="1095" w:leftChars="350" w:hanging="360" w:hangingChars="150"/>
        <w:jc w:val="left"/>
        <w:rPr>
          <w:sz w:val="24"/>
        </w:rPr>
      </w:pPr>
      <w:r>
        <w:rPr>
          <w:sz w:val="24"/>
        </w:rPr>
        <w:t>2）对</w:t>
      </w:r>
      <w:r>
        <w:rPr>
          <w:rFonts w:hint="eastAsia"/>
          <w:sz w:val="24"/>
        </w:rPr>
        <w:t>易塌孔的</w:t>
      </w:r>
      <w:r>
        <w:rPr>
          <w:sz w:val="24"/>
        </w:rPr>
        <w:t>砂土、粉土</w:t>
      </w:r>
      <w:r>
        <w:rPr>
          <w:rFonts w:hint="eastAsia"/>
          <w:sz w:val="24"/>
        </w:rPr>
        <w:t>、碎</w:t>
      </w:r>
      <w:r>
        <w:rPr>
          <w:sz w:val="24"/>
        </w:rPr>
        <w:t>石</w:t>
      </w:r>
      <w:r>
        <w:rPr>
          <w:rFonts w:hint="eastAsia"/>
          <w:sz w:val="24"/>
        </w:rPr>
        <w:t>土、</w:t>
      </w:r>
      <w:r>
        <w:rPr>
          <w:sz w:val="24"/>
        </w:rPr>
        <w:t>填土</w:t>
      </w:r>
      <w:r>
        <w:rPr>
          <w:rFonts w:hint="eastAsia"/>
          <w:sz w:val="24"/>
        </w:rPr>
        <w:t>、软土</w:t>
      </w:r>
      <w:r>
        <w:rPr>
          <w:sz w:val="24"/>
        </w:rPr>
        <w:t>宜采用套管护壁成孔护壁工艺；</w:t>
      </w:r>
    </w:p>
    <w:p>
      <w:pPr>
        <w:tabs>
          <w:tab w:val="left" w:pos="420"/>
        </w:tabs>
        <w:spacing w:line="360" w:lineRule="auto"/>
        <w:ind w:left="1095" w:leftChars="350" w:hanging="360" w:hangingChars="150"/>
        <w:jc w:val="left"/>
        <w:rPr>
          <w:sz w:val="24"/>
        </w:rPr>
      </w:pPr>
      <w:r>
        <w:rPr>
          <w:rFonts w:hint="eastAsia"/>
          <w:sz w:val="24"/>
        </w:rPr>
        <w:t>3</w:t>
      </w:r>
      <w:r>
        <w:rPr>
          <w:sz w:val="24"/>
        </w:rPr>
        <w:t>）在高塑性指数的黏性土层</w:t>
      </w:r>
      <w:r>
        <w:rPr>
          <w:rFonts w:hint="eastAsia"/>
          <w:sz w:val="24"/>
        </w:rPr>
        <w:t>中</w:t>
      </w:r>
      <w:r>
        <w:rPr>
          <w:sz w:val="24"/>
        </w:rPr>
        <w:t>成孔时，不宜采用泥浆护壁成孔工艺；</w:t>
      </w:r>
    </w:p>
    <w:p>
      <w:pPr>
        <w:tabs>
          <w:tab w:val="left" w:pos="420"/>
        </w:tabs>
        <w:spacing w:line="360" w:lineRule="auto"/>
        <w:ind w:left="1095" w:leftChars="350" w:hanging="360" w:hangingChars="150"/>
        <w:jc w:val="left"/>
        <w:rPr>
          <w:sz w:val="24"/>
        </w:rPr>
      </w:pPr>
      <w:r>
        <w:rPr>
          <w:rFonts w:hint="eastAsia"/>
          <w:sz w:val="24"/>
        </w:rPr>
        <w:t>4</w:t>
      </w:r>
      <w:r>
        <w:rPr>
          <w:sz w:val="24"/>
        </w:rPr>
        <w:t>）当成孔过程中遇不明障碍物时，在查明</w:t>
      </w:r>
      <w:r>
        <w:rPr>
          <w:rFonts w:hint="eastAsia"/>
          <w:sz w:val="24"/>
        </w:rPr>
        <w:t>情况</w:t>
      </w:r>
      <w:r>
        <w:rPr>
          <w:sz w:val="24"/>
        </w:rPr>
        <w:t>前不得钻进。</w:t>
      </w:r>
    </w:p>
    <w:p>
      <w:pPr>
        <w:tabs>
          <w:tab w:val="left" w:pos="0"/>
        </w:tabs>
        <w:spacing w:line="360" w:lineRule="auto"/>
        <w:ind w:firstLine="480" w:firstLineChars="200"/>
        <w:jc w:val="left"/>
        <w:rPr>
          <w:color w:val="000000"/>
          <w:sz w:val="24"/>
          <w:shd w:val="clear" w:color="auto" w:fill="FFFFFF"/>
          <w:lang w:val="ru-RU"/>
        </w:rPr>
      </w:pPr>
      <w:r>
        <w:rPr>
          <w:color w:val="000000"/>
          <w:sz w:val="24"/>
          <w:shd w:val="clear" w:color="auto" w:fill="FFFFFF"/>
          <w:lang w:val="ru-RU"/>
        </w:rPr>
        <w:t>3  锚杆杆体的制作安装应符合下列规定：</w:t>
      </w:r>
    </w:p>
    <w:p>
      <w:pPr>
        <w:tabs>
          <w:tab w:val="left" w:pos="420"/>
        </w:tabs>
        <w:spacing w:line="360" w:lineRule="auto"/>
        <w:ind w:left="1095" w:leftChars="350" w:hanging="360" w:hangingChars="150"/>
        <w:jc w:val="left"/>
        <w:rPr>
          <w:sz w:val="24"/>
        </w:rPr>
      </w:pPr>
      <w:r>
        <w:rPr>
          <w:sz w:val="24"/>
        </w:rPr>
        <w:t>1）杆体绑扎时，钢绞线应平行、间距均匀；</w:t>
      </w:r>
      <w:r>
        <w:rPr>
          <w:rFonts w:hint="eastAsia"/>
          <w:sz w:val="24"/>
        </w:rPr>
        <w:t>安装</w:t>
      </w:r>
      <w:r>
        <w:rPr>
          <w:sz w:val="24"/>
        </w:rPr>
        <w:t>时</w:t>
      </w:r>
      <w:r>
        <w:rPr>
          <w:rFonts w:hint="eastAsia"/>
          <w:sz w:val="24"/>
        </w:rPr>
        <w:t>，</w:t>
      </w:r>
      <w:r>
        <w:rPr>
          <w:sz w:val="24"/>
        </w:rPr>
        <w:t>应避免</w:t>
      </w:r>
      <w:r>
        <w:rPr>
          <w:rFonts w:hint="eastAsia"/>
          <w:sz w:val="24"/>
        </w:rPr>
        <w:t>杆体</w:t>
      </w:r>
      <w:r>
        <w:rPr>
          <w:sz w:val="24"/>
        </w:rPr>
        <w:t>在孔内弯曲或扭转；</w:t>
      </w:r>
    </w:p>
    <w:p>
      <w:pPr>
        <w:tabs>
          <w:tab w:val="left" w:pos="420"/>
        </w:tabs>
        <w:spacing w:line="360" w:lineRule="auto"/>
        <w:ind w:left="1095" w:leftChars="350" w:hanging="360" w:hangingChars="150"/>
        <w:jc w:val="left"/>
        <w:rPr>
          <w:sz w:val="24"/>
        </w:rPr>
      </w:pPr>
      <w:r>
        <w:rPr>
          <w:sz w:val="24"/>
        </w:rPr>
        <w:t>2）当杆体采用HRB400、HRB500级钢筋时，其连接宜</w:t>
      </w:r>
      <w:r>
        <w:rPr>
          <w:rFonts w:hint="eastAsia"/>
          <w:sz w:val="24"/>
        </w:rPr>
        <w:t>优先选</w:t>
      </w:r>
      <w:r>
        <w:rPr>
          <w:sz w:val="24"/>
        </w:rPr>
        <w:t>用机械连接</w:t>
      </w:r>
      <w:r>
        <w:rPr>
          <w:rFonts w:hint="eastAsia"/>
          <w:sz w:val="24"/>
        </w:rPr>
        <w:t>，采用</w:t>
      </w:r>
      <w:r>
        <w:rPr>
          <w:sz w:val="24"/>
        </w:rPr>
        <w:t>双面搭接焊</w:t>
      </w:r>
      <w:r>
        <w:rPr>
          <w:rFonts w:hint="eastAsia"/>
          <w:sz w:val="24"/>
        </w:rPr>
        <w:t>或</w:t>
      </w:r>
      <w:r>
        <w:rPr>
          <w:sz w:val="24"/>
        </w:rPr>
        <w:t>双面帮条焊</w:t>
      </w:r>
      <w:r>
        <w:rPr>
          <w:rFonts w:hint="eastAsia"/>
          <w:sz w:val="24"/>
        </w:rPr>
        <w:t>时</w:t>
      </w:r>
      <w:r>
        <w:rPr>
          <w:sz w:val="24"/>
        </w:rPr>
        <w:t>焊缝长度不应小于杆体钢筋直径的5倍；</w:t>
      </w:r>
    </w:p>
    <w:p>
      <w:pPr>
        <w:tabs>
          <w:tab w:val="left" w:pos="420"/>
        </w:tabs>
        <w:spacing w:line="360" w:lineRule="auto"/>
        <w:ind w:left="1095" w:leftChars="350" w:hanging="360" w:hangingChars="150"/>
        <w:jc w:val="left"/>
        <w:rPr>
          <w:sz w:val="24"/>
        </w:rPr>
      </w:pPr>
      <w:r>
        <w:rPr>
          <w:sz w:val="24"/>
        </w:rPr>
        <w:t>3）杆体制作和安</w:t>
      </w:r>
      <w:r>
        <w:rPr>
          <w:rFonts w:hint="eastAsia"/>
          <w:sz w:val="24"/>
        </w:rPr>
        <w:t>装</w:t>
      </w:r>
      <w:r>
        <w:rPr>
          <w:sz w:val="24"/>
        </w:rPr>
        <w:t>时应除锈、除油污；</w:t>
      </w:r>
    </w:p>
    <w:p>
      <w:pPr>
        <w:tabs>
          <w:tab w:val="left" w:pos="420"/>
        </w:tabs>
        <w:spacing w:line="360" w:lineRule="auto"/>
        <w:ind w:left="1095" w:leftChars="350" w:hanging="360" w:hangingChars="150"/>
        <w:jc w:val="left"/>
        <w:rPr>
          <w:sz w:val="24"/>
        </w:rPr>
      </w:pPr>
      <w:r>
        <w:rPr>
          <w:sz w:val="24"/>
        </w:rPr>
        <w:t>4）采用套管护壁工艺成孔时，应在拔出套管前将杆体插入孔内；采用非套管护壁成孔时，杆体应匀速推送至孔内；</w:t>
      </w:r>
    </w:p>
    <w:p>
      <w:pPr>
        <w:tabs>
          <w:tab w:val="left" w:pos="420"/>
        </w:tabs>
        <w:spacing w:line="360" w:lineRule="auto"/>
        <w:ind w:left="1095" w:leftChars="350" w:hanging="360" w:hangingChars="150"/>
        <w:jc w:val="left"/>
        <w:rPr>
          <w:sz w:val="24"/>
        </w:rPr>
      </w:pPr>
      <w:r>
        <w:rPr>
          <w:sz w:val="24"/>
        </w:rPr>
        <w:t>5）</w:t>
      </w:r>
      <w:r>
        <w:rPr>
          <w:rFonts w:hint="eastAsia"/>
          <w:sz w:val="24"/>
        </w:rPr>
        <w:t>清</w:t>
      </w:r>
      <w:r>
        <w:rPr>
          <w:sz w:val="24"/>
        </w:rPr>
        <w:t>孔后应及时</w:t>
      </w:r>
      <w:r>
        <w:rPr>
          <w:rFonts w:hint="eastAsia"/>
          <w:sz w:val="24"/>
        </w:rPr>
        <w:t>安装</w:t>
      </w:r>
      <w:r>
        <w:rPr>
          <w:sz w:val="24"/>
        </w:rPr>
        <w:t>杆体及注浆。</w:t>
      </w:r>
    </w:p>
    <w:p>
      <w:pPr>
        <w:spacing w:line="360" w:lineRule="auto"/>
        <w:ind w:firstLine="480" w:firstLineChars="200"/>
        <w:jc w:val="left"/>
        <w:rPr>
          <w:color w:val="000000"/>
          <w:sz w:val="24"/>
          <w:shd w:val="clear" w:color="auto" w:fill="FFFFFF"/>
          <w:lang w:val="ru-RU"/>
        </w:rPr>
      </w:pPr>
      <w:r>
        <w:rPr>
          <w:color w:val="000000"/>
          <w:sz w:val="24"/>
          <w:shd w:val="clear" w:color="auto" w:fill="FFFFFF"/>
          <w:lang w:val="ru-RU"/>
        </w:rPr>
        <w:t>4  锚杆的注浆应符合下列规定：</w:t>
      </w:r>
    </w:p>
    <w:p>
      <w:pPr>
        <w:tabs>
          <w:tab w:val="left" w:pos="420"/>
        </w:tabs>
        <w:spacing w:line="360" w:lineRule="auto"/>
        <w:ind w:left="1095" w:leftChars="350" w:hanging="360" w:hangingChars="150"/>
        <w:jc w:val="left"/>
        <w:rPr>
          <w:sz w:val="24"/>
        </w:rPr>
      </w:pPr>
      <w:r>
        <w:rPr>
          <w:sz w:val="24"/>
        </w:rPr>
        <w:t>1）浆液采用水泥浆时，水灰比宜取0.50～0.55；采用水泥砂浆时，水灰比宜取   0.40～0.45，灰砂比宜取0.5～1.0，拌和用砂宜选用中粗砂，水泥宜用强度42.5级及以上普通硅酸盐水泥</w:t>
      </w:r>
      <w:r>
        <w:rPr>
          <w:rFonts w:hint="eastAsia"/>
          <w:sz w:val="24"/>
        </w:rPr>
        <w:t>，</w:t>
      </w:r>
      <w:r>
        <w:rPr>
          <w:sz w:val="24"/>
        </w:rPr>
        <w:t>水泥砂浆只能用于一次注浆；</w:t>
      </w:r>
    </w:p>
    <w:p>
      <w:pPr>
        <w:tabs>
          <w:tab w:val="left" w:pos="420"/>
        </w:tabs>
        <w:spacing w:line="360" w:lineRule="auto"/>
        <w:ind w:left="1095" w:leftChars="350" w:hanging="360" w:hangingChars="150"/>
        <w:jc w:val="left"/>
        <w:rPr>
          <w:sz w:val="24"/>
        </w:rPr>
      </w:pPr>
      <w:r>
        <w:rPr>
          <w:sz w:val="24"/>
        </w:rPr>
        <w:t>2）水泥浆或水泥砂浆内可掺入能提高注浆固结体早期强度或微膨胀的外</w:t>
      </w:r>
      <w:r>
        <w:rPr>
          <w:rFonts w:hint="eastAsia"/>
          <w:sz w:val="24"/>
        </w:rPr>
        <w:t>加</w:t>
      </w:r>
      <w:r>
        <w:rPr>
          <w:sz w:val="24"/>
        </w:rPr>
        <w:t>剂，   其掺入量宜按室内试验确定；</w:t>
      </w:r>
    </w:p>
    <w:p>
      <w:pPr>
        <w:tabs>
          <w:tab w:val="left" w:pos="420"/>
        </w:tabs>
        <w:spacing w:line="360" w:lineRule="auto"/>
        <w:ind w:left="1095" w:leftChars="350" w:hanging="360" w:hangingChars="150"/>
        <w:jc w:val="left"/>
        <w:rPr>
          <w:sz w:val="24"/>
        </w:rPr>
      </w:pPr>
      <w:r>
        <w:rPr>
          <w:sz w:val="24"/>
        </w:rPr>
        <w:t>3）注浆管端部至孔底的距离不宜大于200mm；注浆及拔管过程中，注浆管口应   始终埋入注浆液面内，</w:t>
      </w:r>
      <w:r>
        <w:rPr>
          <w:rFonts w:hint="eastAsia"/>
          <w:sz w:val="24"/>
        </w:rPr>
        <w:t>注</w:t>
      </w:r>
      <w:r>
        <w:rPr>
          <w:sz w:val="24"/>
        </w:rPr>
        <w:t>浆</w:t>
      </w:r>
      <w:r>
        <w:rPr>
          <w:rFonts w:hint="eastAsia"/>
          <w:sz w:val="24"/>
        </w:rPr>
        <w:t>饱满后方可</w:t>
      </w:r>
      <w:r>
        <w:rPr>
          <w:sz w:val="24"/>
        </w:rPr>
        <w:t>停止注浆</w:t>
      </w:r>
      <w:r>
        <w:rPr>
          <w:rFonts w:hint="eastAsia"/>
          <w:sz w:val="24"/>
        </w:rPr>
        <w:t>，</w:t>
      </w:r>
      <w:r>
        <w:rPr>
          <w:sz w:val="24"/>
        </w:rPr>
        <w:t>当浆液液面下降时，应进行孔口补浆；</w:t>
      </w:r>
    </w:p>
    <w:p>
      <w:pPr>
        <w:tabs>
          <w:tab w:val="left" w:pos="420"/>
        </w:tabs>
        <w:spacing w:line="360" w:lineRule="auto"/>
        <w:ind w:left="1095" w:leftChars="350" w:hanging="360" w:hangingChars="150"/>
        <w:jc w:val="left"/>
        <w:rPr>
          <w:sz w:val="24"/>
        </w:rPr>
      </w:pPr>
      <w:r>
        <w:rPr>
          <w:sz w:val="24"/>
        </w:rPr>
        <w:t>4）二次注浆管应牢固绑扎在杆体上，注浆管的出浆口应采取逆止措施；二次注浆压力宜为1.5～2.5MPa，一次注浆浆体初凝后，</w:t>
      </w:r>
      <w:r>
        <w:rPr>
          <w:rFonts w:hint="eastAsia"/>
          <w:sz w:val="24"/>
        </w:rPr>
        <w:t>才</w:t>
      </w:r>
      <w:r>
        <w:rPr>
          <w:sz w:val="24"/>
        </w:rPr>
        <w:t>可进行二次注浆；</w:t>
      </w:r>
    </w:p>
    <w:p>
      <w:pPr>
        <w:tabs>
          <w:tab w:val="left" w:pos="420"/>
        </w:tabs>
        <w:spacing w:line="360" w:lineRule="auto"/>
        <w:ind w:left="1095" w:leftChars="350" w:hanging="360" w:hangingChars="150"/>
        <w:jc w:val="left"/>
        <w:rPr>
          <w:sz w:val="24"/>
        </w:rPr>
      </w:pPr>
      <w:r>
        <w:rPr>
          <w:sz w:val="24"/>
        </w:rPr>
        <w:t>5）采用分段二次劈裂注浆工艺时，注浆宜在固结体强度达到 5MPa后进行，注   浆管的出浆孔宜沿锚固段全长设置，注浆顺序应由内向外分段依次进行；</w:t>
      </w:r>
    </w:p>
    <w:p>
      <w:pPr>
        <w:tabs>
          <w:tab w:val="left" w:pos="420"/>
        </w:tabs>
        <w:spacing w:line="360" w:lineRule="auto"/>
        <w:ind w:left="1095" w:leftChars="350" w:hanging="360" w:hangingChars="150"/>
        <w:jc w:val="left"/>
        <w:rPr>
          <w:sz w:val="24"/>
        </w:rPr>
      </w:pPr>
      <w:r>
        <w:rPr>
          <w:sz w:val="24"/>
        </w:rPr>
        <w:t>6）基坑采用截水帷幕时，地下水位以下的锚杆注浆应采取孔口封堵措施；</w:t>
      </w:r>
    </w:p>
    <w:p>
      <w:pPr>
        <w:tabs>
          <w:tab w:val="left" w:pos="420"/>
        </w:tabs>
        <w:spacing w:line="360" w:lineRule="auto"/>
        <w:ind w:left="1095" w:leftChars="350" w:hanging="360" w:hangingChars="150"/>
        <w:jc w:val="left"/>
        <w:rPr>
          <w:sz w:val="24"/>
        </w:rPr>
      </w:pPr>
      <w:r>
        <w:rPr>
          <w:rFonts w:hint="eastAsia"/>
          <w:sz w:val="24"/>
        </w:rPr>
        <w:t>7</w:t>
      </w:r>
      <w:r>
        <w:rPr>
          <w:sz w:val="24"/>
        </w:rPr>
        <w:t>）寒冷地区在冬期施工时，应对注浆液采取保温措施，浆液温度应保持在 5°C以上。</w:t>
      </w:r>
    </w:p>
    <w:p>
      <w:pPr>
        <w:spacing w:line="360" w:lineRule="auto"/>
        <w:ind w:firstLine="480" w:firstLineChars="200"/>
        <w:jc w:val="left"/>
        <w:rPr>
          <w:color w:val="000000"/>
          <w:sz w:val="24"/>
          <w:shd w:val="clear" w:color="auto" w:fill="FFFFFF"/>
          <w:lang w:val="ru-RU"/>
        </w:rPr>
      </w:pPr>
      <w:r>
        <w:rPr>
          <w:color w:val="000000"/>
          <w:sz w:val="24"/>
          <w:shd w:val="clear" w:color="auto" w:fill="FFFFFF"/>
          <w:lang w:val="ru-RU"/>
        </w:rPr>
        <w:t>5  锚杆的施工偏差应符合下列要求：</w:t>
      </w:r>
    </w:p>
    <w:p>
      <w:pPr>
        <w:tabs>
          <w:tab w:val="left" w:pos="420"/>
        </w:tabs>
        <w:spacing w:line="360" w:lineRule="auto"/>
        <w:ind w:left="1095" w:leftChars="350" w:hanging="360" w:hangingChars="150"/>
        <w:jc w:val="left"/>
        <w:rPr>
          <w:sz w:val="24"/>
        </w:rPr>
      </w:pPr>
      <w:r>
        <w:rPr>
          <w:sz w:val="24"/>
        </w:rPr>
        <w:t>1）钻孔孔位的允许偏差应</w:t>
      </w:r>
      <w:r>
        <w:rPr>
          <w:rFonts w:hint="eastAsia"/>
          <w:sz w:val="24"/>
        </w:rPr>
        <w:t>小于</w:t>
      </w:r>
      <w:r>
        <w:rPr>
          <w:sz w:val="24"/>
        </w:rPr>
        <w:t>50mm；</w:t>
      </w:r>
    </w:p>
    <w:p>
      <w:pPr>
        <w:tabs>
          <w:tab w:val="left" w:pos="420"/>
        </w:tabs>
        <w:spacing w:line="360" w:lineRule="auto"/>
        <w:ind w:left="1095" w:leftChars="350" w:hanging="360" w:hangingChars="150"/>
        <w:jc w:val="left"/>
        <w:rPr>
          <w:sz w:val="24"/>
        </w:rPr>
      </w:pPr>
      <w:r>
        <w:rPr>
          <w:sz w:val="24"/>
        </w:rPr>
        <w:t>2）钻孔倾角的允许偏差应不大于 3°；</w:t>
      </w:r>
    </w:p>
    <w:p>
      <w:pPr>
        <w:tabs>
          <w:tab w:val="left" w:pos="420"/>
        </w:tabs>
        <w:spacing w:line="360" w:lineRule="auto"/>
        <w:ind w:left="1095" w:leftChars="350" w:hanging="360" w:hangingChars="150"/>
        <w:jc w:val="left"/>
        <w:rPr>
          <w:sz w:val="24"/>
        </w:rPr>
      </w:pPr>
      <w:r>
        <w:rPr>
          <w:sz w:val="24"/>
        </w:rPr>
        <w:t>3）杆体长度应</w:t>
      </w:r>
      <w:r>
        <w:rPr>
          <w:rFonts w:hint="eastAsia"/>
          <w:sz w:val="24"/>
        </w:rPr>
        <w:t>不小于</w:t>
      </w:r>
      <w:r>
        <w:rPr>
          <w:sz w:val="24"/>
        </w:rPr>
        <w:t>设计长度；</w:t>
      </w:r>
    </w:p>
    <w:p>
      <w:pPr>
        <w:tabs>
          <w:tab w:val="left" w:pos="420"/>
        </w:tabs>
        <w:spacing w:line="360" w:lineRule="auto"/>
        <w:ind w:left="1095" w:leftChars="350" w:hanging="360" w:hangingChars="150"/>
        <w:jc w:val="left"/>
        <w:rPr>
          <w:sz w:val="24"/>
        </w:rPr>
      </w:pPr>
      <w:r>
        <w:rPr>
          <w:sz w:val="24"/>
        </w:rPr>
        <w:t>4）钻孔深度应超过设计长度0.5m；</w:t>
      </w:r>
    </w:p>
    <w:p>
      <w:pPr>
        <w:tabs>
          <w:tab w:val="left" w:pos="420"/>
        </w:tabs>
        <w:spacing w:line="360" w:lineRule="auto"/>
        <w:ind w:left="1095" w:leftChars="350" w:hanging="360" w:hangingChars="150"/>
        <w:jc w:val="left"/>
        <w:rPr>
          <w:sz w:val="24"/>
        </w:rPr>
      </w:pPr>
      <w:r>
        <w:rPr>
          <w:sz w:val="24"/>
        </w:rPr>
        <w:t>5）自由段的套管长度允许偏差应为±50mm。</w:t>
      </w:r>
    </w:p>
    <w:p>
      <w:pPr>
        <w:spacing w:line="360" w:lineRule="auto"/>
        <w:ind w:firstLine="480" w:firstLineChars="200"/>
        <w:jc w:val="left"/>
        <w:rPr>
          <w:color w:val="000000"/>
          <w:sz w:val="24"/>
          <w:shd w:val="clear" w:color="auto" w:fill="FFFFFF"/>
          <w:lang w:val="ru-RU"/>
        </w:rPr>
      </w:pPr>
      <w:r>
        <w:rPr>
          <w:color w:val="000000"/>
          <w:sz w:val="24"/>
          <w:shd w:val="clear" w:color="auto" w:fill="FFFFFF"/>
          <w:lang w:val="ru-RU"/>
        </w:rPr>
        <w:t>6  预应力锚杆张拉锁定时应符合下列要求：</w:t>
      </w:r>
    </w:p>
    <w:p>
      <w:pPr>
        <w:tabs>
          <w:tab w:val="left" w:pos="420"/>
        </w:tabs>
        <w:spacing w:line="360" w:lineRule="auto"/>
        <w:ind w:left="1095" w:leftChars="350" w:hanging="360" w:hangingChars="150"/>
        <w:jc w:val="left"/>
        <w:rPr>
          <w:sz w:val="24"/>
        </w:rPr>
      </w:pPr>
      <w:r>
        <w:rPr>
          <w:sz w:val="24"/>
        </w:rPr>
        <w:t>1）当锚杆固结体的强度达到15MPa或设计强度的75%后，方可进行锚杆的张拉锁定；</w:t>
      </w:r>
    </w:p>
    <w:p>
      <w:pPr>
        <w:tabs>
          <w:tab w:val="left" w:pos="420"/>
        </w:tabs>
        <w:spacing w:line="360" w:lineRule="auto"/>
        <w:ind w:left="1095" w:leftChars="350" w:hanging="360" w:hangingChars="150"/>
        <w:jc w:val="left"/>
        <w:rPr>
          <w:sz w:val="24"/>
        </w:rPr>
      </w:pPr>
      <w:r>
        <w:rPr>
          <w:sz w:val="24"/>
        </w:rPr>
        <w:t>2）对</w:t>
      </w:r>
      <w:r>
        <w:rPr>
          <w:rFonts w:hint="eastAsia"/>
          <w:sz w:val="24"/>
        </w:rPr>
        <w:t>拉力</w:t>
      </w:r>
      <w:r>
        <w:rPr>
          <w:sz w:val="24"/>
        </w:rPr>
        <w:t>型钢绞线锚</w:t>
      </w:r>
      <w:r>
        <w:rPr>
          <w:rFonts w:hint="eastAsia"/>
          <w:sz w:val="24"/>
        </w:rPr>
        <w:t>杆</w:t>
      </w:r>
      <w:r>
        <w:rPr>
          <w:sz w:val="24"/>
        </w:rPr>
        <w:t>宜采用钢绞线束整体张拉锁定的方法；</w:t>
      </w:r>
    </w:p>
    <w:p>
      <w:pPr>
        <w:tabs>
          <w:tab w:val="left" w:pos="420"/>
        </w:tabs>
        <w:spacing w:line="360" w:lineRule="auto"/>
        <w:ind w:left="1095" w:leftChars="350" w:hanging="360" w:hangingChars="150"/>
        <w:jc w:val="left"/>
        <w:rPr>
          <w:sz w:val="24"/>
        </w:rPr>
      </w:pPr>
      <w:r>
        <w:rPr>
          <w:sz w:val="24"/>
        </w:rPr>
        <w:t>3）对</w:t>
      </w:r>
      <w:r>
        <w:rPr>
          <w:rFonts w:hint="eastAsia"/>
          <w:sz w:val="24"/>
        </w:rPr>
        <w:t>压力</w:t>
      </w:r>
      <w:r>
        <w:rPr>
          <w:sz w:val="24"/>
        </w:rPr>
        <w:t>分散型锚</w:t>
      </w:r>
      <w:r>
        <w:rPr>
          <w:rFonts w:hint="eastAsia"/>
          <w:sz w:val="24"/>
        </w:rPr>
        <w:t>杆</w:t>
      </w:r>
      <w:r>
        <w:rPr>
          <w:sz w:val="24"/>
        </w:rPr>
        <w:t>张拉宜采用补偿荷载整体张拉方法</w:t>
      </w:r>
      <w:r>
        <w:rPr>
          <w:rFonts w:hint="eastAsia"/>
          <w:sz w:val="24"/>
        </w:rPr>
        <w:t>，</w:t>
      </w:r>
      <w:r>
        <w:rPr>
          <w:sz w:val="24"/>
        </w:rPr>
        <w:t>也可采用单元锚</w:t>
      </w:r>
      <w:r>
        <w:rPr>
          <w:rFonts w:hint="eastAsia"/>
          <w:sz w:val="24"/>
        </w:rPr>
        <w:t>杆</w:t>
      </w:r>
      <w:r>
        <w:rPr>
          <w:sz w:val="24"/>
        </w:rPr>
        <w:t>逐组张拉方法，且应</w:t>
      </w:r>
      <w:r>
        <w:rPr>
          <w:rFonts w:hint="eastAsia"/>
          <w:sz w:val="24"/>
        </w:rPr>
        <w:t>按</w:t>
      </w:r>
      <w:r>
        <w:rPr>
          <w:sz w:val="24"/>
        </w:rPr>
        <w:t>从最短单元锚</w:t>
      </w:r>
      <w:r>
        <w:rPr>
          <w:rFonts w:hint="eastAsia"/>
          <w:sz w:val="24"/>
        </w:rPr>
        <w:t>杆</w:t>
      </w:r>
      <w:r>
        <w:rPr>
          <w:sz w:val="24"/>
        </w:rPr>
        <w:t>至最长单元锚</w:t>
      </w:r>
      <w:r>
        <w:rPr>
          <w:rFonts w:hint="eastAsia"/>
          <w:sz w:val="24"/>
        </w:rPr>
        <w:t>杆</w:t>
      </w:r>
      <w:r>
        <w:rPr>
          <w:sz w:val="24"/>
        </w:rPr>
        <w:t>的顺序对各组单元锚</w:t>
      </w:r>
      <w:r>
        <w:rPr>
          <w:rFonts w:hint="eastAsia"/>
          <w:sz w:val="24"/>
        </w:rPr>
        <w:t>杆</w:t>
      </w:r>
      <w:r>
        <w:rPr>
          <w:sz w:val="24"/>
        </w:rPr>
        <w:t>进行逐组张拉；</w:t>
      </w:r>
    </w:p>
    <w:p>
      <w:pPr>
        <w:tabs>
          <w:tab w:val="left" w:pos="420"/>
        </w:tabs>
        <w:spacing w:line="360" w:lineRule="auto"/>
        <w:ind w:left="1095" w:leftChars="350" w:hanging="360" w:hangingChars="150"/>
        <w:jc w:val="left"/>
        <w:rPr>
          <w:sz w:val="24"/>
        </w:rPr>
      </w:pPr>
      <w:r>
        <w:rPr>
          <w:sz w:val="24"/>
        </w:rPr>
        <w:t>4）锚杆锁定前，应按表5.6.4的张拉值进行锚杆预张拉；锚杆张拉应平缓加载，   加载速率不宜大于 0.1kN/min；在张拉值下的锚杆位移和压力表压力应保持稳定，当锚头位移不稳定时，应判定此根锚</w:t>
      </w:r>
      <w:r>
        <w:rPr>
          <w:rFonts w:hint="eastAsia"/>
          <w:sz w:val="24"/>
        </w:rPr>
        <w:t>杆</w:t>
      </w:r>
      <w:r>
        <w:rPr>
          <w:sz w:val="24"/>
        </w:rPr>
        <w:t>不合格；</w:t>
      </w:r>
    </w:p>
    <w:p>
      <w:pPr>
        <w:tabs>
          <w:tab w:val="left" w:pos="420"/>
        </w:tabs>
        <w:spacing w:line="360" w:lineRule="auto"/>
        <w:ind w:left="1095" w:leftChars="350" w:hanging="360" w:hangingChars="150"/>
        <w:jc w:val="left"/>
        <w:rPr>
          <w:sz w:val="24"/>
        </w:rPr>
      </w:pPr>
      <w:r>
        <w:rPr>
          <w:sz w:val="24"/>
        </w:rPr>
        <w:t>5）锁定时的锚杆拉力应考虑锁定过程的预应力损失量；预应力损失量宜通过对   锁定前、后锚杆拉力的测试确定；缺少测试数据时，锁定时的锚</w:t>
      </w:r>
      <w:r>
        <w:rPr>
          <w:rFonts w:hint="eastAsia"/>
          <w:sz w:val="24"/>
        </w:rPr>
        <w:t>杆</w:t>
      </w:r>
      <w:r>
        <w:rPr>
          <w:sz w:val="24"/>
        </w:rPr>
        <w:t>拉力可取锁定值的 1.10倍～1.15倍；</w:t>
      </w:r>
    </w:p>
    <w:p>
      <w:pPr>
        <w:tabs>
          <w:tab w:val="left" w:pos="420"/>
        </w:tabs>
        <w:spacing w:line="360" w:lineRule="auto"/>
        <w:ind w:left="1095" w:leftChars="350" w:hanging="360" w:hangingChars="150"/>
        <w:jc w:val="left"/>
        <w:rPr>
          <w:sz w:val="24"/>
        </w:rPr>
      </w:pPr>
      <w:r>
        <w:rPr>
          <w:sz w:val="24"/>
        </w:rPr>
        <w:t>6）锚杆锁定尚应考虑相邻锚杆张拉锁定引起的预应力损失，当锚杆预应力损失   严重时，应进行再次</w:t>
      </w:r>
      <w:r>
        <w:rPr>
          <w:rFonts w:hint="eastAsia"/>
          <w:sz w:val="24"/>
        </w:rPr>
        <w:t>张拉</w:t>
      </w:r>
      <w:r>
        <w:rPr>
          <w:sz w:val="24"/>
        </w:rPr>
        <w:t>锁定；锚杆出现锚头松弛、脱落、锚具失效等情况时，应及时进行修复并对其进行再次</w:t>
      </w:r>
      <w:r>
        <w:rPr>
          <w:rFonts w:hint="eastAsia"/>
          <w:sz w:val="24"/>
        </w:rPr>
        <w:t>张拉</w:t>
      </w:r>
      <w:r>
        <w:rPr>
          <w:sz w:val="24"/>
        </w:rPr>
        <w:t xml:space="preserve">锁定； </w:t>
      </w:r>
    </w:p>
    <w:p>
      <w:pPr>
        <w:tabs>
          <w:tab w:val="left" w:pos="420"/>
        </w:tabs>
        <w:spacing w:line="360" w:lineRule="auto"/>
        <w:ind w:left="1095" w:leftChars="350" w:hanging="360" w:hangingChars="150"/>
        <w:jc w:val="left"/>
        <w:rPr>
          <w:sz w:val="24"/>
        </w:rPr>
      </w:pPr>
      <w:r>
        <w:rPr>
          <w:sz w:val="24"/>
        </w:rPr>
        <w:t>7）当锚杆需要再次张拉锁定时，锚具外杆体的长度和完好程度应满足张拉要求。</w:t>
      </w:r>
    </w:p>
    <w:p>
      <w:pPr>
        <w:spacing w:line="360" w:lineRule="auto"/>
        <w:jc w:val="center"/>
        <w:rPr>
          <w:b/>
          <w:bCs/>
          <w:sz w:val="24"/>
          <w:lang w:val="ru-RU"/>
        </w:rPr>
      </w:pPr>
      <w:r>
        <w:rPr>
          <w:b/>
          <w:bCs/>
          <w:sz w:val="24"/>
          <w:lang w:val="ru-RU"/>
        </w:rPr>
        <w:t>表</w:t>
      </w:r>
      <w:r>
        <w:rPr>
          <w:b/>
          <w:bCs/>
          <w:sz w:val="24"/>
        </w:rPr>
        <w:t>5.6.4</w:t>
      </w:r>
      <w:r>
        <w:rPr>
          <w:b/>
          <w:bCs/>
          <w:sz w:val="24"/>
          <w:lang w:val="ru-RU"/>
        </w:rPr>
        <w:t xml:space="preserve">  锚</w:t>
      </w:r>
      <w:r>
        <w:rPr>
          <w:b/>
          <w:sz w:val="24"/>
          <w:lang w:val="ru-RU"/>
        </w:rPr>
        <w:t>杆</w:t>
      </w:r>
      <w:r>
        <w:rPr>
          <w:b/>
          <w:bCs/>
          <w:sz w:val="24"/>
          <w:lang w:val="ru-RU"/>
        </w:rPr>
        <w:t>的抗拔承载力检测值</w:t>
      </w:r>
    </w:p>
    <w:tbl>
      <w:tblPr>
        <w:tblStyle w:val="26"/>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644" w:type="dxa"/>
            <w:tcBorders>
              <w:top w:val="single" w:color="auto" w:sz="4" w:space="0"/>
              <w:left w:val="single" w:color="auto" w:sz="4" w:space="0"/>
              <w:bottom w:val="single" w:color="auto" w:sz="4" w:space="0"/>
              <w:right w:val="single" w:color="auto" w:sz="4" w:space="0"/>
            </w:tcBorders>
            <w:vAlign w:val="center"/>
          </w:tcPr>
          <w:p>
            <w:pPr>
              <w:jc w:val="center"/>
              <w:rPr>
                <w:szCs w:val="21"/>
                <w:lang w:val="ru-RU"/>
              </w:rPr>
            </w:pPr>
            <w:r>
              <w:rPr>
                <w:szCs w:val="21"/>
                <w:lang w:val="ru-RU"/>
              </w:rPr>
              <w:t>支护结构的安全等级</w:t>
            </w:r>
          </w:p>
        </w:tc>
        <w:tc>
          <w:tcPr>
            <w:tcW w:w="4644" w:type="dxa"/>
            <w:tcBorders>
              <w:top w:val="single" w:color="auto" w:sz="4" w:space="0"/>
              <w:left w:val="single" w:color="auto" w:sz="4" w:space="0"/>
              <w:bottom w:val="single" w:color="auto" w:sz="4" w:space="0"/>
              <w:right w:val="single" w:color="auto" w:sz="4" w:space="0"/>
            </w:tcBorders>
            <w:vAlign w:val="center"/>
          </w:tcPr>
          <w:p>
            <w:pPr>
              <w:jc w:val="center"/>
              <w:rPr>
                <w:szCs w:val="21"/>
                <w:lang w:val="ru-RU"/>
              </w:rPr>
            </w:pPr>
            <w:r>
              <w:rPr>
                <w:szCs w:val="21"/>
                <w:lang w:val="ru-RU"/>
              </w:rPr>
              <w:t>抗拔承载力检测值与轴向拉力标准值的比值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644" w:type="dxa"/>
            <w:tcBorders>
              <w:top w:val="single" w:color="auto" w:sz="4" w:space="0"/>
              <w:left w:val="single" w:color="auto" w:sz="4" w:space="0"/>
              <w:bottom w:val="single" w:color="auto" w:sz="4" w:space="0"/>
              <w:right w:val="single" w:color="auto" w:sz="4" w:space="0"/>
            </w:tcBorders>
            <w:vAlign w:val="center"/>
          </w:tcPr>
          <w:p>
            <w:pPr>
              <w:jc w:val="center"/>
              <w:rPr>
                <w:szCs w:val="21"/>
                <w:lang w:val="ru-RU"/>
              </w:rPr>
            </w:pPr>
            <w:r>
              <w:rPr>
                <w:szCs w:val="21"/>
                <w:lang w:val="ru-RU"/>
              </w:rPr>
              <w:t>一级</w:t>
            </w:r>
          </w:p>
        </w:tc>
        <w:tc>
          <w:tcPr>
            <w:tcW w:w="4644" w:type="dxa"/>
            <w:tcBorders>
              <w:top w:val="single" w:color="auto" w:sz="4" w:space="0"/>
              <w:left w:val="single" w:color="auto" w:sz="4" w:space="0"/>
              <w:bottom w:val="single" w:color="auto" w:sz="4" w:space="0"/>
              <w:right w:val="single" w:color="auto" w:sz="4" w:space="0"/>
            </w:tcBorders>
            <w:vAlign w:val="center"/>
          </w:tcPr>
          <w:p>
            <w:pPr>
              <w:jc w:val="center"/>
              <w:rPr>
                <w:szCs w:val="21"/>
                <w:lang w:val="ru-RU"/>
              </w:rPr>
            </w:pPr>
            <w:r>
              <w:rPr>
                <w:szCs w:val="21"/>
                <w:lang w:val="ru-RU"/>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644" w:type="dxa"/>
            <w:tcBorders>
              <w:top w:val="single" w:color="auto" w:sz="4" w:space="0"/>
              <w:left w:val="single" w:color="auto" w:sz="4" w:space="0"/>
              <w:bottom w:val="single" w:color="auto" w:sz="4" w:space="0"/>
              <w:right w:val="single" w:color="auto" w:sz="4" w:space="0"/>
            </w:tcBorders>
            <w:vAlign w:val="center"/>
          </w:tcPr>
          <w:p>
            <w:pPr>
              <w:jc w:val="center"/>
              <w:rPr>
                <w:szCs w:val="21"/>
                <w:lang w:val="ru-RU"/>
              </w:rPr>
            </w:pPr>
            <w:r>
              <w:rPr>
                <w:szCs w:val="21"/>
                <w:lang w:val="ru-RU"/>
              </w:rPr>
              <w:t>二级</w:t>
            </w:r>
          </w:p>
        </w:tc>
        <w:tc>
          <w:tcPr>
            <w:tcW w:w="4644" w:type="dxa"/>
            <w:tcBorders>
              <w:top w:val="single" w:color="auto" w:sz="4" w:space="0"/>
              <w:left w:val="single" w:color="auto" w:sz="4" w:space="0"/>
              <w:bottom w:val="single" w:color="auto" w:sz="4" w:space="0"/>
              <w:right w:val="single" w:color="auto" w:sz="4" w:space="0"/>
            </w:tcBorders>
            <w:vAlign w:val="center"/>
          </w:tcPr>
          <w:p>
            <w:pPr>
              <w:jc w:val="center"/>
              <w:rPr>
                <w:szCs w:val="21"/>
                <w:lang w:val="ru-RU"/>
              </w:rPr>
            </w:pPr>
            <w:r>
              <w:rPr>
                <w:szCs w:val="21"/>
                <w:lang w:val="ru-RU"/>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644" w:type="dxa"/>
            <w:tcBorders>
              <w:top w:val="single" w:color="auto" w:sz="4" w:space="0"/>
              <w:left w:val="single" w:color="auto" w:sz="4" w:space="0"/>
              <w:bottom w:val="single" w:color="auto" w:sz="4" w:space="0"/>
              <w:right w:val="single" w:color="auto" w:sz="4" w:space="0"/>
            </w:tcBorders>
            <w:vAlign w:val="center"/>
          </w:tcPr>
          <w:p>
            <w:pPr>
              <w:jc w:val="center"/>
              <w:rPr>
                <w:szCs w:val="21"/>
                <w:lang w:val="ru-RU"/>
              </w:rPr>
            </w:pPr>
            <w:r>
              <w:rPr>
                <w:szCs w:val="21"/>
                <w:lang w:val="ru-RU"/>
              </w:rPr>
              <w:t>三级</w:t>
            </w:r>
          </w:p>
        </w:tc>
        <w:tc>
          <w:tcPr>
            <w:tcW w:w="4644" w:type="dxa"/>
            <w:tcBorders>
              <w:top w:val="single" w:color="auto" w:sz="4" w:space="0"/>
              <w:left w:val="single" w:color="auto" w:sz="4" w:space="0"/>
              <w:bottom w:val="single" w:color="auto" w:sz="4" w:space="0"/>
              <w:right w:val="single" w:color="auto" w:sz="4" w:space="0"/>
            </w:tcBorders>
            <w:vAlign w:val="center"/>
          </w:tcPr>
          <w:p>
            <w:pPr>
              <w:jc w:val="center"/>
              <w:rPr>
                <w:szCs w:val="21"/>
                <w:lang w:val="ru-RU"/>
              </w:rPr>
            </w:pPr>
            <w:r>
              <w:rPr>
                <w:szCs w:val="21"/>
                <w:lang w:val="ru-RU"/>
              </w:rPr>
              <w:t>1.2</w:t>
            </w:r>
          </w:p>
        </w:tc>
      </w:tr>
    </w:tbl>
    <w:p>
      <w:pPr>
        <w:spacing w:line="360" w:lineRule="auto"/>
        <w:ind w:firstLine="480" w:firstLineChars="200"/>
        <w:rPr>
          <w:bCs/>
          <w:sz w:val="24"/>
        </w:rPr>
      </w:pPr>
      <w:r>
        <w:rPr>
          <w:bCs/>
          <w:sz w:val="24"/>
        </w:rPr>
        <w:t xml:space="preserve">7  </w:t>
      </w:r>
      <w:r>
        <w:rPr>
          <w:rFonts w:hint="eastAsia"/>
          <w:bCs/>
          <w:sz w:val="24"/>
        </w:rPr>
        <w:t>可</w:t>
      </w:r>
      <w:r>
        <w:rPr>
          <w:bCs/>
          <w:sz w:val="24"/>
        </w:rPr>
        <w:t>回收锚</w:t>
      </w:r>
      <w:r>
        <w:rPr>
          <w:rFonts w:hint="eastAsia"/>
          <w:bCs/>
          <w:sz w:val="24"/>
        </w:rPr>
        <w:t>杆</w:t>
      </w:r>
      <w:r>
        <w:rPr>
          <w:bCs/>
          <w:sz w:val="24"/>
        </w:rPr>
        <w:t>的回收施工：</w:t>
      </w:r>
    </w:p>
    <w:p>
      <w:pPr>
        <w:tabs>
          <w:tab w:val="left" w:pos="420"/>
        </w:tabs>
        <w:spacing w:line="360" w:lineRule="auto"/>
        <w:ind w:left="1095" w:leftChars="350" w:hanging="360" w:hangingChars="150"/>
        <w:jc w:val="left"/>
        <w:rPr>
          <w:sz w:val="24"/>
        </w:rPr>
      </w:pPr>
      <w:r>
        <w:rPr>
          <w:sz w:val="24"/>
        </w:rPr>
        <w:t>1）锚</w:t>
      </w:r>
      <w:r>
        <w:rPr>
          <w:rFonts w:hint="eastAsia"/>
          <w:sz w:val="24"/>
        </w:rPr>
        <w:t>杆</w:t>
      </w:r>
      <w:r>
        <w:rPr>
          <w:sz w:val="24"/>
        </w:rPr>
        <w:t>拆除回收应与设计计算工况相匹配，按设计要求的施工流程，按</w:t>
      </w:r>
      <w:r>
        <w:rPr>
          <w:rFonts w:hint="eastAsia"/>
          <w:sz w:val="24"/>
        </w:rPr>
        <w:t>“</w:t>
      </w:r>
      <w:r>
        <w:rPr>
          <w:sz w:val="24"/>
        </w:rPr>
        <w:t>先换   撑，后回收</w:t>
      </w:r>
      <w:r>
        <w:rPr>
          <w:rFonts w:hint="eastAsia"/>
          <w:sz w:val="24"/>
        </w:rPr>
        <w:t>”</w:t>
      </w:r>
      <w:r>
        <w:rPr>
          <w:sz w:val="24"/>
        </w:rPr>
        <w:t>的原则进行；</w:t>
      </w:r>
      <w:r>
        <w:rPr>
          <w:rFonts w:hint="eastAsia"/>
          <w:sz w:val="24"/>
        </w:rPr>
        <w:t>换撑</w:t>
      </w:r>
      <w:r>
        <w:rPr>
          <w:sz w:val="24"/>
        </w:rPr>
        <w:t>传力构件的截面与布置应由设计计算确定</w:t>
      </w:r>
      <w:r>
        <w:rPr>
          <w:rFonts w:hint="eastAsia"/>
          <w:sz w:val="24"/>
        </w:rPr>
        <w:t>；</w:t>
      </w:r>
    </w:p>
    <w:p>
      <w:pPr>
        <w:tabs>
          <w:tab w:val="left" w:pos="420"/>
        </w:tabs>
        <w:spacing w:line="360" w:lineRule="auto"/>
        <w:ind w:left="1095" w:leftChars="350" w:hanging="360" w:hangingChars="150"/>
        <w:jc w:val="left"/>
        <w:rPr>
          <w:sz w:val="24"/>
        </w:rPr>
      </w:pPr>
      <w:r>
        <w:rPr>
          <w:rFonts w:hint="eastAsia"/>
          <w:sz w:val="24"/>
        </w:rPr>
        <w:t>2</w:t>
      </w:r>
      <w:r>
        <w:rPr>
          <w:sz w:val="24"/>
        </w:rPr>
        <w:t>）锚</w:t>
      </w:r>
      <w:r>
        <w:rPr>
          <w:rFonts w:hint="eastAsia"/>
          <w:sz w:val="24"/>
        </w:rPr>
        <w:t>杆</w:t>
      </w:r>
      <w:r>
        <w:rPr>
          <w:sz w:val="24"/>
        </w:rPr>
        <w:t>拆除回收应自下而上分层</w:t>
      </w:r>
      <w:r>
        <w:rPr>
          <w:rFonts w:hint="eastAsia"/>
          <w:sz w:val="24"/>
        </w:rPr>
        <w:t>进行</w:t>
      </w:r>
      <w:r>
        <w:rPr>
          <w:sz w:val="24"/>
        </w:rPr>
        <w:t>，并对地下结构采取有效的安全防护措施；</w:t>
      </w:r>
    </w:p>
    <w:p>
      <w:pPr>
        <w:tabs>
          <w:tab w:val="left" w:pos="420"/>
        </w:tabs>
        <w:spacing w:line="360" w:lineRule="auto"/>
        <w:ind w:left="1095" w:leftChars="350" w:hanging="360" w:hangingChars="150"/>
        <w:jc w:val="left"/>
        <w:rPr>
          <w:sz w:val="24"/>
        </w:rPr>
      </w:pPr>
      <w:r>
        <w:rPr>
          <w:rFonts w:hint="eastAsia"/>
          <w:sz w:val="24"/>
        </w:rPr>
        <w:t>3</w:t>
      </w:r>
      <w:r>
        <w:rPr>
          <w:sz w:val="24"/>
        </w:rPr>
        <w:t>）利用主体结构换撑时，主体结构的底板或楼板混凝土强度应满足设计要求；设计无要求时，混凝土强度应不小于设计值的80%；</w:t>
      </w:r>
    </w:p>
    <w:p>
      <w:pPr>
        <w:tabs>
          <w:tab w:val="left" w:pos="420"/>
        </w:tabs>
        <w:spacing w:line="360" w:lineRule="auto"/>
        <w:ind w:left="1095" w:leftChars="350" w:hanging="360" w:hangingChars="150"/>
        <w:jc w:val="left"/>
        <w:rPr>
          <w:sz w:val="24"/>
        </w:rPr>
      </w:pPr>
      <w:r>
        <w:rPr>
          <w:rFonts w:hint="eastAsia"/>
          <w:sz w:val="24"/>
        </w:rPr>
        <w:t>4</w:t>
      </w:r>
      <w:r>
        <w:rPr>
          <w:sz w:val="24"/>
        </w:rPr>
        <w:t>）利用基坑回填换撑时，应根据基坑回填设计技术要求分层回填，分层回收；</w:t>
      </w:r>
    </w:p>
    <w:p>
      <w:pPr>
        <w:tabs>
          <w:tab w:val="left" w:pos="420"/>
        </w:tabs>
        <w:spacing w:line="360" w:lineRule="auto"/>
        <w:ind w:left="1095" w:leftChars="350" w:hanging="360" w:hangingChars="150"/>
        <w:jc w:val="left"/>
        <w:rPr>
          <w:sz w:val="24"/>
        </w:rPr>
      </w:pPr>
      <w:r>
        <w:rPr>
          <w:rFonts w:hint="eastAsia"/>
          <w:sz w:val="24"/>
        </w:rPr>
        <w:t>5</w:t>
      </w:r>
      <w:r>
        <w:rPr>
          <w:sz w:val="24"/>
        </w:rPr>
        <w:t>）锚</w:t>
      </w:r>
      <w:r>
        <w:rPr>
          <w:rFonts w:hint="eastAsia"/>
          <w:sz w:val="24"/>
        </w:rPr>
        <w:t>杆</w:t>
      </w:r>
      <w:r>
        <w:rPr>
          <w:sz w:val="24"/>
        </w:rPr>
        <w:t>回收过程中，应加强基坑的监测与现场巡视，发现安全隐患，立即停止拆除作业，待找出原因，隐患排除后方可继续作业。</w:t>
      </w:r>
    </w:p>
    <w:p>
      <w:pPr>
        <w:spacing w:line="360" w:lineRule="auto"/>
        <w:jc w:val="center"/>
        <w:outlineLvl w:val="1"/>
        <w:rPr>
          <w:b/>
          <w:sz w:val="24"/>
        </w:rPr>
      </w:pPr>
      <w:bookmarkStart w:id="55" w:name="_Toc87018338"/>
      <w:bookmarkStart w:id="56" w:name="_Toc87018269"/>
      <w:r>
        <w:rPr>
          <w:b/>
          <w:sz w:val="24"/>
        </w:rPr>
        <w:t>5.</w:t>
      </w:r>
      <w:r>
        <w:rPr>
          <w:rFonts w:hint="eastAsia"/>
          <w:b/>
          <w:sz w:val="24"/>
        </w:rPr>
        <w:t>7</w:t>
      </w:r>
      <w:r>
        <w:rPr>
          <w:b/>
          <w:sz w:val="24"/>
        </w:rPr>
        <w:t xml:space="preserve">  内支撑</w:t>
      </w:r>
      <w:bookmarkEnd w:id="55"/>
      <w:bookmarkEnd w:id="56"/>
    </w:p>
    <w:p>
      <w:pPr>
        <w:pStyle w:val="74"/>
        <w:spacing w:line="360" w:lineRule="auto"/>
        <w:rPr>
          <w:rFonts w:ascii="Times New Roman" w:hAnsi="Times New Roman" w:cs="Times New Roman"/>
          <w:b/>
          <w:color w:val="auto"/>
        </w:rPr>
      </w:pPr>
      <w:r>
        <w:rPr>
          <w:rFonts w:ascii="Times New Roman" w:hAnsi="Times New Roman" w:cs="Times New Roman"/>
          <w:b/>
          <w:color w:val="auto"/>
        </w:rPr>
        <w:t xml:space="preserve">5.7.1  </w:t>
      </w:r>
      <w:r>
        <w:rPr>
          <w:rFonts w:ascii="Times New Roman" w:hAnsi="Times New Roman" w:cs="Times New Roman"/>
          <w:color w:val="auto"/>
        </w:rPr>
        <w:t>内支撑的选型和适用范围</w:t>
      </w:r>
      <w:r>
        <w:rPr>
          <w:rFonts w:hint="eastAsia" w:ascii="Times New Roman" w:hAnsi="Times New Roman" w:cs="Times New Roman"/>
          <w:color w:val="auto"/>
        </w:rPr>
        <w:t>：</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 xml:space="preserve">1  </w:t>
      </w:r>
      <w:r>
        <w:rPr>
          <w:rFonts w:hint="eastAsia" w:ascii="Times New Roman" w:hAnsi="Times New Roman" w:cs="Times New Roman"/>
          <w:color w:val="auto"/>
        </w:rPr>
        <w:t>支撑构件可选用混凝土构件、钢构件及其组合，尤其</w:t>
      </w:r>
      <w:r>
        <w:rPr>
          <w:rFonts w:ascii="Times New Roman" w:hAnsi="Times New Roman" w:cs="Times New Roman"/>
          <w:color w:val="auto"/>
        </w:rPr>
        <w:t>适</w:t>
      </w:r>
      <w:r>
        <w:rPr>
          <w:rFonts w:hint="eastAsia" w:ascii="Times New Roman" w:hAnsi="Times New Roman" w:cs="Times New Roman"/>
          <w:color w:val="auto"/>
        </w:rPr>
        <w:t>用于变形控制要求严格，其它支护方式受限的基坑；</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b/>
          <w:color w:val="auto"/>
        </w:rPr>
        <w:t xml:space="preserve">  </w:t>
      </w:r>
      <w:r>
        <w:rPr>
          <w:rFonts w:ascii="Times New Roman" w:hAnsi="Times New Roman" w:cs="Times New Roman"/>
          <w:color w:val="auto"/>
        </w:rPr>
        <w:t>内支撑可采用水平支撑体系或竖向斜撑体系。水平支撑体系通常由围檩或冠梁、水平支撑和立柱三部分组成；竖向斜撑体系通常由围檩或冠梁、斜撑和斜撑基础等构件组成。</w:t>
      </w:r>
    </w:p>
    <w:p>
      <w:pPr>
        <w:pStyle w:val="74"/>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3</w:t>
      </w:r>
      <w:r>
        <w:rPr>
          <w:rFonts w:ascii="Times New Roman" w:hAnsi="Times New Roman" w:cs="Times New Roman"/>
          <w:color w:val="auto"/>
        </w:rPr>
        <w:t xml:space="preserve">  </w:t>
      </w:r>
      <w:r>
        <w:rPr>
          <w:rFonts w:hint="eastAsia" w:ascii="Times New Roman" w:hAnsi="Times New Roman" w:cs="Times New Roman"/>
          <w:color w:val="auto"/>
        </w:rPr>
        <w:t>内支撑结构选型应符合下列原则：</w:t>
      </w:r>
    </w:p>
    <w:p>
      <w:pPr>
        <w:pStyle w:val="74"/>
        <w:spacing w:line="360" w:lineRule="auto"/>
        <w:ind w:firstLine="720" w:firstLineChars="300"/>
        <w:rPr>
          <w:rFonts w:ascii="Times New Roman" w:hAnsi="Times New Roman" w:cs="Times New Roman"/>
          <w:color w:val="auto"/>
        </w:rPr>
      </w:pPr>
      <w:r>
        <w:rPr>
          <w:rFonts w:hint="eastAsia" w:ascii="Times New Roman" w:hAnsi="Times New Roman" w:cs="Times New Roman"/>
          <w:color w:val="auto"/>
        </w:rPr>
        <w:t>1）宜采用受力明确、连接可靠、施工方便的结构形式；</w:t>
      </w:r>
    </w:p>
    <w:p>
      <w:pPr>
        <w:pStyle w:val="74"/>
        <w:spacing w:line="360" w:lineRule="auto"/>
        <w:ind w:firstLine="720" w:firstLineChars="300"/>
        <w:rPr>
          <w:rFonts w:ascii="Times New Roman" w:hAnsi="Times New Roman" w:cs="Times New Roman"/>
          <w:color w:val="auto"/>
        </w:rPr>
      </w:pPr>
      <w:r>
        <w:rPr>
          <w:rFonts w:hint="eastAsia" w:ascii="Times New Roman" w:hAnsi="Times New Roman" w:cs="Times New Roman"/>
          <w:color w:val="auto"/>
        </w:rPr>
        <w:t>2）宜采用对称平衡性、整体性强的结构形式；</w:t>
      </w:r>
    </w:p>
    <w:p>
      <w:pPr>
        <w:pStyle w:val="74"/>
        <w:spacing w:line="360" w:lineRule="auto"/>
        <w:ind w:firstLine="720" w:firstLineChars="300"/>
        <w:rPr>
          <w:rFonts w:ascii="Times New Roman" w:hAnsi="Times New Roman" w:cs="Times New Roman"/>
          <w:color w:val="auto"/>
        </w:rPr>
      </w:pPr>
      <w:r>
        <w:rPr>
          <w:rFonts w:hint="eastAsia" w:ascii="Times New Roman" w:hAnsi="Times New Roman" w:cs="Times New Roman"/>
          <w:color w:val="auto"/>
        </w:rPr>
        <w:t>3）应与主体地下结构的结构形式、施工顺序协调，应便于主体结构施工；</w:t>
      </w:r>
    </w:p>
    <w:p>
      <w:pPr>
        <w:pStyle w:val="74"/>
        <w:spacing w:line="360" w:lineRule="auto"/>
        <w:ind w:firstLine="720" w:firstLineChars="300"/>
        <w:rPr>
          <w:rFonts w:ascii="Times New Roman" w:hAnsi="Times New Roman" w:cs="Times New Roman"/>
          <w:color w:val="auto"/>
        </w:rPr>
      </w:pPr>
      <w:r>
        <w:rPr>
          <w:rFonts w:hint="eastAsia" w:ascii="Times New Roman" w:hAnsi="Times New Roman" w:cs="Times New Roman"/>
          <w:color w:val="auto"/>
        </w:rPr>
        <w:t>4）应利于基坑土方开挖和运输；</w:t>
      </w:r>
    </w:p>
    <w:p>
      <w:pPr>
        <w:pStyle w:val="74"/>
        <w:spacing w:line="360" w:lineRule="auto"/>
        <w:ind w:firstLine="720" w:firstLineChars="300"/>
        <w:rPr>
          <w:rFonts w:ascii="Times New Roman" w:hAnsi="Times New Roman" w:cs="Times New Roman"/>
          <w:color w:val="auto"/>
        </w:rPr>
      </w:pPr>
      <w:r>
        <w:rPr>
          <w:rFonts w:hint="eastAsia" w:ascii="Times New Roman" w:hAnsi="Times New Roman" w:cs="Times New Roman"/>
          <w:color w:val="auto"/>
        </w:rPr>
        <w:t>5）需要时，可考虑内支撑结构作为施工平台。</w:t>
      </w:r>
    </w:p>
    <w:p>
      <w:pPr>
        <w:pStyle w:val="74"/>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4</w:t>
      </w:r>
      <w:r>
        <w:rPr>
          <w:rFonts w:ascii="Times New Roman" w:hAnsi="Times New Roman" w:cs="Times New Roman"/>
          <w:b/>
          <w:color w:val="auto"/>
        </w:rPr>
        <w:t xml:space="preserve">  </w:t>
      </w:r>
      <w:r>
        <w:rPr>
          <w:rFonts w:ascii="Times New Roman" w:hAnsi="Times New Roman" w:cs="Times New Roman"/>
          <w:color w:val="auto"/>
        </w:rPr>
        <w:t>围檩的选型与设置宜满足下列规定：</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1）围檩材料可采用钢材或钢筋混凝土；围檩宜连续布置；</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2）</w:t>
      </w:r>
      <w:r>
        <w:rPr>
          <w:rFonts w:hint="eastAsia" w:ascii="Times New Roman" w:hAnsi="Times New Roman" w:cs="Times New Roman"/>
          <w:color w:val="auto"/>
        </w:rPr>
        <w:t>混凝土</w:t>
      </w:r>
      <w:r>
        <w:rPr>
          <w:rFonts w:ascii="Times New Roman" w:hAnsi="Times New Roman" w:cs="Times New Roman"/>
          <w:color w:val="auto"/>
        </w:rPr>
        <w:t>围檩与混凝土</w:t>
      </w:r>
      <w:r>
        <w:rPr>
          <w:rFonts w:hint="eastAsia" w:ascii="Times New Roman" w:hAnsi="Times New Roman" w:cs="Times New Roman"/>
          <w:color w:val="auto"/>
        </w:rPr>
        <w:t>支挡</w:t>
      </w:r>
      <w:r>
        <w:rPr>
          <w:rFonts w:ascii="Times New Roman" w:hAnsi="Times New Roman" w:cs="Times New Roman"/>
          <w:color w:val="auto"/>
        </w:rPr>
        <w:t>结构宜采用</w:t>
      </w:r>
      <w:r>
        <w:rPr>
          <w:rFonts w:hint="eastAsia" w:ascii="Times New Roman" w:hAnsi="Times New Roman" w:cs="Times New Roman"/>
          <w:color w:val="auto"/>
        </w:rPr>
        <w:t>托</w:t>
      </w:r>
      <w:r>
        <w:rPr>
          <w:rFonts w:ascii="Times New Roman" w:hAnsi="Times New Roman" w:cs="Times New Roman"/>
          <w:color w:val="auto"/>
        </w:rPr>
        <w:t>架或吊筋连接；</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3）当</w:t>
      </w:r>
      <w:r>
        <w:rPr>
          <w:rFonts w:hint="eastAsia" w:ascii="Times New Roman" w:hAnsi="Times New Roman" w:cs="Times New Roman"/>
          <w:color w:val="auto"/>
        </w:rPr>
        <w:t>钢</w:t>
      </w:r>
      <w:r>
        <w:rPr>
          <w:rFonts w:ascii="Times New Roman" w:hAnsi="Times New Roman" w:cs="Times New Roman"/>
          <w:color w:val="auto"/>
        </w:rPr>
        <w:t>围檩采用组合截面构件时，组合截面构件间应采用缀板连接；</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4）</w:t>
      </w:r>
      <w:r>
        <w:rPr>
          <w:rFonts w:hint="eastAsia" w:ascii="Times New Roman" w:hAnsi="Times New Roman" w:cs="Times New Roman"/>
          <w:color w:val="auto"/>
        </w:rPr>
        <w:t>钢</w:t>
      </w:r>
      <w:r>
        <w:rPr>
          <w:rFonts w:ascii="Times New Roman" w:hAnsi="Times New Roman" w:cs="Times New Roman"/>
          <w:color w:val="auto"/>
        </w:rPr>
        <w:t>围檩拼装节点位置应设置在支撑点附近，并不宜超过围檩计算跨度的三分之一；</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5）混凝土围檩的截面高度不应小于其</w:t>
      </w:r>
      <w:r>
        <w:rPr>
          <w:rFonts w:hint="eastAsia" w:ascii="Times New Roman" w:hAnsi="Times New Roman" w:cs="Times New Roman"/>
          <w:color w:val="auto"/>
        </w:rPr>
        <w:t>水平方向</w:t>
      </w:r>
      <w:r>
        <w:rPr>
          <w:rFonts w:ascii="Times New Roman" w:hAnsi="Times New Roman" w:cs="Times New Roman"/>
          <w:color w:val="auto"/>
        </w:rPr>
        <w:t>计算跨度的1/</w:t>
      </w:r>
      <w:r>
        <w:rPr>
          <w:rFonts w:hint="eastAsia" w:ascii="Times New Roman" w:hAnsi="Times New Roman" w:cs="Times New Roman"/>
          <w:color w:val="auto"/>
        </w:rPr>
        <w:t>10</w:t>
      </w:r>
      <w:r>
        <w:rPr>
          <w:rFonts w:ascii="Times New Roman" w:hAnsi="Times New Roman" w:cs="Times New Roman"/>
          <w:color w:val="auto"/>
        </w:rPr>
        <w:t xml:space="preserve">，围檩的截面宽度不应小于支撑的截面高度； </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6）</w:t>
      </w:r>
      <w:r>
        <w:rPr>
          <w:rFonts w:hint="eastAsia" w:ascii="Times New Roman" w:hAnsi="Times New Roman" w:cs="Times New Roman"/>
          <w:color w:val="auto"/>
        </w:rPr>
        <w:t>当水平钢支撑与围檩斜交时，围檩上应设置牛腿或采用其它能够承受剪力的连接措施；</w:t>
      </w:r>
    </w:p>
    <w:p>
      <w:pPr>
        <w:pStyle w:val="74"/>
        <w:spacing w:line="360" w:lineRule="auto"/>
        <w:ind w:left="1095" w:leftChars="350" w:hanging="360" w:hangingChars="150"/>
        <w:rPr>
          <w:rFonts w:ascii="Times New Roman" w:hAnsi="Times New Roman" w:cs="Times New Roman"/>
          <w:color w:val="auto"/>
        </w:rPr>
      </w:pPr>
      <w:r>
        <w:rPr>
          <w:rFonts w:hint="eastAsia" w:ascii="Times New Roman" w:hAnsi="Times New Roman" w:cs="Times New Roman"/>
          <w:color w:val="auto"/>
        </w:rPr>
        <w:t>7）钢支撑采用竖向斜撑时，围檩和支撑基础上应设置牛腿或采用其他能够承受剪力的连接措施；围檩与挡土构件之间应采用能够承受剪力的连接措施。</w:t>
      </w:r>
    </w:p>
    <w:p>
      <w:pPr>
        <w:pStyle w:val="74"/>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5</w:t>
      </w:r>
      <w:r>
        <w:rPr>
          <w:rFonts w:ascii="Times New Roman" w:hAnsi="Times New Roman" w:cs="Times New Roman"/>
          <w:color w:val="auto"/>
        </w:rPr>
        <w:t xml:space="preserve">  立柱的选型与设置应满足下列规定：</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1）当基坑平面尺寸较大，钢筋混凝土水平支撑的长度超过15m、钢支撑长度超过</w:t>
      </w:r>
      <w:r>
        <w:rPr>
          <w:rFonts w:hint="eastAsia" w:ascii="Times New Roman" w:hAnsi="Times New Roman" w:cs="Times New Roman"/>
          <w:color w:val="auto"/>
        </w:rPr>
        <w:t>20</w:t>
      </w:r>
      <w:r>
        <w:rPr>
          <w:rFonts w:ascii="Times New Roman" w:hAnsi="Times New Roman" w:cs="Times New Roman"/>
          <w:color w:val="auto"/>
        </w:rPr>
        <w:t>m时，宜设立柱；</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2）立柱</w:t>
      </w:r>
      <w:r>
        <w:rPr>
          <w:rFonts w:hint="eastAsia" w:ascii="Times New Roman" w:hAnsi="Times New Roman" w:cs="Times New Roman"/>
          <w:color w:val="auto"/>
        </w:rPr>
        <w:t>宜布</w:t>
      </w:r>
      <w:r>
        <w:rPr>
          <w:rFonts w:ascii="Times New Roman" w:hAnsi="Times New Roman" w:cs="Times New Roman"/>
          <w:color w:val="auto"/>
        </w:rPr>
        <w:t>置在纵横向支撑的交点处或桁架式支撑的节点位置上，并应避开主体工程梁、柱及承重墙的位置；</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3）立柱可采用</w:t>
      </w:r>
      <w:r>
        <w:rPr>
          <w:rFonts w:hint="eastAsia" w:ascii="Times New Roman" w:hAnsi="Times New Roman" w:cs="Times New Roman"/>
          <w:color w:val="auto"/>
        </w:rPr>
        <w:t>H</w:t>
      </w:r>
      <w:r>
        <w:rPr>
          <w:rFonts w:ascii="Times New Roman" w:hAnsi="Times New Roman" w:cs="Times New Roman"/>
          <w:color w:val="auto"/>
        </w:rPr>
        <w:t>型钢、钢管、格构式钢构件或钢筋混凝土灌注桩等形式；</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4）</w:t>
      </w:r>
      <w:r>
        <w:rPr>
          <w:rFonts w:hint="eastAsia" w:ascii="Times New Roman" w:hAnsi="Times New Roman" w:cs="Times New Roman"/>
          <w:color w:val="auto"/>
        </w:rPr>
        <w:t>支承桩</w:t>
      </w:r>
      <w:r>
        <w:rPr>
          <w:rFonts w:ascii="Times New Roman" w:hAnsi="Times New Roman" w:cs="Times New Roman"/>
          <w:color w:val="auto"/>
        </w:rPr>
        <w:t>的</w:t>
      </w:r>
      <w:r>
        <w:rPr>
          <w:rFonts w:hint="eastAsia" w:ascii="Times New Roman" w:hAnsi="Times New Roman" w:cs="Times New Roman"/>
          <w:color w:val="auto"/>
        </w:rPr>
        <w:t>有效桩长</w:t>
      </w:r>
      <w:r>
        <w:rPr>
          <w:rFonts w:ascii="Times New Roman" w:hAnsi="Times New Roman" w:cs="Times New Roman"/>
          <w:color w:val="auto"/>
        </w:rPr>
        <w:t>、</w:t>
      </w:r>
      <w:r>
        <w:rPr>
          <w:rFonts w:hint="eastAsia" w:ascii="Times New Roman" w:hAnsi="Times New Roman" w:cs="Times New Roman"/>
          <w:color w:val="auto"/>
        </w:rPr>
        <w:t>立柱</w:t>
      </w:r>
      <w:r>
        <w:rPr>
          <w:rFonts w:ascii="Times New Roman" w:hAnsi="Times New Roman" w:cs="Times New Roman"/>
          <w:color w:val="auto"/>
        </w:rPr>
        <w:t>插入</w:t>
      </w:r>
      <w:r>
        <w:rPr>
          <w:rFonts w:hint="eastAsia" w:ascii="Times New Roman" w:hAnsi="Times New Roman" w:cs="Times New Roman"/>
          <w:color w:val="auto"/>
        </w:rPr>
        <w:t>支承</w:t>
      </w:r>
      <w:r>
        <w:rPr>
          <w:rFonts w:ascii="Times New Roman" w:hAnsi="Times New Roman" w:cs="Times New Roman"/>
          <w:color w:val="auto"/>
        </w:rPr>
        <w:t>桩</w:t>
      </w:r>
      <w:r>
        <w:rPr>
          <w:rFonts w:hint="eastAsia" w:ascii="Times New Roman" w:hAnsi="Times New Roman" w:cs="Times New Roman"/>
          <w:color w:val="auto"/>
        </w:rPr>
        <w:t>的</w:t>
      </w:r>
      <w:r>
        <w:rPr>
          <w:rFonts w:ascii="Times New Roman" w:hAnsi="Times New Roman" w:cs="Times New Roman"/>
          <w:color w:val="auto"/>
        </w:rPr>
        <w:t>深</w:t>
      </w:r>
      <w:r>
        <w:rPr>
          <w:rFonts w:hint="eastAsia" w:ascii="Times New Roman" w:hAnsi="Times New Roman" w:cs="Times New Roman"/>
          <w:color w:val="auto"/>
        </w:rPr>
        <w:t>度等</w:t>
      </w:r>
      <w:r>
        <w:rPr>
          <w:rFonts w:ascii="Times New Roman" w:hAnsi="Times New Roman" w:cs="Times New Roman"/>
          <w:color w:val="auto"/>
        </w:rPr>
        <w:t xml:space="preserve">应满足支撑结构对立柱承载力和变形的要求； </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5）立柱与水平支撑连接可采</w:t>
      </w:r>
      <w:r>
        <w:rPr>
          <w:rFonts w:hint="eastAsia" w:ascii="Times New Roman" w:hAnsi="Times New Roman" w:cs="Times New Roman"/>
          <w:color w:val="auto"/>
        </w:rPr>
        <w:t>用</w:t>
      </w:r>
      <w:r>
        <w:rPr>
          <w:rFonts w:ascii="Times New Roman" w:hAnsi="Times New Roman" w:cs="Times New Roman"/>
          <w:color w:val="auto"/>
        </w:rPr>
        <w:t>铰接；</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6）立柱穿过主体结构底板以及支撑穿越主体结构侧墙的部位，必须采取可靠防水措施。</w:t>
      </w:r>
    </w:p>
    <w:p>
      <w:pPr>
        <w:spacing w:line="360" w:lineRule="auto"/>
        <w:rPr>
          <w:sz w:val="24"/>
        </w:rPr>
      </w:pPr>
      <w:r>
        <w:rPr>
          <w:b/>
          <w:sz w:val="24"/>
        </w:rPr>
        <w:t xml:space="preserve">5.7.2  </w:t>
      </w:r>
      <w:r>
        <w:rPr>
          <w:sz w:val="24"/>
        </w:rPr>
        <w:t>内支撑支护结构的设计计算与验算</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1</w:t>
      </w:r>
      <w:r>
        <w:rPr>
          <w:rFonts w:ascii="Times New Roman" w:hAnsi="Times New Roman" w:cs="Times New Roman"/>
          <w:b/>
          <w:color w:val="auto"/>
        </w:rPr>
        <w:t xml:space="preserve">  </w:t>
      </w:r>
      <w:r>
        <w:rPr>
          <w:rFonts w:ascii="Times New Roman" w:hAnsi="Times New Roman" w:cs="Times New Roman"/>
          <w:color w:val="auto"/>
        </w:rPr>
        <w:t>基坑工程内支撑设计应按稳定性</w:t>
      </w:r>
      <w:r>
        <w:rPr>
          <w:rFonts w:hint="eastAsia" w:ascii="Times New Roman" w:hAnsi="Times New Roman" w:cs="Times New Roman"/>
          <w:color w:val="auto"/>
        </w:rPr>
        <w:t>和</w:t>
      </w:r>
      <w:r>
        <w:rPr>
          <w:rFonts w:ascii="Times New Roman" w:hAnsi="Times New Roman" w:cs="Times New Roman"/>
          <w:color w:val="auto"/>
        </w:rPr>
        <w:t>变形控制设计</w:t>
      </w:r>
      <w:r>
        <w:rPr>
          <w:rFonts w:hint="eastAsia" w:ascii="Times New Roman" w:hAnsi="Times New Roman" w:cs="Times New Roman"/>
          <w:color w:val="auto"/>
        </w:rPr>
        <w:t>：</w:t>
      </w:r>
      <w:r>
        <w:rPr>
          <w:rFonts w:ascii="Times New Roman" w:hAnsi="Times New Roman" w:cs="Times New Roman"/>
          <w:color w:val="auto"/>
        </w:rPr>
        <w:t xml:space="preserve"> </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1）当基坑环境条件允许基坑周围地基土体产生较大的变形时，基坑</w:t>
      </w:r>
      <w:r>
        <w:rPr>
          <w:rFonts w:hint="eastAsia" w:ascii="Times New Roman" w:hAnsi="Times New Roman" w:cs="Times New Roman"/>
          <w:color w:val="auto"/>
        </w:rPr>
        <w:t>支</w:t>
      </w:r>
      <w:r>
        <w:rPr>
          <w:rFonts w:ascii="Times New Roman" w:hAnsi="Times New Roman" w:cs="Times New Roman"/>
          <w:color w:val="auto"/>
        </w:rPr>
        <w:t>护设计可按稳定性控制设计；</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2）当基坑环境条件不允许基坑周围地基土产生较大变形时，基坑支护设计应按变形控制设计。</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2</w:t>
      </w:r>
      <w:r>
        <w:rPr>
          <w:rFonts w:hint="eastAsia" w:ascii="Times New Roman" w:hAnsi="Times New Roman" w:cs="Times New Roman"/>
          <w:color w:val="auto"/>
        </w:rPr>
        <w:t xml:space="preserve">  </w:t>
      </w:r>
      <w:r>
        <w:rPr>
          <w:rFonts w:ascii="Times New Roman" w:hAnsi="Times New Roman" w:cs="Times New Roman"/>
          <w:color w:val="auto"/>
        </w:rPr>
        <w:t>内支撑结构宜采用超静定结构</w:t>
      </w:r>
      <w:r>
        <w:rPr>
          <w:rFonts w:hint="eastAsia" w:ascii="Times New Roman" w:hAnsi="Times New Roman" w:cs="Times New Roman"/>
          <w:color w:val="auto"/>
        </w:rPr>
        <w:t>。对个别次要构件失效会引起结构整体破坏的部位宜设置冗余约束。内支撑结构的设计应考虑地质和环境条件的复杂性、基坑开挖步序的偶然变化的影响。</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3</w:t>
      </w:r>
      <w:r>
        <w:rPr>
          <w:rFonts w:ascii="Times New Roman" w:hAnsi="Times New Roman" w:cs="Times New Roman"/>
          <w:b/>
          <w:color w:val="auto"/>
        </w:rPr>
        <w:t xml:space="preserve">  </w:t>
      </w:r>
      <w:r>
        <w:rPr>
          <w:rFonts w:ascii="Times New Roman" w:hAnsi="Times New Roman" w:cs="Times New Roman"/>
          <w:color w:val="auto"/>
        </w:rPr>
        <w:t>支撑结构的设计应遵循</w:t>
      </w:r>
      <w:r>
        <w:rPr>
          <w:rFonts w:hint="eastAsia" w:ascii="Times New Roman" w:hAnsi="Times New Roman" w:cs="Times New Roman"/>
          <w:color w:val="auto"/>
        </w:rPr>
        <w:t>“平面分区</w:t>
      </w:r>
      <w:r>
        <w:rPr>
          <w:rFonts w:ascii="Times New Roman" w:hAnsi="Times New Roman" w:cs="Times New Roman"/>
          <w:color w:val="auto"/>
        </w:rPr>
        <w:t>、竖向分层、先撑后挖、先换后拆、严禁超挖、动态设计</w:t>
      </w:r>
      <w:r>
        <w:rPr>
          <w:rFonts w:hint="eastAsia" w:ascii="Times New Roman" w:hAnsi="Times New Roman" w:cs="Times New Roman"/>
          <w:color w:val="auto"/>
        </w:rPr>
        <w:t>”</w:t>
      </w:r>
      <w:r>
        <w:rPr>
          <w:rFonts w:ascii="Times New Roman" w:hAnsi="Times New Roman" w:cs="Times New Roman"/>
          <w:color w:val="auto"/>
        </w:rPr>
        <w:t>的原则。</w:t>
      </w:r>
    </w:p>
    <w:p>
      <w:pPr>
        <w:spacing w:line="360" w:lineRule="auto"/>
        <w:ind w:firstLine="482" w:firstLineChars="200"/>
        <w:jc w:val="left"/>
        <w:rPr>
          <w:kern w:val="0"/>
          <w:sz w:val="24"/>
        </w:rPr>
      </w:pPr>
      <w:r>
        <w:rPr>
          <w:b/>
          <w:kern w:val="0"/>
          <w:sz w:val="24"/>
        </w:rPr>
        <w:t xml:space="preserve">4  </w:t>
      </w:r>
      <w:r>
        <w:rPr>
          <w:kern w:val="0"/>
          <w:sz w:val="24"/>
        </w:rPr>
        <w:t>支撑结构的荷载及内力</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1）作用在支撑结构上的荷载包括水平</w:t>
      </w:r>
      <w:r>
        <w:rPr>
          <w:rFonts w:hint="eastAsia" w:ascii="Times New Roman" w:hAnsi="Times New Roman" w:cs="Times New Roman"/>
          <w:color w:val="auto"/>
        </w:rPr>
        <w:t>荷载</w:t>
      </w:r>
      <w:r>
        <w:rPr>
          <w:rFonts w:ascii="Times New Roman" w:hAnsi="Times New Roman" w:cs="Times New Roman"/>
          <w:color w:val="auto"/>
        </w:rPr>
        <w:t>和竖向荷载；</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2）计算模型的尺寸取支撑构件的中心距；</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3）钢筋混凝土支撑</w:t>
      </w:r>
      <w:r>
        <w:rPr>
          <w:rFonts w:hint="eastAsia" w:ascii="Times New Roman" w:hAnsi="Times New Roman" w:cs="Times New Roman"/>
          <w:color w:val="auto"/>
        </w:rPr>
        <w:t>和</w:t>
      </w:r>
      <w:r>
        <w:rPr>
          <w:rFonts w:ascii="Times New Roman" w:hAnsi="Times New Roman" w:cs="Times New Roman"/>
          <w:color w:val="auto"/>
        </w:rPr>
        <w:t>围檩的抗弯刚度可适当折减</w:t>
      </w:r>
      <w:r>
        <w:rPr>
          <w:rFonts w:hint="eastAsia" w:ascii="Times New Roman" w:hAnsi="Times New Roman" w:cs="Times New Roman"/>
          <w:color w:val="auto"/>
        </w:rPr>
        <w:t>，</w:t>
      </w:r>
      <w:r>
        <w:rPr>
          <w:rFonts w:ascii="Times New Roman" w:hAnsi="Times New Roman" w:cs="Times New Roman"/>
          <w:color w:val="auto"/>
        </w:rPr>
        <w:t>支撑</w:t>
      </w:r>
      <w:r>
        <w:rPr>
          <w:rFonts w:hint="eastAsia" w:ascii="Times New Roman" w:hAnsi="Times New Roman" w:cs="Times New Roman"/>
          <w:color w:val="auto"/>
        </w:rPr>
        <w:t>的折减系数可取0.8~0.9；</w:t>
      </w:r>
      <w:r>
        <w:rPr>
          <w:rFonts w:ascii="Times New Roman" w:hAnsi="Times New Roman" w:cs="Times New Roman"/>
          <w:color w:val="auto"/>
        </w:rPr>
        <w:t>围檩</w:t>
      </w:r>
      <w:r>
        <w:rPr>
          <w:rFonts w:hint="eastAsia" w:ascii="Times New Roman" w:hAnsi="Times New Roman" w:cs="Times New Roman"/>
          <w:color w:val="auto"/>
        </w:rPr>
        <w:t>的折减系数可取0.6~0.7</w:t>
      </w:r>
      <w:r>
        <w:rPr>
          <w:rFonts w:ascii="Times New Roman" w:hAnsi="Times New Roman" w:cs="Times New Roman"/>
          <w:color w:val="auto"/>
        </w:rPr>
        <w:t>；</w:t>
      </w:r>
    </w:p>
    <w:p>
      <w:pPr>
        <w:pStyle w:val="74"/>
        <w:spacing w:line="360" w:lineRule="auto"/>
        <w:ind w:left="1095" w:leftChars="350" w:hanging="360" w:hangingChars="150"/>
        <w:rPr>
          <w:rFonts w:ascii="Times New Roman" w:hAnsi="Times New Roman" w:cs="Times New Roman"/>
          <w:color w:val="auto"/>
        </w:rPr>
      </w:pPr>
      <w:r>
        <w:rPr>
          <w:rFonts w:hint="eastAsia" w:ascii="Times New Roman" w:hAnsi="Times New Roman" w:cs="Times New Roman"/>
          <w:color w:val="auto"/>
        </w:rPr>
        <w:t>4</w:t>
      </w:r>
      <w:r>
        <w:rPr>
          <w:rFonts w:ascii="Times New Roman" w:hAnsi="Times New Roman" w:cs="Times New Roman"/>
          <w:color w:val="auto"/>
        </w:rPr>
        <w:t>）钢围檩采取分段拼装时，拼接点的构造不能满足截面的等强</w:t>
      </w:r>
      <w:r>
        <w:rPr>
          <w:rFonts w:hint="eastAsia" w:ascii="Times New Roman" w:hAnsi="Times New Roman" w:cs="Times New Roman"/>
          <w:color w:val="auto"/>
        </w:rPr>
        <w:t>度</w:t>
      </w:r>
      <w:r>
        <w:rPr>
          <w:rFonts w:ascii="Times New Roman" w:hAnsi="Times New Roman" w:cs="Times New Roman"/>
          <w:color w:val="auto"/>
        </w:rPr>
        <w:t>连接要求时，应把拼接点</w:t>
      </w:r>
      <w:r>
        <w:rPr>
          <w:rFonts w:hint="eastAsia" w:ascii="Times New Roman" w:hAnsi="Times New Roman" w:cs="Times New Roman"/>
          <w:color w:val="auto"/>
        </w:rPr>
        <w:t>按</w:t>
      </w:r>
      <w:r>
        <w:rPr>
          <w:rFonts w:ascii="Times New Roman" w:hAnsi="Times New Roman" w:cs="Times New Roman"/>
          <w:color w:val="auto"/>
        </w:rPr>
        <w:t>铰接</w:t>
      </w:r>
      <w:r>
        <w:rPr>
          <w:rFonts w:hint="eastAsia" w:ascii="Times New Roman" w:hAnsi="Times New Roman" w:cs="Times New Roman"/>
          <w:color w:val="auto"/>
        </w:rPr>
        <w:t>设计</w:t>
      </w:r>
      <w:r>
        <w:rPr>
          <w:rFonts w:ascii="Times New Roman" w:hAnsi="Times New Roman" w:cs="Times New Roman"/>
          <w:color w:val="auto"/>
        </w:rPr>
        <w:t>。</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5  形状较规则的基坑采用</w:t>
      </w:r>
      <w:r>
        <w:rPr>
          <w:rFonts w:hint="eastAsia" w:ascii="Times New Roman" w:hAnsi="Times New Roman" w:cs="Times New Roman"/>
          <w:color w:val="auto"/>
        </w:rPr>
        <w:t>构件</w:t>
      </w:r>
      <w:r>
        <w:rPr>
          <w:rFonts w:ascii="Times New Roman" w:hAnsi="Times New Roman" w:cs="Times New Roman"/>
          <w:color w:val="auto"/>
        </w:rPr>
        <w:t>相互正交的支撑</w:t>
      </w:r>
      <w:r>
        <w:rPr>
          <w:rFonts w:hint="eastAsia" w:ascii="Times New Roman" w:hAnsi="Times New Roman" w:cs="Times New Roman"/>
          <w:color w:val="auto"/>
        </w:rPr>
        <w:t>体系</w:t>
      </w:r>
      <w:r>
        <w:rPr>
          <w:rFonts w:ascii="Times New Roman" w:hAnsi="Times New Roman" w:cs="Times New Roman"/>
          <w:color w:val="auto"/>
        </w:rPr>
        <w:t>时，支撑构件的内力和变形可按下列方法确定：</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1）支撑轴力按围檩长度方向分布的水平反力乘以支撑中心距；</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2）在垂直荷载作用下，支撑的内力和变形可按单跨或多跨</w:t>
      </w:r>
      <w:r>
        <w:rPr>
          <w:rFonts w:hint="eastAsia" w:ascii="Times New Roman" w:hAnsi="Times New Roman" w:cs="Times New Roman"/>
          <w:color w:val="auto"/>
        </w:rPr>
        <w:t>连续</w:t>
      </w:r>
      <w:r>
        <w:rPr>
          <w:rFonts w:ascii="Times New Roman" w:hAnsi="Times New Roman" w:cs="Times New Roman"/>
          <w:color w:val="auto"/>
        </w:rPr>
        <w:t>梁分析；</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3）立柱的轴向力可取纵横向支撑的支座反力之和；</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4）在水平荷载作用下，现浇混凝土围檩的内力与变形可按多跨连续梁计算；</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5）当水平支撑与围檩斜交时，尚应计算支撑轴力在围檩长度方向所引起的轴向力。</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6  较为复杂的平面支撑体系，宜按空间杆系模型计算。计算模型的边界可按下列原则确定：</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1）在水平支撑与围檩或立柱的交点处，以及围檩的转角处分别设置竖向铰支座或弹簧；</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2）基坑四周与围檩长度方向正交的水平荷载不是均匀分布或支撑结构布置不对称时，可在适当位置上设置防止模型整体平移或转动的水平约束。</w:t>
      </w:r>
    </w:p>
    <w:p>
      <w:pPr>
        <w:spacing w:line="360" w:lineRule="auto"/>
        <w:ind w:firstLine="480" w:firstLineChars="200"/>
        <w:jc w:val="left"/>
        <w:rPr>
          <w:kern w:val="0"/>
          <w:sz w:val="24"/>
        </w:rPr>
      </w:pPr>
      <w:r>
        <w:rPr>
          <w:kern w:val="0"/>
          <w:sz w:val="24"/>
        </w:rPr>
        <w:t>7</w:t>
      </w:r>
      <w:r>
        <w:rPr>
          <w:b/>
          <w:kern w:val="0"/>
          <w:sz w:val="24"/>
        </w:rPr>
        <w:t xml:space="preserve">  </w:t>
      </w:r>
      <w:r>
        <w:rPr>
          <w:kern w:val="0"/>
          <w:sz w:val="24"/>
        </w:rPr>
        <w:t>水平支撑体系的计算可分为在土压力作用下的水平支撑计算和竖向作用下的水平支撑计算。内支撑支护结构可按</w:t>
      </w:r>
      <w:r>
        <w:rPr>
          <w:rFonts w:hint="eastAsia"/>
          <w:kern w:val="0"/>
          <w:sz w:val="24"/>
        </w:rPr>
        <w:t>“</w:t>
      </w:r>
      <w:r>
        <w:rPr>
          <w:kern w:val="0"/>
          <w:sz w:val="24"/>
        </w:rPr>
        <w:t>弹性支点法</w:t>
      </w:r>
      <w:r>
        <w:rPr>
          <w:rFonts w:hint="eastAsia"/>
          <w:kern w:val="0"/>
          <w:sz w:val="24"/>
        </w:rPr>
        <w:t>”</w:t>
      </w:r>
      <w:r>
        <w:rPr>
          <w:kern w:val="0"/>
          <w:sz w:val="24"/>
        </w:rPr>
        <w:t>进行计算，也可采用其它满足</w:t>
      </w:r>
      <w:r>
        <w:rPr>
          <w:rFonts w:hint="eastAsia"/>
          <w:kern w:val="0"/>
          <w:sz w:val="24"/>
        </w:rPr>
        <w:t>变形</w:t>
      </w:r>
      <w:r>
        <w:rPr>
          <w:kern w:val="0"/>
          <w:sz w:val="24"/>
        </w:rPr>
        <w:t>协调条件的方法计算，对于特别重要的基坑工程可采用空间有限元方法</w:t>
      </w:r>
      <w:r>
        <w:rPr>
          <w:rFonts w:hint="eastAsia"/>
          <w:kern w:val="0"/>
          <w:sz w:val="24"/>
        </w:rPr>
        <w:t>计算</w:t>
      </w:r>
      <w:r>
        <w:rPr>
          <w:kern w:val="0"/>
          <w:sz w:val="24"/>
        </w:rPr>
        <w:t>校核。</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1）桩墙</w:t>
      </w:r>
      <w:r>
        <w:rPr>
          <w:rFonts w:hint="eastAsia" w:ascii="Times New Roman" w:hAnsi="Times New Roman" w:cs="Times New Roman"/>
          <w:color w:val="auto"/>
        </w:rPr>
        <w:t>挡土构件</w:t>
      </w:r>
      <w:r>
        <w:rPr>
          <w:rFonts w:ascii="Times New Roman" w:hAnsi="Times New Roman" w:cs="Times New Roman"/>
          <w:color w:val="auto"/>
        </w:rPr>
        <w:t>的内力和变形，以及沿基坑周边内支撑设置深度处每延米支撑力标准值按桩锚（撑）支护结构</w:t>
      </w:r>
      <w:r>
        <w:rPr>
          <w:rFonts w:hint="eastAsia" w:ascii="Times New Roman" w:hAnsi="Times New Roman" w:cs="Times New Roman"/>
          <w:color w:val="auto"/>
        </w:rPr>
        <w:t>的计算方法</w:t>
      </w:r>
      <w:r>
        <w:rPr>
          <w:rFonts w:ascii="Times New Roman" w:hAnsi="Times New Roman" w:cs="Times New Roman"/>
          <w:color w:val="auto"/>
        </w:rPr>
        <w:t>进行计算；</w:t>
      </w:r>
    </w:p>
    <w:p>
      <w:pPr>
        <w:pStyle w:val="74"/>
        <w:spacing w:line="360" w:lineRule="auto"/>
        <w:ind w:left="1095" w:leftChars="350" w:hanging="360" w:hangingChars="150"/>
        <w:rPr>
          <w:rFonts w:ascii="Times New Roman" w:hAnsi="Times New Roman" w:cs="Times New Roman"/>
          <w:color w:val="auto"/>
        </w:rPr>
      </w:pPr>
      <w:r>
        <w:rPr>
          <w:rFonts w:ascii="Times New Roman" w:hAnsi="Times New Roman" w:cs="Times New Roman"/>
          <w:color w:val="auto"/>
        </w:rPr>
        <w:t>2） 采用平面竖向弹性地基梁法或平面连续介质有限元法</w:t>
      </w:r>
      <w:r>
        <w:rPr>
          <w:rFonts w:hint="eastAsia" w:ascii="Times New Roman" w:hAnsi="Times New Roman" w:cs="Times New Roman"/>
          <w:color w:val="auto"/>
        </w:rPr>
        <w:t>计算时</w:t>
      </w:r>
      <w:r>
        <w:rPr>
          <w:rFonts w:ascii="Times New Roman" w:hAnsi="Times New Roman" w:cs="Times New Roman"/>
          <w:color w:val="auto"/>
        </w:rPr>
        <w:t>需先确定弹性支座的刚度。对</w:t>
      </w:r>
      <w:r>
        <w:rPr>
          <w:rFonts w:hint="eastAsia" w:ascii="Times New Roman" w:hAnsi="Times New Roman" w:cs="Times New Roman"/>
          <w:color w:val="auto"/>
        </w:rPr>
        <w:t>水平对撑，当支撑</w:t>
      </w:r>
      <w:r>
        <w:t>围檩</w:t>
      </w:r>
      <w:r>
        <w:rPr>
          <w:rFonts w:hint="eastAsia" w:ascii="Times New Roman" w:hAnsi="Times New Roman" w:cs="Times New Roman"/>
          <w:color w:val="auto"/>
        </w:rPr>
        <w:t>或冠梁的挠度可忽略不计时，计算宽度内弹性支点刚度系数可按下式计算</w:t>
      </w:r>
      <w:r>
        <w:rPr>
          <w:rFonts w:ascii="Times New Roman" w:hAnsi="Times New Roman" w:cs="Times New Roman"/>
          <w:color w:val="auto"/>
        </w:rPr>
        <w:t>：</w:t>
      </w:r>
    </w:p>
    <w:p>
      <w:pPr>
        <w:pStyle w:val="74"/>
        <w:spacing w:line="360" w:lineRule="auto"/>
        <w:jc w:val="right"/>
        <w:rPr>
          <w:rFonts w:ascii="Times New Roman" w:hAnsi="Times New Roman" w:cs="Times New Roman"/>
          <w:color w:val="auto"/>
        </w:rPr>
      </w:pPr>
      <w:r>
        <w:rPr>
          <w:rFonts w:ascii="Times New Roman" w:hAnsi="Times New Roman" w:cs="Times New Roman"/>
          <w:color w:val="auto"/>
          <w:position w:val="-30"/>
        </w:rPr>
        <w:object>
          <v:shape id="_x0000_i1090" o:spt="75" type="#_x0000_t75" style="height:34.45pt;width:67.8pt;" o:ole="t" filled="f" coordsize="21600,21600">
            <v:path/>
            <v:fill on="f" focussize="0,0"/>
            <v:stroke/>
            <v:imagedata r:id="rId166" o:title=""/>
            <o:lock v:ext="edit" aspectratio="t"/>
            <w10:wrap type="none"/>
            <w10:anchorlock/>
          </v:shape>
          <o:OLEObject Type="Embed" ProgID="Equation.DSMT4" ShapeID="_x0000_i1090" DrawAspect="Content" ObjectID="_1468075790" r:id="rId165">
            <o:LockedField>false</o:LockedField>
          </o:OLEObject>
        </w:object>
      </w:r>
      <w:r>
        <w:rPr>
          <w:rFonts w:ascii="Times New Roman" w:hAnsi="Times New Roman" w:cs="Times New Roman"/>
          <w:color w:val="auto"/>
        </w:rPr>
        <w:t xml:space="preserve">                    （5.7.2-1）</w:t>
      </w:r>
    </w:p>
    <w:p>
      <w:pPr>
        <w:spacing w:line="360" w:lineRule="auto"/>
        <w:ind w:left="1080" w:hanging="1080" w:hangingChars="450"/>
        <w:jc w:val="left"/>
        <w:rPr>
          <w:kern w:val="0"/>
          <w:sz w:val="24"/>
        </w:rPr>
      </w:pPr>
      <w:r>
        <w:rPr>
          <w:kern w:val="0"/>
          <w:sz w:val="24"/>
        </w:rPr>
        <w:t>式中：λ</w:t>
      </w:r>
      <w:r>
        <w:rPr>
          <w:i/>
          <w:kern w:val="0"/>
          <w:sz w:val="24"/>
        </w:rPr>
        <w:t>—</w:t>
      </w:r>
      <w:r>
        <w:rPr>
          <w:rFonts w:hint="eastAsia"/>
          <w:kern w:val="0"/>
          <w:sz w:val="24"/>
        </w:rPr>
        <w:t>支撑不动点调整系数：支撑两对边基坑的土性、深度周边荷载等条件相近，且分层对称开挖时，取</w:t>
      </w:r>
      <w:r>
        <w:rPr>
          <w:kern w:val="0"/>
          <w:sz w:val="24"/>
        </w:rPr>
        <w:t>λ</w:t>
      </w:r>
      <w:r>
        <w:rPr>
          <w:rFonts w:hint="eastAsia"/>
          <w:kern w:val="0"/>
          <w:sz w:val="24"/>
        </w:rPr>
        <w:t>=0.5；支撑两对边基坑的土性、深度、周边荷载等条件或开挖时间有差异时，对土压力较大或先开挖的一侧，取</w:t>
      </w:r>
      <w:r>
        <w:rPr>
          <w:kern w:val="0"/>
          <w:sz w:val="24"/>
        </w:rPr>
        <w:t>λ</w:t>
      </w:r>
      <w:r>
        <w:rPr>
          <w:rFonts w:hint="eastAsia"/>
          <w:kern w:val="0"/>
          <w:sz w:val="24"/>
        </w:rPr>
        <w:t>=0.5~1.0，且差异大时取大值，反之取小值；对土压力较小或后开挖的一侧，取（1-</w:t>
      </w:r>
      <w:r>
        <w:rPr>
          <w:kern w:val="0"/>
          <w:sz w:val="24"/>
        </w:rPr>
        <w:t>λ</w:t>
      </w:r>
      <w:r>
        <w:rPr>
          <w:rFonts w:hint="eastAsia"/>
          <w:kern w:val="0"/>
          <w:sz w:val="24"/>
        </w:rPr>
        <w:t>）；当基坑一侧取</w:t>
      </w:r>
      <w:r>
        <w:rPr>
          <w:kern w:val="0"/>
          <w:sz w:val="24"/>
        </w:rPr>
        <w:t>λ</w:t>
      </w:r>
      <w:r>
        <w:rPr>
          <w:rFonts w:hint="eastAsia"/>
          <w:kern w:val="0"/>
          <w:sz w:val="24"/>
        </w:rPr>
        <w:t>=1时，基坑另一侧应按固定支座考虑；对竖向斜撑构件，取</w:t>
      </w:r>
      <w:r>
        <w:rPr>
          <w:kern w:val="0"/>
          <w:sz w:val="24"/>
        </w:rPr>
        <w:t>λ</w:t>
      </w:r>
      <w:r>
        <w:rPr>
          <w:rFonts w:hint="eastAsia"/>
          <w:kern w:val="0"/>
          <w:sz w:val="24"/>
        </w:rPr>
        <w:t>=1；</w:t>
      </w:r>
    </w:p>
    <w:p>
      <w:pPr>
        <w:spacing w:line="360" w:lineRule="auto"/>
        <w:ind w:left="1110" w:leftChars="300" w:hanging="480" w:hangingChars="200"/>
        <w:jc w:val="left"/>
        <w:rPr>
          <w:i/>
          <w:kern w:val="0"/>
          <w:sz w:val="24"/>
        </w:rPr>
      </w:pPr>
      <w:r>
        <w:rPr>
          <w:i/>
          <w:kern w:val="0"/>
          <w:sz w:val="24"/>
        </w:rPr>
        <w:t>α</w:t>
      </w:r>
      <w:r>
        <w:rPr>
          <w:rFonts w:hint="eastAsia"/>
          <w:i/>
          <w:kern w:val="0"/>
          <w:sz w:val="24"/>
          <w:vertAlign w:val="subscript"/>
        </w:rPr>
        <w:t>R</w:t>
      </w:r>
      <w:r>
        <w:rPr>
          <w:i/>
          <w:kern w:val="0"/>
          <w:sz w:val="24"/>
        </w:rPr>
        <w:t>—</w:t>
      </w:r>
      <w:r>
        <w:rPr>
          <w:kern w:val="0"/>
          <w:sz w:val="24"/>
        </w:rPr>
        <w:t>支撑松弛系数，</w:t>
      </w:r>
      <w:r>
        <w:rPr>
          <w:rFonts w:hint="eastAsia"/>
          <w:kern w:val="0"/>
          <w:sz w:val="24"/>
        </w:rPr>
        <w:t>对</w:t>
      </w:r>
      <w:r>
        <w:rPr>
          <w:kern w:val="0"/>
          <w:sz w:val="24"/>
        </w:rPr>
        <w:t>混凝土支撑</w:t>
      </w:r>
      <w:r>
        <w:rPr>
          <w:rFonts w:hint="eastAsia"/>
          <w:kern w:val="0"/>
          <w:sz w:val="24"/>
        </w:rPr>
        <w:t>和预加轴向压力的钢支撑，取</w:t>
      </w:r>
      <w:r>
        <w:rPr>
          <w:i/>
          <w:kern w:val="0"/>
          <w:sz w:val="24"/>
        </w:rPr>
        <w:t>α</w:t>
      </w:r>
      <w:r>
        <w:rPr>
          <w:rFonts w:hint="eastAsia"/>
          <w:i/>
          <w:kern w:val="0"/>
          <w:sz w:val="24"/>
          <w:vertAlign w:val="subscript"/>
        </w:rPr>
        <w:t>R</w:t>
      </w:r>
      <w:r>
        <w:rPr>
          <w:rFonts w:hint="eastAsia"/>
          <w:i/>
          <w:kern w:val="0"/>
          <w:sz w:val="24"/>
        </w:rPr>
        <w:t>=</w:t>
      </w:r>
      <w:r>
        <w:rPr>
          <w:kern w:val="0"/>
          <w:sz w:val="24"/>
        </w:rPr>
        <w:t>1.0</w:t>
      </w:r>
      <w:r>
        <w:rPr>
          <w:rFonts w:hint="eastAsia"/>
          <w:kern w:val="0"/>
          <w:sz w:val="24"/>
        </w:rPr>
        <w:t>，对不预加轴向压力的钢支撑，取</w:t>
      </w:r>
      <w:r>
        <w:rPr>
          <w:i/>
          <w:kern w:val="0"/>
          <w:sz w:val="24"/>
        </w:rPr>
        <w:t>α</w:t>
      </w:r>
      <w:r>
        <w:rPr>
          <w:rFonts w:hint="eastAsia"/>
          <w:i/>
          <w:kern w:val="0"/>
          <w:sz w:val="24"/>
          <w:vertAlign w:val="subscript"/>
        </w:rPr>
        <w:t>R</w:t>
      </w:r>
      <w:r>
        <w:rPr>
          <w:rFonts w:hint="eastAsia"/>
          <w:i/>
          <w:kern w:val="0"/>
          <w:sz w:val="24"/>
        </w:rPr>
        <w:t>=</w:t>
      </w:r>
      <w:r>
        <w:rPr>
          <w:rFonts w:hint="eastAsia"/>
          <w:kern w:val="0"/>
          <w:sz w:val="24"/>
        </w:rPr>
        <w:t>0.8~1.0</w:t>
      </w:r>
      <w:r>
        <w:rPr>
          <w:kern w:val="0"/>
          <w:sz w:val="24"/>
        </w:rPr>
        <w:t>；</w:t>
      </w:r>
    </w:p>
    <w:p>
      <w:pPr>
        <w:spacing w:line="360" w:lineRule="auto"/>
        <w:ind w:firstLine="720" w:firstLineChars="300"/>
        <w:jc w:val="left"/>
        <w:rPr>
          <w:kern w:val="0"/>
          <w:sz w:val="24"/>
        </w:rPr>
      </w:pPr>
      <w:r>
        <w:rPr>
          <w:i/>
          <w:kern w:val="0"/>
          <w:sz w:val="24"/>
        </w:rPr>
        <w:t>E</w:t>
      </w:r>
      <w:r>
        <w:rPr>
          <w:kern w:val="0"/>
          <w:sz w:val="24"/>
        </w:rPr>
        <w:t>—支撑构件材料的弹性模量（k</w:t>
      </w:r>
      <w:r>
        <w:rPr>
          <w:rFonts w:hint="eastAsia"/>
          <w:kern w:val="0"/>
          <w:sz w:val="24"/>
        </w:rPr>
        <w:t>Pa</w:t>
      </w:r>
      <w:r>
        <w:rPr>
          <w:kern w:val="0"/>
          <w:sz w:val="24"/>
        </w:rPr>
        <w:t>）；</w:t>
      </w:r>
    </w:p>
    <w:p>
      <w:pPr>
        <w:spacing w:line="360" w:lineRule="auto"/>
        <w:ind w:firstLine="720" w:firstLineChars="300"/>
        <w:jc w:val="left"/>
        <w:rPr>
          <w:kern w:val="0"/>
          <w:sz w:val="24"/>
        </w:rPr>
      </w:pPr>
      <w:r>
        <w:rPr>
          <w:i/>
          <w:kern w:val="0"/>
          <w:sz w:val="24"/>
        </w:rPr>
        <w:t>A</w:t>
      </w:r>
      <w:r>
        <w:rPr>
          <w:kern w:val="0"/>
          <w:sz w:val="24"/>
        </w:rPr>
        <w:t>—支撑截面</w:t>
      </w:r>
      <w:r>
        <w:rPr>
          <w:rFonts w:hint="eastAsia"/>
          <w:kern w:val="0"/>
          <w:sz w:val="24"/>
        </w:rPr>
        <w:t>面</w:t>
      </w:r>
      <w:r>
        <w:rPr>
          <w:kern w:val="0"/>
          <w:sz w:val="24"/>
        </w:rPr>
        <w:t>积（m</w:t>
      </w:r>
      <w:r>
        <w:rPr>
          <w:kern w:val="0"/>
          <w:sz w:val="24"/>
          <w:vertAlign w:val="superscript"/>
        </w:rPr>
        <w:t>2</w:t>
      </w:r>
      <w:r>
        <w:rPr>
          <w:kern w:val="0"/>
          <w:sz w:val="24"/>
        </w:rPr>
        <w:t>）；</w:t>
      </w:r>
    </w:p>
    <w:p>
      <w:pPr>
        <w:spacing w:line="360" w:lineRule="auto"/>
        <w:ind w:firstLine="720" w:firstLineChars="300"/>
        <w:jc w:val="left"/>
        <w:rPr>
          <w:kern w:val="0"/>
          <w:sz w:val="24"/>
        </w:rPr>
      </w:pPr>
      <w:r>
        <w:rPr>
          <w:i/>
          <w:kern w:val="0"/>
          <w:sz w:val="24"/>
        </w:rPr>
        <w:t>l</w:t>
      </w:r>
      <w:r>
        <w:rPr>
          <w:rFonts w:hint="eastAsia"/>
          <w:i/>
          <w:kern w:val="0"/>
          <w:sz w:val="24"/>
          <w:vertAlign w:val="subscript"/>
        </w:rPr>
        <w:t>0</w:t>
      </w:r>
      <w:r>
        <w:rPr>
          <w:kern w:val="0"/>
          <w:sz w:val="24"/>
        </w:rPr>
        <w:t>—</w:t>
      </w:r>
      <w:r>
        <w:rPr>
          <w:rFonts w:hint="eastAsia"/>
          <w:kern w:val="0"/>
          <w:sz w:val="24"/>
        </w:rPr>
        <w:t>受压</w:t>
      </w:r>
      <w:r>
        <w:rPr>
          <w:kern w:val="0"/>
          <w:sz w:val="24"/>
        </w:rPr>
        <w:t>支撑构件的长度（m）；</w:t>
      </w:r>
    </w:p>
    <w:p>
      <w:pPr>
        <w:spacing w:line="360" w:lineRule="auto"/>
        <w:ind w:firstLine="720" w:firstLineChars="300"/>
        <w:jc w:val="left"/>
        <w:rPr>
          <w:kern w:val="0"/>
          <w:sz w:val="24"/>
        </w:rPr>
      </w:pPr>
      <w:r>
        <w:rPr>
          <w:i/>
          <w:kern w:val="0"/>
          <w:sz w:val="24"/>
        </w:rPr>
        <w:t>S</w:t>
      </w:r>
      <w:r>
        <w:rPr>
          <w:kern w:val="0"/>
          <w:sz w:val="24"/>
        </w:rPr>
        <w:t>—支撑水平间距（m）。</w:t>
      </w:r>
    </w:p>
    <w:p>
      <w:pPr>
        <w:spacing w:line="360" w:lineRule="auto"/>
        <w:ind w:left="1095" w:leftChars="350" w:hanging="360" w:hangingChars="150"/>
        <w:jc w:val="left"/>
        <w:rPr>
          <w:kern w:val="0"/>
          <w:sz w:val="24"/>
        </w:rPr>
      </w:pPr>
      <w:r>
        <w:rPr>
          <w:kern w:val="0"/>
          <w:sz w:val="24"/>
        </w:rPr>
        <w:t>3）对于复杂的支撑平面，</w:t>
      </w:r>
      <w:r>
        <w:rPr>
          <w:rFonts w:hint="eastAsia"/>
          <w:kern w:val="0"/>
          <w:sz w:val="24"/>
        </w:rPr>
        <w:t>计算剖面的</w:t>
      </w:r>
      <w:r>
        <w:rPr>
          <w:kern w:val="0"/>
          <w:sz w:val="24"/>
        </w:rPr>
        <w:t>平均压缩弹簧刚度，可按下式计算：</w:t>
      </w:r>
    </w:p>
    <w:p>
      <w:pPr>
        <w:pStyle w:val="74"/>
        <w:spacing w:line="360" w:lineRule="auto"/>
        <w:jc w:val="right"/>
        <w:rPr>
          <w:rFonts w:ascii="Times New Roman" w:hAnsi="Times New Roman" w:cs="Times New Roman"/>
          <w:color w:val="auto"/>
        </w:rPr>
      </w:pPr>
      <w:r>
        <w:rPr>
          <w:rFonts w:ascii="Times New Roman" w:hAnsi="Times New Roman" w:cs="Times New Roman"/>
          <w:position w:val="-24"/>
        </w:rPr>
        <w:object>
          <v:shape id="_x0000_i1091" o:spt="75" type="#_x0000_t75" style="height:31.4pt;width:34.45pt;" o:ole="t" filled="f" coordsize="21600,21600">
            <v:path/>
            <v:fill on="f" focussize="0,0"/>
            <v:stroke/>
            <v:imagedata r:id="rId168" o:title=""/>
            <o:lock v:ext="edit" aspectratio="t"/>
            <w10:wrap type="none"/>
            <w10:anchorlock/>
          </v:shape>
          <o:OLEObject Type="Embed" ProgID="Equation.DSMT4" ShapeID="_x0000_i1091" DrawAspect="Content" ObjectID="_1468075791" r:id="rId167">
            <o:LockedField>false</o:LockedField>
          </o:OLEObject>
        </w:object>
      </w:r>
      <w:r>
        <w:rPr>
          <w:rFonts w:ascii="Times New Roman" w:hAnsi="Times New Roman" w:cs="Times New Roman"/>
        </w:rPr>
        <w:t xml:space="preserve">                    （5.7.2-2）</w:t>
      </w:r>
    </w:p>
    <w:p>
      <w:pPr>
        <w:pStyle w:val="74"/>
        <w:spacing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i/>
        </w:rPr>
        <w:t>p</w:t>
      </w:r>
      <w:r>
        <w:rPr>
          <w:rFonts w:ascii="Times New Roman" w:hAnsi="Times New Roman" w:cs="Times New Roman"/>
        </w:rPr>
        <w:t>—水平支撑的围檩上单位分布荷载（kN/m）；</w:t>
      </w:r>
    </w:p>
    <w:p>
      <w:pPr>
        <w:spacing w:line="360" w:lineRule="auto"/>
        <w:ind w:firstLine="720" w:firstLineChars="300"/>
        <w:jc w:val="left"/>
        <w:rPr>
          <w:kern w:val="0"/>
          <w:sz w:val="24"/>
        </w:rPr>
      </w:pPr>
      <w:r>
        <w:rPr>
          <w:i/>
          <w:kern w:val="0"/>
          <w:sz w:val="24"/>
        </w:rPr>
        <w:sym w:font="Symbol" w:char="F064"/>
      </w:r>
      <w:r>
        <w:rPr>
          <w:kern w:val="0"/>
          <w:sz w:val="24"/>
        </w:rPr>
        <w:t>—</w:t>
      </w:r>
      <w:r>
        <w:rPr>
          <w:rFonts w:hint="eastAsia"/>
          <w:kern w:val="0"/>
          <w:sz w:val="24"/>
        </w:rPr>
        <w:t>计算剖面</w:t>
      </w:r>
      <w:r>
        <w:rPr>
          <w:kern w:val="0"/>
          <w:sz w:val="24"/>
        </w:rPr>
        <w:t>围檩上各</w:t>
      </w:r>
      <w:r>
        <w:rPr>
          <w:rFonts w:hint="eastAsia"/>
          <w:kern w:val="0"/>
          <w:sz w:val="24"/>
        </w:rPr>
        <w:t>结</w:t>
      </w:r>
      <w:r>
        <w:rPr>
          <w:kern w:val="0"/>
          <w:sz w:val="24"/>
        </w:rPr>
        <w:t>点的平均位移（m）。</w:t>
      </w:r>
    </w:p>
    <w:p>
      <w:pPr>
        <w:spacing w:line="360" w:lineRule="auto"/>
        <w:ind w:left="1095" w:leftChars="350" w:hanging="360" w:hangingChars="150"/>
        <w:jc w:val="left"/>
        <w:rPr>
          <w:kern w:val="0"/>
          <w:sz w:val="24"/>
        </w:rPr>
      </w:pPr>
      <w:r>
        <w:rPr>
          <w:kern w:val="0"/>
          <w:sz w:val="24"/>
        </w:rPr>
        <w:t>4）平面形状比较复杂的基坑，当支撑体系采用杆系结构计算时，应考虑围檩刚度的影响；立柱与水平支撑的节点和立柱的下端按铰支座考虑；</w:t>
      </w:r>
    </w:p>
    <w:p>
      <w:pPr>
        <w:spacing w:line="360" w:lineRule="auto"/>
        <w:ind w:left="1095" w:leftChars="350" w:hanging="360" w:hangingChars="150"/>
        <w:jc w:val="left"/>
        <w:rPr>
          <w:kern w:val="0"/>
          <w:sz w:val="24"/>
        </w:rPr>
      </w:pPr>
      <w:r>
        <w:rPr>
          <w:kern w:val="0"/>
          <w:sz w:val="24"/>
        </w:rPr>
        <w:t>5）当不考虑纵横向水平支撑的互相作用且支撑与围檩正交时，支撑的轴向压力标准值可按下式计算：</w:t>
      </w:r>
    </w:p>
    <w:p>
      <w:pPr>
        <w:spacing w:line="360" w:lineRule="auto"/>
        <w:jc w:val="right"/>
        <w:rPr>
          <w:sz w:val="24"/>
        </w:rPr>
      </w:pPr>
      <w:r>
        <w:rPr>
          <w:position w:val="-10"/>
          <w:sz w:val="24"/>
        </w:rPr>
        <w:t xml:space="preserve">        </w:t>
      </w:r>
      <w:r>
        <w:rPr>
          <w:i/>
          <w:position w:val="-10"/>
          <w:sz w:val="24"/>
        </w:rPr>
        <w:t>N</w:t>
      </w:r>
      <w:r>
        <w:rPr>
          <w:i/>
          <w:position w:val="-10"/>
          <w:sz w:val="24"/>
          <w:vertAlign w:val="subscript"/>
        </w:rPr>
        <w:t>k</w:t>
      </w:r>
      <w:r>
        <w:rPr>
          <w:position w:val="-10"/>
          <w:sz w:val="24"/>
        </w:rPr>
        <w:t>＝</w:t>
      </w:r>
      <w:r>
        <w:rPr>
          <w:i/>
          <w:position w:val="-10"/>
          <w:sz w:val="24"/>
        </w:rPr>
        <w:t>ql</w:t>
      </w:r>
      <w:r>
        <w:rPr>
          <w:position w:val="-10"/>
          <w:sz w:val="24"/>
        </w:rPr>
        <w:t xml:space="preserve">                       （5.7.2-3）</w:t>
      </w:r>
    </w:p>
    <w:p>
      <w:pPr>
        <w:spacing w:line="360" w:lineRule="auto"/>
        <w:jc w:val="left"/>
        <w:rPr>
          <w:sz w:val="24"/>
        </w:rPr>
      </w:pPr>
      <w:r>
        <w:rPr>
          <w:sz w:val="24"/>
        </w:rPr>
        <w:t>式中：</w:t>
      </w:r>
      <w:r>
        <w:rPr>
          <w:i/>
          <w:sz w:val="24"/>
        </w:rPr>
        <w:t>q</w:t>
      </w:r>
      <w:r>
        <w:rPr>
          <w:sz w:val="24"/>
        </w:rPr>
        <w:t>—围檩或冠梁作为</w:t>
      </w:r>
      <w:r>
        <w:rPr>
          <w:rFonts w:hint="eastAsia"/>
          <w:sz w:val="24"/>
        </w:rPr>
        <w:t>传力构件</w:t>
      </w:r>
      <w:r>
        <w:rPr>
          <w:sz w:val="24"/>
        </w:rPr>
        <w:t>的水平支座反力；</w:t>
      </w:r>
    </w:p>
    <w:p>
      <w:pPr>
        <w:spacing w:line="360" w:lineRule="auto"/>
        <w:ind w:firstLine="720" w:firstLineChars="300"/>
        <w:jc w:val="left"/>
        <w:rPr>
          <w:sz w:val="24"/>
        </w:rPr>
      </w:pPr>
      <w:r>
        <w:rPr>
          <w:i/>
          <w:sz w:val="24"/>
        </w:rPr>
        <w:t>l</w:t>
      </w:r>
      <w:r>
        <w:rPr>
          <w:sz w:val="24"/>
        </w:rPr>
        <w:t>—</w:t>
      </w:r>
      <w:r>
        <w:rPr>
          <w:position w:val="-12"/>
          <w:sz w:val="24"/>
        </w:rPr>
        <w:object>
          <v:shape id="_x0000_i1092" o:spt="75" type="#_x0000_t75" style="height:21.05pt;width:50.95pt;" o:ole="t" filled="f" coordsize="21600,21600">
            <v:path/>
            <v:fill on="f" focussize="0,0"/>
            <v:stroke/>
            <v:imagedata r:id="rId170" o:title=""/>
            <o:lock v:ext="edit" aspectratio="t"/>
            <w10:wrap type="none"/>
            <w10:anchorlock/>
          </v:shape>
          <o:OLEObject Type="Embed" ProgID="Equation.2" ShapeID="_x0000_i1092" DrawAspect="Content" ObjectID="_1468075792" r:id="rId169">
            <o:LockedField>false</o:LockedField>
          </o:OLEObject>
        </w:object>
      </w:r>
      <w:r>
        <w:rPr>
          <w:sz w:val="24"/>
        </w:rPr>
        <w:t>，</w:t>
      </w:r>
      <w:r>
        <w:rPr>
          <w:position w:val="-10"/>
          <w:sz w:val="24"/>
        </w:rPr>
        <w:object>
          <v:shape id="_x0000_i1093" o:spt="75" type="#_x0000_t75" style="height:16.45pt;width:10.35pt;" o:ole="t" filled="f" coordsize="21600,21600">
            <v:path/>
            <v:fill on="f" focussize="0,0"/>
            <v:stroke/>
            <v:imagedata r:id="rId172" o:title=""/>
            <o:lock v:ext="edit" aspectratio="t"/>
            <w10:wrap type="none"/>
            <w10:anchorlock/>
          </v:shape>
          <o:OLEObject Type="Embed" ProgID="Equation.2" ShapeID="_x0000_i1093" DrawAspect="Content" ObjectID="_1468075793" r:id="rId171">
            <o:LockedField>false</o:LockedField>
          </o:OLEObject>
        </w:object>
      </w:r>
      <w:r>
        <w:rPr>
          <w:sz w:val="24"/>
        </w:rPr>
        <w:t>和</w:t>
      </w:r>
      <w:r>
        <w:rPr>
          <w:position w:val="-10"/>
          <w:sz w:val="24"/>
        </w:rPr>
        <w:object>
          <v:shape id="_x0000_i1094" o:spt="75" type="#_x0000_t75" style="height:16.45pt;width:11.5pt;" o:ole="t" filled="f" coordsize="21600,21600">
            <v:path/>
            <v:fill on="f" focussize="0,0"/>
            <v:stroke/>
            <v:imagedata r:id="rId174" o:title=""/>
            <o:lock v:ext="edit" aspectratio="t"/>
            <w10:wrap type="none"/>
            <w10:anchorlock/>
          </v:shape>
          <o:OLEObject Type="Embed" ProgID="Equation.2" ShapeID="_x0000_i1094" DrawAspect="Content" ObjectID="_1468075794" r:id="rId173">
            <o:LockedField>false</o:LockedField>
          </o:OLEObject>
        </w:object>
      </w:r>
      <w:r>
        <w:rPr>
          <w:sz w:val="24"/>
        </w:rPr>
        <w:t>为左右两支撑间的中心距。</w:t>
      </w:r>
    </w:p>
    <w:p>
      <w:pPr>
        <w:spacing w:line="360" w:lineRule="auto"/>
        <w:ind w:firstLine="480" w:firstLineChars="200"/>
        <w:jc w:val="left"/>
        <w:rPr>
          <w:sz w:val="24"/>
        </w:rPr>
      </w:pPr>
      <w:r>
        <w:rPr>
          <w:sz w:val="24"/>
        </w:rPr>
        <w:t>当支撑与围檩或冠梁斜交时，支撑的轴向压力标准值可按下式计算：</w:t>
      </w:r>
    </w:p>
    <w:p>
      <w:pPr>
        <w:spacing w:line="360" w:lineRule="auto"/>
        <w:jc w:val="right"/>
        <w:rPr>
          <w:sz w:val="24"/>
        </w:rPr>
      </w:pPr>
      <w:r>
        <w:rPr>
          <w:position w:val="-12"/>
          <w:sz w:val="24"/>
        </w:rPr>
        <w:object>
          <v:shape id="_x0000_i1095" o:spt="75" type="#_x0000_t75" style="height:19.15pt;width:68.95pt;" o:ole="t" filled="f" coordsize="21600,21600">
            <v:path/>
            <v:fill on="f" focussize="0,0"/>
            <v:stroke/>
            <v:imagedata r:id="rId176" o:title=""/>
            <o:lock v:ext="edit" aspectratio="t"/>
            <w10:wrap type="none"/>
            <w10:anchorlock/>
          </v:shape>
          <o:OLEObject Type="Embed" ProgID="Equation.3" ShapeID="_x0000_i1095" DrawAspect="Content" ObjectID="_1468075795" r:id="rId175">
            <o:LockedField>false</o:LockedField>
          </o:OLEObject>
        </w:object>
      </w:r>
      <w:r>
        <w:rPr>
          <w:position w:val="-12"/>
          <w:sz w:val="24"/>
        </w:rPr>
        <w:t xml:space="preserve">                     （5.7.2-4）</w:t>
      </w:r>
    </w:p>
    <w:p>
      <w:pPr>
        <w:spacing w:line="360" w:lineRule="auto"/>
        <w:jc w:val="left"/>
        <w:rPr>
          <w:sz w:val="24"/>
        </w:rPr>
      </w:pPr>
      <w:r>
        <w:rPr>
          <w:sz w:val="24"/>
        </w:rPr>
        <w:t>式中：</w:t>
      </w:r>
      <w:r>
        <w:rPr>
          <w:i/>
          <w:sz w:val="24"/>
        </w:rPr>
        <w:sym w:font="Symbol" w:char="F071"/>
      </w:r>
      <w:r>
        <w:rPr>
          <w:sz w:val="24"/>
        </w:rPr>
        <w:t>— 水平支撑与围檩的夹角。</w:t>
      </w:r>
    </w:p>
    <w:p>
      <w:pPr>
        <w:spacing w:line="360" w:lineRule="auto"/>
        <w:rPr>
          <w:sz w:val="24"/>
        </w:rPr>
      </w:pPr>
      <w:r>
        <w:rPr>
          <w:b/>
          <w:kern w:val="0"/>
          <w:sz w:val="24"/>
        </w:rPr>
        <w:t>5.7.3</w:t>
      </w:r>
      <w:r>
        <w:rPr>
          <w:b/>
          <w:sz w:val="24"/>
        </w:rPr>
        <w:t xml:space="preserve">  </w:t>
      </w:r>
      <w:r>
        <w:rPr>
          <w:sz w:val="24"/>
        </w:rPr>
        <w:t>支撑构件计算</w:t>
      </w:r>
    </w:p>
    <w:p>
      <w:pPr>
        <w:spacing w:line="360" w:lineRule="auto"/>
        <w:ind w:firstLine="480" w:firstLineChars="200"/>
        <w:jc w:val="left"/>
        <w:rPr>
          <w:sz w:val="24"/>
        </w:rPr>
      </w:pPr>
      <w:r>
        <w:rPr>
          <w:sz w:val="24"/>
        </w:rPr>
        <w:t>1  混凝土支撑构件的受压、受弯、受剪承载力计算应符合《混凝土结构设计规范》GB 50010的规定；钢支撑构件的受压、受弯、受剪承载力及稳定性验算应符合《钢结构设计规范》GB 50017的规定。</w:t>
      </w:r>
    </w:p>
    <w:p>
      <w:pPr>
        <w:spacing w:line="360" w:lineRule="auto"/>
        <w:ind w:firstLine="480" w:firstLineChars="200"/>
        <w:jc w:val="left"/>
        <w:rPr>
          <w:sz w:val="24"/>
        </w:rPr>
      </w:pPr>
      <w:r>
        <w:rPr>
          <w:sz w:val="24"/>
        </w:rPr>
        <w:t>2  支撑构件计算：</w:t>
      </w:r>
    </w:p>
    <w:p>
      <w:pPr>
        <w:spacing w:line="360" w:lineRule="auto"/>
        <w:ind w:left="1095" w:leftChars="350" w:hanging="360" w:hangingChars="150"/>
        <w:jc w:val="left"/>
        <w:rPr>
          <w:kern w:val="0"/>
          <w:sz w:val="24"/>
        </w:rPr>
      </w:pPr>
      <w:r>
        <w:rPr>
          <w:kern w:val="0"/>
          <w:sz w:val="24"/>
        </w:rPr>
        <w:t>1）应按偏心受压构件计算。截面的偏心弯矩由自重弯矩、竖向荷载产生的弯矩、构件初始偏心矩产生的附加弯矩组成；</w:t>
      </w:r>
    </w:p>
    <w:p>
      <w:pPr>
        <w:spacing w:line="360" w:lineRule="auto"/>
        <w:ind w:left="1095" w:leftChars="350" w:hanging="360" w:hangingChars="150"/>
        <w:jc w:val="left"/>
        <w:rPr>
          <w:kern w:val="0"/>
          <w:sz w:val="24"/>
        </w:rPr>
      </w:pPr>
      <w:r>
        <w:rPr>
          <w:kern w:val="0"/>
          <w:sz w:val="24"/>
        </w:rPr>
        <w:t>2）支撑构件截面计算的初始偏心矩可取支撑计算长度的</w:t>
      </w:r>
      <w:r>
        <w:rPr>
          <w:rFonts w:hint="eastAsia"/>
          <w:kern w:val="0"/>
          <w:sz w:val="24"/>
        </w:rPr>
        <w:t>1</w:t>
      </w:r>
      <w:r>
        <w:rPr>
          <w:kern w:val="0"/>
          <w:sz w:val="24"/>
        </w:rPr>
        <w:t>/1000，对于混凝土支撑不宜小于20mm，对于钢支撑不宜小于40mm；</w:t>
      </w:r>
    </w:p>
    <w:p>
      <w:pPr>
        <w:spacing w:line="360" w:lineRule="auto"/>
        <w:ind w:left="1095" w:leftChars="350" w:hanging="360" w:hangingChars="150"/>
        <w:jc w:val="left"/>
        <w:rPr>
          <w:kern w:val="0"/>
          <w:sz w:val="24"/>
        </w:rPr>
      </w:pPr>
      <w:r>
        <w:rPr>
          <w:kern w:val="0"/>
          <w:sz w:val="24"/>
        </w:rPr>
        <w:t>3）</w:t>
      </w:r>
      <w:r>
        <w:rPr>
          <w:rFonts w:hint="eastAsia"/>
          <w:kern w:val="0"/>
          <w:sz w:val="24"/>
        </w:rPr>
        <w:t>水平</w:t>
      </w:r>
      <w:r>
        <w:rPr>
          <w:kern w:val="0"/>
          <w:sz w:val="24"/>
        </w:rPr>
        <w:t>支撑</w:t>
      </w:r>
      <w:r>
        <w:rPr>
          <w:rFonts w:hint="eastAsia"/>
          <w:kern w:val="0"/>
          <w:sz w:val="24"/>
        </w:rPr>
        <w:t>在竖向平面内的受压计算长度，不设置立柱时，应取支撑的实际长度；设置立柱时，应取相邻立柱的中心间距；</w:t>
      </w:r>
    </w:p>
    <w:p>
      <w:pPr>
        <w:spacing w:line="360" w:lineRule="auto"/>
        <w:ind w:left="1095" w:leftChars="350" w:hanging="360" w:hangingChars="150"/>
        <w:jc w:val="left"/>
        <w:rPr>
          <w:kern w:val="0"/>
          <w:sz w:val="24"/>
        </w:rPr>
      </w:pPr>
      <w:r>
        <w:rPr>
          <w:rFonts w:hint="eastAsia"/>
          <w:kern w:val="0"/>
          <w:sz w:val="24"/>
        </w:rPr>
        <w:t>4）水平支撑在水平平面内的受压计算长度，对无水平支撑杆件交汇的支撑，应取支撑的实际长度；对有水平支撑杆件交汇的支撑，应取与支撑相交的相邻水平支撑杆件的中心间距；当水平支撑杆件的交汇点不在同一水平面内时，水平平面内的受压计算长度宜取支撑相交的相邻水平支撑杆件中心间距的1.5倍；</w:t>
      </w:r>
    </w:p>
    <w:p>
      <w:pPr>
        <w:spacing w:line="360" w:lineRule="auto"/>
        <w:ind w:left="1095" w:leftChars="350" w:hanging="360" w:hangingChars="150"/>
        <w:jc w:val="left"/>
        <w:rPr>
          <w:kern w:val="0"/>
          <w:sz w:val="24"/>
        </w:rPr>
      </w:pPr>
      <w:r>
        <w:rPr>
          <w:rFonts w:hint="eastAsia"/>
          <w:kern w:val="0"/>
          <w:sz w:val="24"/>
        </w:rPr>
        <w:t>5）对竖向斜撑，应按本款3）、4）项的规定确定受压计算长度。</w:t>
      </w:r>
    </w:p>
    <w:p>
      <w:pPr>
        <w:spacing w:line="360" w:lineRule="auto"/>
        <w:ind w:left="1095" w:leftChars="350" w:hanging="360" w:hangingChars="150"/>
        <w:jc w:val="left"/>
        <w:rPr>
          <w:kern w:val="0"/>
          <w:sz w:val="24"/>
        </w:rPr>
      </w:pPr>
      <w:r>
        <w:rPr>
          <w:rFonts w:hint="eastAsia"/>
          <w:kern w:val="0"/>
          <w:sz w:val="24"/>
        </w:rPr>
        <w:t>6</w:t>
      </w:r>
      <w:r>
        <w:rPr>
          <w:kern w:val="0"/>
          <w:sz w:val="24"/>
        </w:rPr>
        <w:t>）混凝土围檩在竖向平面内的支座弯矩可按0.8～0.9系数折减，但跨中弯矩应相应增加；</w:t>
      </w:r>
    </w:p>
    <w:p>
      <w:pPr>
        <w:spacing w:line="360" w:lineRule="auto"/>
        <w:ind w:left="1095" w:leftChars="350" w:hanging="360" w:hangingChars="150"/>
        <w:jc w:val="left"/>
        <w:rPr>
          <w:kern w:val="0"/>
          <w:sz w:val="24"/>
        </w:rPr>
      </w:pPr>
      <w:r>
        <w:rPr>
          <w:rFonts w:hint="eastAsia"/>
          <w:kern w:val="0"/>
          <w:sz w:val="24"/>
        </w:rPr>
        <w:t>7</w:t>
      </w:r>
      <w:r>
        <w:rPr>
          <w:kern w:val="0"/>
          <w:sz w:val="24"/>
        </w:rPr>
        <w:t>）支撑构件在竖向平面内的挠度宜小于其计算跨度的1/</w:t>
      </w:r>
      <w:r>
        <w:rPr>
          <w:rFonts w:hint="eastAsia"/>
          <w:kern w:val="0"/>
          <w:sz w:val="24"/>
        </w:rPr>
        <w:t>8</w:t>
      </w:r>
      <w:r>
        <w:rPr>
          <w:kern w:val="0"/>
          <w:sz w:val="24"/>
        </w:rPr>
        <w:t>00～1/</w:t>
      </w:r>
      <w:r>
        <w:rPr>
          <w:rFonts w:hint="eastAsia"/>
          <w:kern w:val="0"/>
          <w:sz w:val="24"/>
        </w:rPr>
        <w:t>6</w:t>
      </w:r>
      <w:r>
        <w:rPr>
          <w:kern w:val="0"/>
          <w:sz w:val="24"/>
        </w:rPr>
        <w:t>00，水平挠度宜小于其计算跨度的1/1</w:t>
      </w:r>
      <w:r>
        <w:rPr>
          <w:rFonts w:hint="eastAsia"/>
          <w:kern w:val="0"/>
          <w:sz w:val="24"/>
        </w:rPr>
        <w:t>5</w:t>
      </w:r>
      <w:r>
        <w:rPr>
          <w:kern w:val="0"/>
          <w:sz w:val="24"/>
        </w:rPr>
        <w:t>00~1/1</w:t>
      </w:r>
      <w:r>
        <w:rPr>
          <w:rFonts w:hint="eastAsia"/>
          <w:kern w:val="0"/>
          <w:sz w:val="24"/>
        </w:rPr>
        <w:t>0</w:t>
      </w:r>
      <w:r>
        <w:rPr>
          <w:kern w:val="0"/>
          <w:sz w:val="24"/>
        </w:rPr>
        <w:t>00；</w:t>
      </w:r>
    </w:p>
    <w:p>
      <w:pPr>
        <w:spacing w:line="360" w:lineRule="auto"/>
        <w:ind w:left="1095" w:leftChars="350" w:hanging="360" w:hangingChars="150"/>
        <w:jc w:val="left"/>
        <w:rPr>
          <w:kern w:val="0"/>
          <w:sz w:val="24"/>
        </w:rPr>
      </w:pPr>
      <w:r>
        <w:rPr>
          <w:rFonts w:hint="eastAsia"/>
          <w:kern w:val="0"/>
          <w:sz w:val="24"/>
        </w:rPr>
        <w:t>8</w:t>
      </w:r>
      <w:r>
        <w:rPr>
          <w:kern w:val="0"/>
          <w:sz w:val="24"/>
        </w:rPr>
        <w:t>）钢筋混凝土梁主要受力构件的长细比不</w:t>
      </w:r>
      <w:r>
        <w:rPr>
          <w:rFonts w:hint="eastAsia"/>
          <w:kern w:val="0"/>
          <w:sz w:val="24"/>
        </w:rPr>
        <w:t>应</w:t>
      </w:r>
      <w:r>
        <w:rPr>
          <w:kern w:val="0"/>
          <w:sz w:val="24"/>
        </w:rPr>
        <w:t>大于75，次要受力构件的长细比不</w:t>
      </w:r>
      <w:r>
        <w:rPr>
          <w:rFonts w:hint="eastAsia"/>
          <w:kern w:val="0"/>
          <w:sz w:val="24"/>
        </w:rPr>
        <w:t>应</w:t>
      </w:r>
      <w:r>
        <w:rPr>
          <w:kern w:val="0"/>
          <w:sz w:val="24"/>
        </w:rPr>
        <w:t>大于120</w:t>
      </w:r>
      <w:r>
        <w:rPr>
          <w:rFonts w:hint="eastAsia"/>
          <w:kern w:val="0"/>
          <w:sz w:val="24"/>
        </w:rPr>
        <w:t>，立柱桩的长细比不应大于25</w:t>
      </w:r>
      <w:r>
        <w:rPr>
          <w:kern w:val="0"/>
          <w:sz w:val="24"/>
        </w:rPr>
        <w:t>；</w:t>
      </w:r>
    </w:p>
    <w:p>
      <w:pPr>
        <w:spacing w:line="360" w:lineRule="auto"/>
        <w:ind w:left="1095" w:leftChars="350" w:hanging="360" w:hangingChars="150"/>
        <w:jc w:val="left"/>
        <w:rPr>
          <w:kern w:val="0"/>
          <w:sz w:val="24"/>
        </w:rPr>
      </w:pPr>
      <w:r>
        <w:rPr>
          <w:rFonts w:hint="eastAsia"/>
          <w:kern w:val="0"/>
          <w:sz w:val="24"/>
        </w:rPr>
        <w:t>9）</w:t>
      </w:r>
      <w:r>
        <w:rPr>
          <w:kern w:val="0"/>
          <w:sz w:val="24"/>
        </w:rPr>
        <w:t>支撑构件的截面高度不应小于其竖向平面计算跨度的1/20</w:t>
      </w:r>
      <w:r>
        <w:rPr>
          <w:rFonts w:hint="eastAsia"/>
          <w:kern w:val="0"/>
          <w:sz w:val="24"/>
        </w:rPr>
        <w:t>；</w:t>
      </w:r>
    </w:p>
    <w:p>
      <w:pPr>
        <w:spacing w:line="360" w:lineRule="auto"/>
        <w:ind w:left="1095" w:leftChars="350" w:hanging="360" w:hangingChars="150"/>
        <w:jc w:val="left"/>
        <w:rPr>
          <w:kern w:val="0"/>
          <w:sz w:val="24"/>
        </w:rPr>
      </w:pPr>
      <w:r>
        <w:rPr>
          <w:rFonts w:hint="eastAsia"/>
          <w:kern w:val="0"/>
          <w:sz w:val="24"/>
        </w:rPr>
        <w:t>10</w:t>
      </w:r>
      <w:r>
        <w:rPr>
          <w:kern w:val="0"/>
          <w:sz w:val="24"/>
        </w:rPr>
        <w:t>）支撑尚应考虑由于温差产生的附加应力引起的不利影响</w:t>
      </w:r>
      <w:r>
        <w:rPr>
          <w:rFonts w:hint="eastAsia"/>
          <w:kern w:val="0"/>
          <w:sz w:val="24"/>
        </w:rPr>
        <w:t>，截面验算的轴向力宜分别乘以1.1~1.2增大系数</w:t>
      </w:r>
      <w:r>
        <w:rPr>
          <w:kern w:val="0"/>
          <w:sz w:val="24"/>
        </w:rPr>
        <w:t>。</w:t>
      </w:r>
    </w:p>
    <w:p>
      <w:pPr>
        <w:spacing w:line="360" w:lineRule="auto"/>
        <w:rPr>
          <w:sz w:val="24"/>
        </w:rPr>
      </w:pPr>
      <w:r>
        <w:rPr>
          <w:b/>
          <w:sz w:val="24"/>
        </w:rPr>
        <w:t xml:space="preserve">5.7.4 </w:t>
      </w:r>
      <w:r>
        <w:rPr>
          <w:rFonts w:hint="eastAsia"/>
          <w:b/>
          <w:sz w:val="24"/>
        </w:rPr>
        <w:t xml:space="preserve"> </w:t>
      </w:r>
      <w:r>
        <w:rPr>
          <w:sz w:val="24"/>
        </w:rPr>
        <w:t>围檩</w:t>
      </w:r>
      <w:r>
        <w:rPr>
          <w:rFonts w:hint="eastAsia"/>
          <w:sz w:val="24"/>
        </w:rPr>
        <w:t>设计应符合本规程5.6.3条第4款的规定。</w:t>
      </w:r>
    </w:p>
    <w:p>
      <w:pPr>
        <w:spacing w:line="360" w:lineRule="auto"/>
        <w:rPr>
          <w:sz w:val="24"/>
        </w:rPr>
      </w:pPr>
      <w:r>
        <w:rPr>
          <w:b/>
          <w:sz w:val="24"/>
        </w:rPr>
        <w:t xml:space="preserve">5.7.5  </w:t>
      </w:r>
      <w:r>
        <w:rPr>
          <w:rFonts w:hint="eastAsia"/>
          <w:sz w:val="24"/>
        </w:rPr>
        <w:t>立柱、支承桩</w:t>
      </w:r>
      <w:r>
        <w:rPr>
          <w:sz w:val="24"/>
        </w:rPr>
        <w:t>的设计计算</w:t>
      </w:r>
    </w:p>
    <w:p>
      <w:pPr>
        <w:spacing w:line="360" w:lineRule="auto"/>
        <w:ind w:firstLine="480" w:firstLineChars="200"/>
        <w:jc w:val="left"/>
        <w:rPr>
          <w:kern w:val="0"/>
          <w:sz w:val="24"/>
        </w:rPr>
      </w:pPr>
      <w:r>
        <w:rPr>
          <w:sz w:val="24"/>
        </w:rPr>
        <w:t xml:space="preserve">1  </w:t>
      </w:r>
      <w:r>
        <w:rPr>
          <w:rFonts w:hint="eastAsia"/>
          <w:sz w:val="24"/>
        </w:rPr>
        <w:t>当有可靠措施时</w:t>
      </w:r>
      <w:r>
        <w:rPr>
          <w:kern w:val="0"/>
          <w:sz w:val="24"/>
        </w:rPr>
        <w:t>可以利用主体结构工程桩</w:t>
      </w:r>
      <w:r>
        <w:rPr>
          <w:rFonts w:hint="eastAsia"/>
          <w:kern w:val="0"/>
          <w:sz w:val="24"/>
        </w:rPr>
        <w:t>作支承桩；</w:t>
      </w:r>
    </w:p>
    <w:p>
      <w:pPr>
        <w:spacing w:line="360" w:lineRule="auto"/>
        <w:ind w:firstLine="480" w:firstLineChars="200"/>
        <w:jc w:val="left"/>
        <w:rPr>
          <w:sz w:val="24"/>
        </w:rPr>
      </w:pPr>
      <w:r>
        <w:rPr>
          <w:sz w:val="24"/>
        </w:rPr>
        <w:t xml:space="preserve">2  </w:t>
      </w:r>
      <w:r>
        <w:rPr>
          <w:rFonts w:hint="eastAsia"/>
          <w:sz w:val="24"/>
        </w:rPr>
        <w:t>立柱</w:t>
      </w:r>
      <w:r>
        <w:rPr>
          <w:sz w:val="24"/>
        </w:rPr>
        <w:t>和</w:t>
      </w:r>
      <w:r>
        <w:rPr>
          <w:rFonts w:hint="eastAsia"/>
          <w:sz w:val="24"/>
        </w:rPr>
        <w:t>支承</w:t>
      </w:r>
      <w:r>
        <w:rPr>
          <w:sz w:val="24"/>
        </w:rPr>
        <w:t>桩的计算：</w:t>
      </w:r>
    </w:p>
    <w:p>
      <w:pPr>
        <w:spacing w:line="360" w:lineRule="auto"/>
        <w:ind w:left="1095" w:leftChars="350" w:hanging="360" w:hangingChars="150"/>
        <w:jc w:val="left"/>
        <w:rPr>
          <w:kern w:val="0"/>
          <w:sz w:val="24"/>
        </w:rPr>
      </w:pPr>
      <w:r>
        <w:rPr>
          <w:kern w:val="0"/>
          <w:sz w:val="24"/>
        </w:rPr>
        <w:t>1）立柱应按偏心受压构件进行承载力计算和稳定性验算，计算时应充分考虑基坑开挖与拆撑过程中的各</w:t>
      </w:r>
      <w:r>
        <w:rPr>
          <w:rFonts w:hint="eastAsia"/>
          <w:kern w:val="0"/>
          <w:sz w:val="24"/>
        </w:rPr>
        <w:t>种</w:t>
      </w:r>
      <w:r>
        <w:rPr>
          <w:kern w:val="0"/>
          <w:sz w:val="24"/>
        </w:rPr>
        <w:t>不利工况，偏心距应根据立柱垂直度并按双向偏心</w:t>
      </w:r>
      <w:r>
        <w:rPr>
          <w:rFonts w:hint="eastAsia"/>
          <w:kern w:val="0"/>
          <w:sz w:val="24"/>
        </w:rPr>
        <w:t>受压</w:t>
      </w:r>
      <w:r>
        <w:rPr>
          <w:kern w:val="0"/>
          <w:sz w:val="24"/>
        </w:rPr>
        <w:t>进行计算；</w:t>
      </w:r>
    </w:p>
    <w:p>
      <w:pPr>
        <w:spacing w:line="360" w:lineRule="auto"/>
        <w:ind w:left="1095" w:leftChars="350" w:hanging="360" w:hangingChars="150"/>
        <w:jc w:val="left"/>
        <w:rPr>
          <w:kern w:val="0"/>
          <w:sz w:val="24"/>
        </w:rPr>
      </w:pPr>
      <w:r>
        <w:rPr>
          <w:kern w:val="0"/>
          <w:sz w:val="24"/>
        </w:rPr>
        <w:t>2）立柱受压计算宜取竖向相邻水平支撑的中心距，</w:t>
      </w:r>
      <w:r>
        <w:rPr>
          <w:rFonts w:hint="eastAsia"/>
          <w:kern w:val="0"/>
          <w:sz w:val="24"/>
        </w:rPr>
        <w:t>单层支撑的立柱、多层支撑底层立柱的受压计算长度应取底层支撑至基坑底面的净高度与立柱直径或边长的5倍之和；</w:t>
      </w:r>
    </w:p>
    <w:p>
      <w:pPr>
        <w:spacing w:line="360" w:lineRule="auto"/>
        <w:ind w:left="1095" w:leftChars="350" w:hanging="360" w:hangingChars="150"/>
        <w:jc w:val="left"/>
        <w:rPr>
          <w:kern w:val="0"/>
          <w:sz w:val="24"/>
        </w:rPr>
      </w:pPr>
      <w:r>
        <w:rPr>
          <w:kern w:val="0"/>
          <w:sz w:val="24"/>
        </w:rPr>
        <w:t>3）</w:t>
      </w:r>
      <w:r>
        <w:rPr>
          <w:rFonts w:hint="eastAsia"/>
          <w:kern w:val="0"/>
          <w:sz w:val="24"/>
        </w:rPr>
        <w:t>支承桩应满足抗压和抗拔的要求。</w:t>
      </w:r>
    </w:p>
    <w:p>
      <w:pPr>
        <w:spacing w:line="360" w:lineRule="auto"/>
        <w:rPr>
          <w:b/>
          <w:sz w:val="24"/>
        </w:rPr>
      </w:pPr>
      <w:r>
        <w:rPr>
          <w:b/>
          <w:sz w:val="24"/>
        </w:rPr>
        <w:t>5.7.</w:t>
      </w:r>
      <w:r>
        <w:rPr>
          <w:rFonts w:hint="eastAsia"/>
          <w:b/>
          <w:sz w:val="24"/>
        </w:rPr>
        <w:t>6</w:t>
      </w:r>
      <w:r>
        <w:rPr>
          <w:b/>
          <w:sz w:val="24"/>
        </w:rPr>
        <w:t xml:space="preserve">  </w:t>
      </w:r>
      <w:r>
        <w:rPr>
          <w:rFonts w:hint="eastAsia"/>
          <w:sz w:val="24"/>
        </w:rPr>
        <w:t>当有可靠经验时，宜采用三维结构分析方法，对支撑、围檩与冠梁、挡土构件进行整体分析。</w:t>
      </w:r>
    </w:p>
    <w:p>
      <w:pPr>
        <w:spacing w:line="360" w:lineRule="auto"/>
        <w:rPr>
          <w:sz w:val="24"/>
        </w:rPr>
      </w:pPr>
      <w:r>
        <w:rPr>
          <w:b/>
          <w:sz w:val="24"/>
        </w:rPr>
        <w:t>5.7.</w:t>
      </w:r>
      <w:r>
        <w:rPr>
          <w:rFonts w:hint="eastAsia"/>
          <w:b/>
          <w:sz w:val="24"/>
        </w:rPr>
        <w:t>7</w:t>
      </w:r>
      <w:r>
        <w:rPr>
          <w:b/>
          <w:sz w:val="24"/>
        </w:rPr>
        <w:t xml:space="preserve">  </w:t>
      </w:r>
      <w:r>
        <w:rPr>
          <w:sz w:val="24"/>
        </w:rPr>
        <w:t>换撑设计</w:t>
      </w:r>
    </w:p>
    <w:p>
      <w:pPr>
        <w:spacing w:line="360" w:lineRule="auto"/>
        <w:ind w:firstLine="480" w:firstLineChars="200"/>
        <w:jc w:val="left"/>
        <w:rPr>
          <w:sz w:val="24"/>
        </w:rPr>
      </w:pPr>
      <w:r>
        <w:rPr>
          <w:sz w:val="24"/>
        </w:rPr>
        <w:t xml:space="preserve">1  </w:t>
      </w:r>
      <w:r>
        <w:rPr>
          <w:rFonts w:hint="eastAsia"/>
          <w:sz w:val="24"/>
        </w:rPr>
        <w:t>挡土构件</w:t>
      </w:r>
      <w:r>
        <w:rPr>
          <w:sz w:val="24"/>
        </w:rPr>
        <w:t>与</w:t>
      </w:r>
      <w:r>
        <w:rPr>
          <w:rFonts w:hint="eastAsia"/>
          <w:sz w:val="24"/>
        </w:rPr>
        <w:t>主体</w:t>
      </w:r>
      <w:r>
        <w:rPr>
          <w:sz w:val="24"/>
        </w:rPr>
        <w:t>结构之间的换撑设计</w:t>
      </w:r>
    </w:p>
    <w:p>
      <w:pPr>
        <w:spacing w:line="360" w:lineRule="auto"/>
        <w:ind w:left="1095" w:leftChars="350" w:hanging="360" w:hangingChars="150"/>
        <w:jc w:val="left"/>
        <w:rPr>
          <w:kern w:val="0"/>
          <w:sz w:val="24"/>
        </w:rPr>
      </w:pPr>
      <w:r>
        <w:rPr>
          <w:kern w:val="0"/>
          <w:sz w:val="24"/>
        </w:rPr>
        <w:t>1）换撑</w:t>
      </w:r>
      <w:r>
        <w:rPr>
          <w:rFonts w:hint="eastAsia"/>
          <w:kern w:val="0"/>
          <w:sz w:val="24"/>
        </w:rPr>
        <w:t>构件</w:t>
      </w:r>
      <w:r>
        <w:rPr>
          <w:kern w:val="0"/>
          <w:sz w:val="24"/>
        </w:rPr>
        <w:t>标高</w:t>
      </w:r>
      <w:r>
        <w:rPr>
          <w:rFonts w:hint="eastAsia"/>
          <w:kern w:val="0"/>
          <w:sz w:val="24"/>
        </w:rPr>
        <w:t>宜</w:t>
      </w:r>
      <w:r>
        <w:rPr>
          <w:kern w:val="0"/>
          <w:sz w:val="24"/>
        </w:rPr>
        <w:t>对应地下各层结构平面标高；</w:t>
      </w:r>
    </w:p>
    <w:p>
      <w:pPr>
        <w:spacing w:line="360" w:lineRule="auto"/>
        <w:ind w:left="1095" w:leftChars="350" w:hanging="360" w:hangingChars="150"/>
        <w:jc w:val="left"/>
        <w:rPr>
          <w:kern w:val="0"/>
          <w:sz w:val="24"/>
        </w:rPr>
      </w:pPr>
      <w:r>
        <w:rPr>
          <w:kern w:val="0"/>
          <w:sz w:val="24"/>
        </w:rPr>
        <w:t>2）</w:t>
      </w:r>
      <w:r>
        <w:rPr>
          <w:rFonts w:hint="eastAsia"/>
          <w:kern w:val="0"/>
          <w:sz w:val="24"/>
        </w:rPr>
        <w:t>挡土构件</w:t>
      </w:r>
      <w:r>
        <w:rPr>
          <w:kern w:val="0"/>
          <w:sz w:val="24"/>
        </w:rPr>
        <w:t>与基础底板间换撑</w:t>
      </w:r>
      <w:r>
        <w:rPr>
          <w:rFonts w:hint="eastAsia"/>
          <w:kern w:val="0"/>
          <w:sz w:val="24"/>
        </w:rPr>
        <w:t>可</w:t>
      </w:r>
      <w:r>
        <w:rPr>
          <w:kern w:val="0"/>
          <w:sz w:val="24"/>
        </w:rPr>
        <w:t>采用素</w:t>
      </w:r>
      <w:r>
        <w:rPr>
          <w:rFonts w:hint="eastAsia"/>
          <w:kern w:val="0"/>
          <w:sz w:val="24"/>
        </w:rPr>
        <w:t>混凝土</w:t>
      </w:r>
      <w:r>
        <w:rPr>
          <w:kern w:val="0"/>
          <w:sz w:val="24"/>
        </w:rPr>
        <w:t>填充；</w:t>
      </w:r>
    </w:p>
    <w:p>
      <w:pPr>
        <w:spacing w:line="360" w:lineRule="auto"/>
        <w:ind w:left="1095" w:leftChars="350" w:hanging="360" w:hangingChars="150"/>
        <w:jc w:val="left"/>
        <w:rPr>
          <w:kern w:val="0"/>
          <w:sz w:val="24"/>
        </w:rPr>
      </w:pPr>
      <w:r>
        <w:rPr>
          <w:kern w:val="0"/>
          <w:sz w:val="24"/>
        </w:rPr>
        <w:t>3）</w:t>
      </w:r>
      <w:r>
        <w:rPr>
          <w:rFonts w:hint="eastAsia"/>
          <w:kern w:val="0"/>
          <w:sz w:val="24"/>
        </w:rPr>
        <w:t>换撑构件</w:t>
      </w:r>
      <w:r>
        <w:rPr>
          <w:kern w:val="0"/>
          <w:sz w:val="24"/>
        </w:rPr>
        <w:t>宜采用钢筋混凝土板带</w:t>
      </w:r>
      <w:r>
        <w:rPr>
          <w:rFonts w:hint="eastAsia"/>
          <w:kern w:val="0"/>
          <w:sz w:val="24"/>
        </w:rPr>
        <w:t>；</w:t>
      </w:r>
    </w:p>
    <w:p>
      <w:pPr>
        <w:spacing w:line="360" w:lineRule="auto"/>
        <w:ind w:firstLine="480" w:firstLineChars="200"/>
        <w:rPr>
          <w:sz w:val="24"/>
        </w:rPr>
      </w:pPr>
      <w:r>
        <w:rPr>
          <w:sz w:val="24"/>
        </w:rPr>
        <w:t>2  地下结构的换撑设计</w:t>
      </w:r>
    </w:p>
    <w:p>
      <w:pPr>
        <w:spacing w:line="360" w:lineRule="auto"/>
        <w:ind w:left="1095" w:leftChars="350" w:hanging="360" w:hangingChars="150"/>
        <w:jc w:val="left"/>
        <w:rPr>
          <w:kern w:val="0"/>
          <w:sz w:val="24"/>
        </w:rPr>
      </w:pPr>
      <w:r>
        <w:rPr>
          <w:kern w:val="0"/>
          <w:sz w:val="24"/>
        </w:rPr>
        <w:t>1）后浇带位置换撑</w:t>
      </w:r>
      <w:r>
        <w:rPr>
          <w:rFonts w:hint="eastAsia"/>
          <w:kern w:val="0"/>
          <w:sz w:val="24"/>
        </w:rPr>
        <w:t>应</w:t>
      </w:r>
      <w:r>
        <w:rPr>
          <w:kern w:val="0"/>
          <w:sz w:val="24"/>
        </w:rPr>
        <w:t>沿后浇带两侧</w:t>
      </w:r>
      <w:r>
        <w:rPr>
          <w:rFonts w:hint="eastAsia"/>
          <w:kern w:val="0"/>
          <w:sz w:val="24"/>
        </w:rPr>
        <w:t>设置传力构件；</w:t>
      </w:r>
    </w:p>
    <w:p>
      <w:pPr>
        <w:spacing w:line="360" w:lineRule="auto"/>
        <w:ind w:left="1095" w:leftChars="350" w:hanging="360" w:hangingChars="150"/>
        <w:jc w:val="left"/>
        <w:rPr>
          <w:kern w:val="0"/>
          <w:sz w:val="24"/>
        </w:rPr>
      </w:pPr>
      <w:r>
        <w:rPr>
          <w:kern w:val="0"/>
          <w:sz w:val="24"/>
        </w:rPr>
        <w:t>2）楼梯、车道以及设备吊装口位置</w:t>
      </w:r>
      <w:r>
        <w:rPr>
          <w:rFonts w:hint="eastAsia"/>
          <w:kern w:val="0"/>
          <w:sz w:val="24"/>
        </w:rPr>
        <w:t>等楼板开洞面积</w:t>
      </w:r>
      <w:r>
        <w:rPr>
          <w:kern w:val="0"/>
          <w:sz w:val="24"/>
        </w:rPr>
        <w:t>较大时，应设置临时支撑。</w:t>
      </w:r>
    </w:p>
    <w:p>
      <w:pPr>
        <w:spacing w:line="360" w:lineRule="auto"/>
        <w:rPr>
          <w:sz w:val="24"/>
        </w:rPr>
      </w:pPr>
      <w:r>
        <w:rPr>
          <w:b/>
          <w:sz w:val="24"/>
        </w:rPr>
        <w:t>5.7.</w:t>
      </w:r>
      <w:r>
        <w:rPr>
          <w:rFonts w:hint="eastAsia"/>
          <w:b/>
          <w:sz w:val="24"/>
        </w:rPr>
        <w:t>8</w:t>
      </w:r>
      <w:r>
        <w:rPr>
          <w:b/>
          <w:sz w:val="24"/>
        </w:rPr>
        <w:t xml:space="preserve">  </w:t>
      </w:r>
      <w:r>
        <w:rPr>
          <w:sz w:val="24"/>
        </w:rPr>
        <w:t>内支撑构造</w:t>
      </w:r>
      <w:r>
        <w:rPr>
          <w:rFonts w:hint="eastAsia"/>
          <w:sz w:val="24"/>
        </w:rPr>
        <w:t>要求</w:t>
      </w:r>
      <w:r>
        <w:rPr>
          <w:sz w:val="24"/>
        </w:rPr>
        <w:t>：</w:t>
      </w:r>
    </w:p>
    <w:p>
      <w:pPr>
        <w:spacing w:line="360" w:lineRule="auto"/>
        <w:ind w:firstLine="480" w:firstLineChars="200"/>
        <w:rPr>
          <w:sz w:val="24"/>
        </w:rPr>
      </w:pPr>
      <w:r>
        <w:rPr>
          <w:sz w:val="24"/>
        </w:rPr>
        <w:t>1  钢结构支撑构件长度的拼接宜采用高强螺栓连接或焊接，拼接点宜满足等强度连接要求</w:t>
      </w:r>
      <w:r>
        <w:rPr>
          <w:rFonts w:hint="eastAsia"/>
          <w:sz w:val="24"/>
        </w:rPr>
        <w:t>；</w:t>
      </w:r>
    </w:p>
    <w:p>
      <w:pPr>
        <w:spacing w:line="360" w:lineRule="auto"/>
        <w:ind w:firstLine="480" w:firstLineChars="200"/>
        <w:rPr>
          <w:sz w:val="24"/>
        </w:rPr>
      </w:pPr>
      <w:r>
        <w:rPr>
          <w:rFonts w:hint="eastAsia"/>
          <w:sz w:val="24"/>
        </w:rPr>
        <w:t>2</w:t>
      </w:r>
      <w:r>
        <w:rPr>
          <w:sz w:val="24"/>
        </w:rPr>
        <w:t xml:space="preserve">  钢筋混凝土支撑</w:t>
      </w:r>
      <w:r>
        <w:rPr>
          <w:rFonts w:hint="eastAsia"/>
          <w:sz w:val="24"/>
        </w:rPr>
        <w:t>构件</w:t>
      </w:r>
      <w:r>
        <w:rPr>
          <w:sz w:val="24"/>
        </w:rPr>
        <w:t>的混凝土强度等级应不低于C25；钢筋混凝土支撑体系宜在同一平面内整体浇注，基坑平面转角处的冠梁或围</w:t>
      </w:r>
      <w:r>
        <w:rPr>
          <w:rFonts w:hint="eastAsia"/>
          <w:sz w:val="24"/>
        </w:rPr>
        <w:t>檩</w:t>
      </w:r>
      <w:r>
        <w:rPr>
          <w:sz w:val="24"/>
        </w:rPr>
        <w:t>应按刚节点处理</w:t>
      </w:r>
      <w:r>
        <w:rPr>
          <w:rFonts w:hint="eastAsia"/>
          <w:sz w:val="24"/>
        </w:rPr>
        <w:t>；</w:t>
      </w:r>
    </w:p>
    <w:p>
      <w:pPr>
        <w:spacing w:line="360" w:lineRule="auto"/>
        <w:ind w:firstLine="480" w:firstLineChars="200"/>
        <w:rPr>
          <w:sz w:val="24"/>
        </w:rPr>
      </w:pPr>
      <w:r>
        <w:rPr>
          <w:rFonts w:hint="eastAsia"/>
          <w:sz w:val="24"/>
        </w:rPr>
        <w:t>3</w:t>
      </w:r>
      <w:r>
        <w:rPr>
          <w:sz w:val="24"/>
        </w:rPr>
        <w:t xml:space="preserve">  钢筋混凝土围</w:t>
      </w:r>
      <w:r>
        <w:rPr>
          <w:rFonts w:hint="eastAsia"/>
          <w:sz w:val="24"/>
        </w:rPr>
        <w:t>檩</w:t>
      </w:r>
      <w:r>
        <w:rPr>
          <w:sz w:val="24"/>
        </w:rPr>
        <w:t>与</w:t>
      </w:r>
      <w:r>
        <w:rPr>
          <w:rFonts w:hint="eastAsia"/>
          <w:sz w:val="24"/>
        </w:rPr>
        <w:t>挡土构件</w:t>
      </w:r>
      <w:r>
        <w:rPr>
          <w:sz w:val="24"/>
        </w:rPr>
        <w:t>之间不</w:t>
      </w:r>
      <w:r>
        <w:rPr>
          <w:rFonts w:hint="eastAsia"/>
          <w:sz w:val="24"/>
        </w:rPr>
        <w:t>应</w:t>
      </w:r>
      <w:r>
        <w:rPr>
          <w:sz w:val="24"/>
        </w:rPr>
        <w:t>留</w:t>
      </w:r>
      <w:r>
        <w:rPr>
          <w:rFonts w:hint="eastAsia"/>
          <w:sz w:val="24"/>
        </w:rPr>
        <w:t>空</w:t>
      </w:r>
      <w:r>
        <w:rPr>
          <w:sz w:val="24"/>
        </w:rPr>
        <w:t>隙；</w:t>
      </w:r>
    </w:p>
    <w:p>
      <w:pPr>
        <w:spacing w:line="360" w:lineRule="auto"/>
        <w:ind w:firstLine="480" w:firstLineChars="200"/>
        <w:rPr>
          <w:sz w:val="24"/>
        </w:rPr>
      </w:pPr>
      <w:r>
        <w:rPr>
          <w:rFonts w:hint="eastAsia"/>
          <w:sz w:val="24"/>
        </w:rPr>
        <w:t>4</w:t>
      </w:r>
      <w:r>
        <w:rPr>
          <w:sz w:val="24"/>
        </w:rPr>
        <w:t xml:space="preserve">  钢筋混凝土支撑、围</w:t>
      </w:r>
      <w:r>
        <w:rPr>
          <w:rFonts w:hint="eastAsia"/>
          <w:sz w:val="24"/>
        </w:rPr>
        <w:t>檩</w:t>
      </w:r>
      <w:r>
        <w:rPr>
          <w:sz w:val="24"/>
        </w:rPr>
        <w:t>和冠梁的纵向钢筋直径不宜小于16mm，箍筋直径不宜小于8mm，间距不宜大于250mm，支撑纵向钢筋在围</w:t>
      </w:r>
      <w:r>
        <w:rPr>
          <w:rFonts w:hint="eastAsia"/>
          <w:sz w:val="24"/>
        </w:rPr>
        <w:t>檩</w:t>
      </w:r>
      <w:r>
        <w:rPr>
          <w:sz w:val="24"/>
        </w:rPr>
        <w:t>或冠梁内的锚固长度不宜小于30倍钢筋直径</w:t>
      </w:r>
      <w:r>
        <w:rPr>
          <w:rFonts w:hint="eastAsia"/>
          <w:sz w:val="24"/>
        </w:rPr>
        <w:t>；</w:t>
      </w:r>
    </w:p>
    <w:p>
      <w:pPr>
        <w:spacing w:line="360" w:lineRule="auto"/>
        <w:ind w:firstLine="480" w:firstLineChars="200"/>
        <w:rPr>
          <w:sz w:val="24"/>
        </w:rPr>
      </w:pPr>
      <w:r>
        <w:rPr>
          <w:rFonts w:hint="eastAsia"/>
          <w:sz w:val="24"/>
        </w:rPr>
        <w:t>5</w:t>
      </w:r>
      <w:r>
        <w:rPr>
          <w:sz w:val="24"/>
        </w:rPr>
        <w:t xml:space="preserve">  立柱与支撑之间应设置</w:t>
      </w:r>
      <w:r>
        <w:rPr>
          <w:rFonts w:hint="eastAsia"/>
          <w:sz w:val="24"/>
        </w:rPr>
        <w:t>托</w:t>
      </w:r>
      <w:r>
        <w:rPr>
          <w:sz w:val="24"/>
        </w:rPr>
        <w:t>架进行连接，</w:t>
      </w:r>
      <w:r>
        <w:rPr>
          <w:rFonts w:hint="eastAsia"/>
          <w:sz w:val="24"/>
        </w:rPr>
        <w:t>托</w:t>
      </w:r>
      <w:r>
        <w:rPr>
          <w:sz w:val="24"/>
        </w:rPr>
        <w:t>架应能有效约束水平支撑侧向和竖向位移</w:t>
      </w:r>
      <w:r>
        <w:rPr>
          <w:rFonts w:hint="eastAsia"/>
          <w:sz w:val="24"/>
        </w:rPr>
        <w:t>；</w:t>
      </w:r>
    </w:p>
    <w:p>
      <w:pPr>
        <w:spacing w:line="360" w:lineRule="auto"/>
        <w:ind w:firstLine="480" w:firstLineChars="200"/>
        <w:jc w:val="left"/>
        <w:rPr>
          <w:sz w:val="24"/>
        </w:rPr>
      </w:pPr>
      <w:r>
        <w:rPr>
          <w:rFonts w:hint="eastAsia"/>
          <w:sz w:val="24"/>
        </w:rPr>
        <w:t>6</w:t>
      </w:r>
      <w:r>
        <w:rPr>
          <w:sz w:val="24"/>
        </w:rPr>
        <w:t xml:space="preserve">  立柱穿过主体工程底板以及支撑穿越主体工程地下室侧墙的部位，应有有效的止水措施</w:t>
      </w:r>
      <w:r>
        <w:rPr>
          <w:rFonts w:hint="eastAsia"/>
          <w:kern w:val="0"/>
          <w:sz w:val="24"/>
        </w:rPr>
        <w:t>；</w:t>
      </w:r>
    </w:p>
    <w:p>
      <w:pPr>
        <w:spacing w:line="360" w:lineRule="auto"/>
        <w:ind w:firstLine="480" w:firstLineChars="200"/>
        <w:rPr>
          <w:sz w:val="24"/>
        </w:rPr>
      </w:pPr>
      <w:r>
        <w:rPr>
          <w:rFonts w:hint="eastAsia"/>
          <w:sz w:val="24"/>
        </w:rPr>
        <w:t>7</w:t>
      </w:r>
      <w:r>
        <w:rPr>
          <w:sz w:val="24"/>
        </w:rPr>
        <w:t xml:space="preserve">  当纵向、横向围檩不在同一平面上相交时，其节点构造应满足两个方向</w:t>
      </w:r>
      <w:r>
        <w:rPr>
          <w:rFonts w:hint="eastAsia"/>
          <w:sz w:val="24"/>
        </w:rPr>
        <w:t>围檩</w:t>
      </w:r>
      <w:r>
        <w:rPr>
          <w:sz w:val="24"/>
        </w:rPr>
        <w:t>端部相互</w:t>
      </w:r>
      <w:r>
        <w:rPr>
          <w:rFonts w:hint="eastAsia"/>
          <w:sz w:val="24"/>
        </w:rPr>
        <w:t>连接</w:t>
      </w:r>
      <w:r>
        <w:rPr>
          <w:sz w:val="24"/>
        </w:rPr>
        <w:t>的要求</w:t>
      </w:r>
      <w:r>
        <w:rPr>
          <w:rFonts w:hint="eastAsia"/>
          <w:sz w:val="24"/>
        </w:rPr>
        <w:t>；</w:t>
      </w:r>
    </w:p>
    <w:p>
      <w:pPr>
        <w:spacing w:line="360" w:lineRule="auto"/>
        <w:ind w:firstLine="480" w:firstLineChars="200"/>
        <w:rPr>
          <w:sz w:val="24"/>
        </w:rPr>
      </w:pPr>
      <w:r>
        <w:rPr>
          <w:rFonts w:hint="eastAsia"/>
          <w:sz w:val="24"/>
        </w:rPr>
        <w:t>8</w:t>
      </w:r>
      <w:r>
        <w:rPr>
          <w:sz w:val="24"/>
        </w:rPr>
        <w:t xml:space="preserve">  基坑阳角</w:t>
      </w:r>
      <w:r>
        <w:rPr>
          <w:rFonts w:hint="eastAsia"/>
          <w:sz w:val="24"/>
        </w:rPr>
        <w:t>位置</w:t>
      </w:r>
      <w:r>
        <w:rPr>
          <w:sz w:val="24"/>
        </w:rPr>
        <w:t>应设置可靠的双向约束</w:t>
      </w:r>
      <w:r>
        <w:rPr>
          <w:rFonts w:hint="eastAsia"/>
          <w:sz w:val="24"/>
        </w:rPr>
        <w:t>；</w:t>
      </w:r>
    </w:p>
    <w:p>
      <w:pPr>
        <w:spacing w:line="360" w:lineRule="auto"/>
        <w:ind w:firstLine="480" w:firstLineChars="200"/>
        <w:rPr>
          <w:sz w:val="24"/>
        </w:rPr>
      </w:pPr>
      <w:r>
        <w:rPr>
          <w:rFonts w:hint="eastAsia"/>
          <w:sz w:val="24"/>
        </w:rPr>
        <w:t>9</w:t>
      </w:r>
      <w:r>
        <w:rPr>
          <w:sz w:val="24"/>
        </w:rPr>
        <w:t xml:space="preserve">  当支撑标高在冠梁高度范围内时，可用冠梁代替围檩。冠梁除符合结构设计要求外，还应符合上述有关围檩的构造要求</w:t>
      </w:r>
      <w:r>
        <w:rPr>
          <w:rFonts w:hint="eastAsia"/>
          <w:sz w:val="24"/>
        </w:rPr>
        <w:t>；</w:t>
      </w:r>
    </w:p>
    <w:p>
      <w:pPr>
        <w:spacing w:line="360" w:lineRule="auto"/>
        <w:ind w:firstLine="480" w:firstLineChars="200"/>
        <w:rPr>
          <w:sz w:val="24"/>
        </w:rPr>
      </w:pPr>
      <w:r>
        <w:rPr>
          <w:rFonts w:hint="eastAsia"/>
          <w:sz w:val="24"/>
        </w:rPr>
        <w:t>10</w:t>
      </w:r>
      <w:r>
        <w:rPr>
          <w:sz w:val="24"/>
        </w:rPr>
        <w:t xml:space="preserve">  纵横向支撑应尽可能设置在同一标高上，可采用特制的</w:t>
      </w:r>
      <w:r>
        <w:rPr>
          <w:rFonts w:hint="eastAsia"/>
          <w:sz w:val="24"/>
        </w:rPr>
        <w:t>“</w:t>
      </w:r>
      <w:r>
        <w:rPr>
          <w:sz w:val="24"/>
        </w:rPr>
        <w:t>十</w:t>
      </w:r>
      <w:r>
        <w:rPr>
          <w:rFonts w:hint="eastAsia"/>
          <w:sz w:val="24"/>
        </w:rPr>
        <w:t>”</w:t>
      </w:r>
      <w:r>
        <w:rPr>
          <w:sz w:val="24"/>
        </w:rPr>
        <w:t>字及</w:t>
      </w:r>
      <w:r>
        <w:rPr>
          <w:rFonts w:hint="eastAsia"/>
          <w:sz w:val="24"/>
        </w:rPr>
        <w:t>“</w:t>
      </w:r>
      <w:r>
        <w:rPr>
          <w:sz w:val="24"/>
        </w:rPr>
        <w:t>井</w:t>
      </w:r>
      <w:r>
        <w:rPr>
          <w:rFonts w:hint="eastAsia"/>
          <w:sz w:val="24"/>
        </w:rPr>
        <w:t>”</w:t>
      </w:r>
      <w:r>
        <w:rPr>
          <w:sz w:val="24"/>
        </w:rPr>
        <w:t>字接头</w:t>
      </w:r>
      <w:r>
        <w:rPr>
          <w:rFonts w:hint="eastAsia"/>
          <w:sz w:val="24"/>
        </w:rPr>
        <w:t>；</w:t>
      </w:r>
    </w:p>
    <w:p>
      <w:pPr>
        <w:spacing w:line="360" w:lineRule="auto"/>
        <w:ind w:firstLine="480" w:firstLineChars="200"/>
        <w:rPr>
          <w:sz w:val="24"/>
        </w:rPr>
      </w:pPr>
      <w:r>
        <w:rPr>
          <w:rFonts w:hint="eastAsia"/>
          <w:sz w:val="24"/>
        </w:rPr>
        <w:t>11</w:t>
      </w:r>
      <w:r>
        <w:rPr>
          <w:sz w:val="24"/>
        </w:rPr>
        <w:t xml:space="preserve">  当围</w:t>
      </w:r>
      <w:r>
        <w:rPr>
          <w:rFonts w:hint="eastAsia"/>
          <w:sz w:val="24"/>
        </w:rPr>
        <w:t>檩</w:t>
      </w:r>
      <w:r>
        <w:rPr>
          <w:sz w:val="24"/>
        </w:rPr>
        <w:t>与</w:t>
      </w:r>
      <w:r>
        <w:rPr>
          <w:rFonts w:hint="eastAsia"/>
          <w:sz w:val="24"/>
        </w:rPr>
        <w:t>挡土构件</w:t>
      </w:r>
      <w:r>
        <w:rPr>
          <w:sz w:val="24"/>
        </w:rPr>
        <w:t>之间需要传递水平剪力时，应在</w:t>
      </w:r>
      <w:r>
        <w:rPr>
          <w:rFonts w:hint="eastAsia"/>
          <w:sz w:val="24"/>
        </w:rPr>
        <w:t>挡土构件</w:t>
      </w:r>
      <w:r>
        <w:rPr>
          <w:sz w:val="24"/>
        </w:rPr>
        <w:t>上预留剪力筋或剪力槽</w:t>
      </w:r>
      <w:r>
        <w:rPr>
          <w:rFonts w:hint="eastAsia"/>
          <w:sz w:val="24"/>
        </w:rPr>
        <w:t>；</w:t>
      </w:r>
    </w:p>
    <w:p>
      <w:pPr>
        <w:spacing w:line="360" w:lineRule="auto"/>
        <w:ind w:firstLine="480" w:firstLineChars="200"/>
        <w:rPr>
          <w:sz w:val="24"/>
        </w:rPr>
      </w:pPr>
      <w:r>
        <w:rPr>
          <w:rFonts w:hint="eastAsia"/>
          <w:sz w:val="24"/>
        </w:rPr>
        <w:t>12</w:t>
      </w:r>
      <w:r>
        <w:rPr>
          <w:sz w:val="24"/>
        </w:rPr>
        <w:t xml:space="preserve">  钢支撑与钢</w:t>
      </w:r>
      <w:r>
        <w:rPr>
          <w:rFonts w:hint="eastAsia"/>
          <w:sz w:val="24"/>
        </w:rPr>
        <w:t>围檩</w:t>
      </w:r>
      <w:r>
        <w:rPr>
          <w:sz w:val="24"/>
        </w:rPr>
        <w:t>的连接节点处</w:t>
      </w:r>
      <w:r>
        <w:rPr>
          <w:rFonts w:hint="eastAsia"/>
          <w:sz w:val="24"/>
        </w:rPr>
        <w:t>，</w:t>
      </w:r>
      <w:r>
        <w:rPr>
          <w:sz w:val="24"/>
        </w:rPr>
        <w:t>围</w:t>
      </w:r>
      <w:r>
        <w:rPr>
          <w:rFonts w:hint="eastAsia"/>
          <w:sz w:val="24"/>
        </w:rPr>
        <w:t>檩</w:t>
      </w:r>
      <w:r>
        <w:rPr>
          <w:sz w:val="24"/>
        </w:rPr>
        <w:t>应加焊加劲板，满足局部稳定要求</w:t>
      </w:r>
      <w:r>
        <w:rPr>
          <w:rFonts w:hint="eastAsia"/>
          <w:sz w:val="24"/>
        </w:rPr>
        <w:t>；</w:t>
      </w:r>
    </w:p>
    <w:p>
      <w:pPr>
        <w:spacing w:line="360" w:lineRule="auto"/>
        <w:ind w:firstLine="480" w:firstLineChars="200"/>
        <w:rPr>
          <w:sz w:val="24"/>
        </w:rPr>
      </w:pPr>
      <w:r>
        <w:rPr>
          <w:sz w:val="24"/>
        </w:rPr>
        <w:t>1</w:t>
      </w:r>
      <w:r>
        <w:rPr>
          <w:rFonts w:hint="eastAsia"/>
          <w:sz w:val="24"/>
        </w:rPr>
        <w:t>3</w:t>
      </w:r>
      <w:r>
        <w:rPr>
          <w:sz w:val="24"/>
        </w:rPr>
        <w:t xml:space="preserve">  各类支撑</w:t>
      </w:r>
      <w:r>
        <w:rPr>
          <w:rFonts w:hint="eastAsia"/>
          <w:sz w:val="24"/>
        </w:rPr>
        <w:t>体系</w:t>
      </w:r>
      <w:r>
        <w:rPr>
          <w:sz w:val="24"/>
        </w:rPr>
        <w:t>的构造除满足本规程外，尚应符合国家《钢结构设计规范》</w:t>
      </w:r>
      <w:r>
        <w:rPr>
          <w:rFonts w:hint="eastAsia"/>
          <w:sz w:val="24"/>
        </w:rPr>
        <w:t>GB 50017</w:t>
      </w:r>
      <w:r>
        <w:rPr>
          <w:sz w:val="24"/>
        </w:rPr>
        <w:t>或《混凝土结构设计规范》</w:t>
      </w:r>
      <w:r>
        <w:rPr>
          <w:rFonts w:hint="eastAsia"/>
          <w:sz w:val="24"/>
        </w:rPr>
        <w:t>GB 50010</w:t>
      </w:r>
      <w:r>
        <w:rPr>
          <w:sz w:val="24"/>
        </w:rPr>
        <w:t>的有关规定</w:t>
      </w:r>
      <w:r>
        <w:rPr>
          <w:rFonts w:hint="eastAsia"/>
          <w:sz w:val="24"/>
        </w:rPr>
        <w:t>；</w:t>
      </w:r>
    </w:p>
    <w:p>
      <w:pPr>
        <w:spacing w:line="360" w:lineRule="auto"/>
        <w:ind w:firstLine="480" w:firstLineChars="200"/>
        <w:rPr>
          <w:sz w:val="24"/>
        </w:rPr>
      </w:pPr>
      <w:r>
        <w:rPr>
          <w:sz w:val="24"/>
        </w:rPr>
        <w:t>1</w:t>
      </w:r>
      <w:r>
        <w:rPr>
          <w:rFonts w:hint="eastAsia"/>
          <w:sz w:val="24"/>
        </w:rPr>
        <w:t>4</w:t>
      </w:r>
      <w:r>
        <w:rPr>
          <w:sz w:val="24"/>
        </w:rPr>
        <w:t xml:space="preserve">  安装钢围檩前，应在</w:t>
      </w:r>
      <w:r>
        <w:rPr>
          <w:rFonts w:hint="eastAsia"/>
          <w:sz w:val="24"/>
        </w:rPr>
        <w:t>挡土构件</w:t>
      </w:r>
      <w:r>
        <w:rPr>
          <w:sz w:val="24"/>
        </w:rPr>
        <w:t>上设置牛腿</w:t>
      </w:r>
      <w:r>
        <w:rPr>
          <w:rFonts w:hint="eastAsia"/>
          <w:sz w:val="24"/>
        </w:rPr>
        <w:t>；</w:t>
      </w:r>
    </w:p>
    <w:p>
      <w:pPr>
        <w:spacing w:line="360" w:lineRule="auto"/>
        <w:ind w:firstLine="480" w:firstLineChars="200"/>
        <w:rPr>
          <w:sz w:val="24"/>
        </w:rPr>
      </w:pPr>
      <w:r>
        <w:rPr>
          <w:rFonts w:hint="eastAsia"/>
          <w:sz w:val="24"/>
        </w:rPr>
        <w:t>15</w:t>
      </w:r>
      <w:r>
        <w:rPr>
          <w:sz w:val="24"/>
        </w:rPr>
        <w:t xml:space="preserve">  钢围檩与混凝土</w:t>
      </w:r>
      <w:r>
        <w:rPr>
          <w:rFonts w:hint="eastAsia"/>
          <w:sz w:val="24"/>
        </w:rPr>
        <w:t>挡土构件</w:t>
      </w:r>
      <w:r>
        <w:rPr>
          <w:sz w:val="24"/>
        </w:rPr>
        <w:t>之间应预留宽度100mm的水平通长空隙，围檩安装定位后，用强度等级不低于C25的细石混凝</w:t>
      </w:r>
      <w:r>
        <w:rPr>
          <w:rFonts w:hint="eastAsia"/>
          <w:sz w:val="24"/>
        </w:rPr>
        <w:t>土</w:t>
      </w:r>
      <w:r>
        <w:rPr>
          <w:sz w:val="24"/>
        </w:rPr>
        <w:t>充填</w:t>
      </w:r>
      <w:r>
        <w:rPr>
          <w:rFonts w:hint="eastAsia"/>
          <w:sz w:val="24"/>
        </w:rPr>
        <w:t>；</w:t>
      </w:r>
    </w:p>
    <w:p>
      <w:pPr>
        <w:spacing w:line="360" w:lineRule="auto"/>
        <w:ind w:firstLine="480" w:firstLineChars="200"/>
        <w:rPr>
          <w:sz w:val="24"/>
        </w:rPr>
      </w:pPr>
      <w:r>
        <w:rPr>
          <w:rFonts w:hint="eastAsia"/>
          <w:sz w:val="24"/>
        </w:rPr>
        <w:t>16</w:t>
      </w:r>
      <w:r>
        <w:rPr>
          <w:sz w:val="24"/>
        </w:rPr>
        <w:t xml:space="preserve">  竖向斜撑与钢围檩相交处宜在围檩上部加设倒置的牛腿</w:t>
      </w:r>
      <w:r>
        <w:rPr>
          <w:rFonts w:hint="eastAsia"/>
          <w:sz w:val="24"/>
        </w:rPr>
        <w:t>；</w:t>
      </w:r>
    </w:p>
    <w:p>
      <w:pPr>
        <w:spacing w:line="360" w:lineRule="auto"/>
        <w:ind w:firstLine="480" w:firstLineChars="200"/>
        <w:rPr>
          <w:sz w:val="24"/>
        </w:rPr>
      </w:pPr>
      <w:r>
        <w:rPr>
          <w:rFonts w:hint="eastAsia"/>
          <w:sz w:val="24"/>
        </w:rPr>
        <w:t>17</w:t>
      </w:r>
      <w:r>
        <w:rPr>
          <w:sz w:val="24"/>
        </w:rPr>
        <w:t xml:space="preserve">  钢支撑和钢围檩连接时，支撑端头设置厚度不小于10mm的钢板作封头端板，端板与支撑和围檩侧面全部满焊，必要时可增设加劲肋板；</w:t>
      </w:r>
    </w:p>
    <w:p>
      <w:pPr>
        <w:spacing w:line="360" w:lineRule="auto"/>
        <w:ind w:firstLine="480" w:firstLineChars="200"/>
        <w:rPr>
          <w:sz w:val="24"/>
        </w:rPr>
      </w:pPr>
      <w:r>
        <w:rPr>
          <w:rFonts w:hint="eastAsia"/>
          <w:sz w:val="24"/>
        </w:rPr>
        <w:t>18</w:t>
      </w:r>
      <w:r>
        <w:rPr>
          <w:sz w:val="24"/>
        </w:rPr>
        <w:t xml:space="preserve">  钢围檩的接头宜设置在截面弯矩较小的部位</w:t>
      </w:r>
      <w:r>
        <w:rPr>
          <w:rFonts w:hint="eastAsia"/>
          <w:sz w:val="24"/>
        </w:rPr>
        <w:t>；</w:t>
      </w:r>
    </w:p>
    <w:p>
      <w:pPr>
        <w:spacing w:line="360" w:lineRule="auto"/>
        <w:ind w:firstLine="480" w:firstLineChars="200"/>
        <w:rPr>
          <w:sz w:val="24"/>
        </w:rPr>
      </w:pPr>
      <w:r>
        <w:rPr>
          <w:rFonts w:hint="eastAsia"/>
          <w:sz w:val="24"/>
        </w:rPr>
        <w:t>19</w:t>
      </w:r>
      <w:r>
        <w:rPr>
          <w:sz w:val="24"/>
        </w:rPr>
        <w:t xml:space="preserve">  钢支撑端部</w:t>
      </w:r>
      <w:r>
        <w:rPr>
          <w:rFonts w:hint="eastAsia"/>
          <w:sz w:val="24"/>
        </w:rPr>
        <w:t>宜</w:t>
      </w:r>
      <w:r>
        <w:rPr>
          <w:sz w:val="24"/>
        </w:rPr>
        <w:t>设置预应力活络头，</w:t>
      </w:r>
      <w:r>
        <w:rPr>
          <w:rFonts w:hint="eastAsia"/>
          <w:sz w:val="24"/>
        </w:rPr>
        <w:t>并</w:t>
      </w:r>
      <w:r>
        <w:rPr>
          <w:sz w:val="24"/>
        </w:rPr>
        <w:t>配</w:t>
      </w:r>
      <w:r>
        <w:rPr>
          <w:rFonts w:hint="eastAsia"/>
          <w:sz w:val="24"/>
        </w:rPr>
        <w:t>置</w:t>
      </w:r>
      <w:r>
        <w:rPr>
          <w:sz w:val="24"/>
        </w:rPr>
        <w:t>琵琶撑</w:t>
      </w:r>
      <w:r>
        <w:rPr>
          <w:rFonts w:hint="eastAsia"/>
          <w:sz w:val="24"/>
        </w:rPr>
        <w:t>。</w:t>
      </w:r>
    </w:p>
    <w:p>
      <w:pPr>
        <w:spacing w:line="360" w:lineRule="auto"/>
        <w:rPr>
          <w:sz w:val="24"/>
        </w:rPr>
      </w:pPr>
      <w:r>
        <w:rPr>
          <w:b/>
          <w:sz w:val="24"/>
        </w:rPr>
        <w:t>5.7.</w:t>
      </w:r>
      <w:r>
        <w:rPr>
          <w:rFonts w:hint="eastAsia"/>
          <w:b/>
          <w:sz w:val="24"/>
        </w:rPr>
        <w:t>9</w:t>
      </w:r>
      <w:r>
        <w:rPr>
          <w:sz w:val="24"/>
        </w:rPr>
        <w:t xml:space="preserve">  内支撑施工控制要点</w:t>
      </w:r>
      <w:r>
        <w:rPr>
          <w:rFonts w:hint="eastAsia"/>
          <w:sz w:val="24"/>
        </w:rPr>
        <w:t>：</w:t>
      </w:r>
    </w:p>
    <w:p>
      <w:pPr>
        <w:spacing w:line="360" w:lineRule="auto"/>
        <w:ind w:firstLine="480" w:firstLineChars="200"/>
        <w:rPr>
          <w:sz w:val="24"/>
        </w:rPr>
      </w:pPr>
      <w:r>
        <w:rPr>
          <w:rFonts w:hint="eastAsia"/>
          <w:sz w:val="24"/>
        </w:rPr>
        <w:t>1</w:t>
      </w:r>
      <w:r>
        <w:rPr>
          <w:sz w:val="24"/>
        </w:rPr>
        <w:t xml:space="preserve">  支撑结构的</w:t>
      </w:r>
      <w:r>
        <w:rPr>
          <w:rFonts w:hint="eastAsia"/>
          <w:sz w:val="24"/>
        </w:rPr>
        <w:t>安装</w:t>
      </w:r>
      <w:r>
        <w:rPr>
          <w:sz w:val="24"/>
        </w:rPr>
        <w:t>与拆除，应同基坑支护结构的设计计算工况相一致</w:t>
      </w:r>
      <w:r>
        <w:rPr>
          <w:rFonts w:hint="eastAsia"/>
          <w:sz w:val="24"/>
        </w:rPr>
        <w:t>；</w:t>
      </w:r>
    </w:p>
    <w:p>
      <w:pPr>
        <w:spacing w:line="360" w:lineRule="auto"/>
        <w:ind w:firstLine="480" w:firstLineChars="200"/>
        <w:rPr>
          <w:sz w:val="24"/>
        </w:rPr>
      </w:pPr>
      <w:r>
        <w:rPr>
          <w:rFonts w:hint="eastAsia"/>
          <w:sz w:val="24"/>
        </w:rPr>
        <w:t>2</w:t>
      </w:r>
      <w:r>
        <w:rPr>
          <w:sz w:val="24"/>
        </w:rPr>
        <w:t xml:space="preserve">  水平支撑</w:t>
      </w:r>
      <w:r>
        <w:rPr>
          <w:rFonts w:hint="eastAsia"/>
          <w:sz w:val="24"/>
        </w:rPr>
        <w:t>上及</w:t>
      </w:r>
      <w:r>
        <w:rPr>
          <w:sz w:val="24"/>
        </w:rPr>
        <w:t>基坑周边</w:t>
      </w:r>
      <w:r>
        <w:rPr>
          <w:rFonts w:hint="eastAsia"/>
          <w:sz w:val="24"/>
        </w:rPr>
        <w:t>附加</w:t>
      </w:r>
      <w:r>
        <w:rPr>
          <w:sz w:val="24"/>
        </w:rPr>
        <w:t>荷载应符合设计要求；</w:t>
      </w:r>
    </w:p>
    <w:p>
      <w:pPr>
        <w:spacing w:line="360" w:lineRule="auto"/>
        <w:ind w:firstLine="480" w:firstLineChars="200"/>
        <w:rPr>
          <w:kern w:val="0"/>
          <w:sz w:val="24"/>
        </w:rPr>
      </w:pPr>
      <w:r>
        <w:rPr>
          <w:rFonts w:hint="eastAsia"/>
          <w:kern w:val="0"/>
          <w:sz w:val="24"/>
        </w:rPr>
        <w:t>3  支护结构的</w:t>
      </w:r>
      <w:r>
        <w:rPr>
          <w:kern w:val="0"/>
          <w:sz w:val="24"/>
        </w:rPr>
        <w:t>混凝土强度不小于设计强度的70%，方可进行下层土方开挖；</w:t>
      </w:r>
    </w:p>
    <w:p>
      <w:pPr>
        <w:spacing w:line="360" w:lineRule="auto"/>
        <w:ind w:firstLine="480" w:firstLineChars="200"/>
        <w:rPr>
          <w:sz w:val="24"/>
        </w:rPr>
      </w:pPr>
      <w:r>
        <w:rPr>
          <w:rFonts w:hint="eastAsia"/>
          <w:sz w:val="24"/>
        </w:rPr>
        <w:t>4</w:t>
      </w:r>
      <w:r>
        <w:rPr>
          <w:sz w:val="24"/>
        </w:rPr>
        <w:t xml:space="preserve">  换撑、拆撑</w:t>
      </w:r>
      <w:r>
        <w:rPr>
          <w:rFonts w:hint="eastAsia"/>
          <w:sz w:val="24"/>
        </w:rPr>
        <w:t>：</w:t>
      </w:r>
    </w:p>
    <w:p>
      <w:pPr>
        <w:spacing w:line="360" w:lineRule="auto"/>
        <w:ind w:left="1095" w:leftChars="350" w:hanging="360" w:hangingChars="150"/>
        <w:jc w:val="left"/>
        <w:rPr>
          <w:kern w:val="0"/>
          <w:sz w:val="24"/>
        </w:rPr>
      </w:pPr>
      <w:r>
        <w:rPr>
          <w:kern w:val="0"/>
          <w:sz w:val="24"/>
        </w:rPr>
        <w:t>1）换撑、拆撑</w:t>
      </w:r>
      <w:r>
        <w:rPr>
          <w:rFonts w:hint="eastAsia"/>
          <w:kern w:val="0"/>
          <w:sz w:val="24"/>
        </w:rPr>
        <w:t>应</w:t>
      </w:r>
      <w:r>
        <w:rPr>
          <w:kern w:val="0"/>
          <w:sz w:val="24"/>
        </w:rPr>
        <w:t>遵循</w:t>
      </w:r>
      <w:r>
        <w:rPr>
          <w:rFonts w:hint="eastAsia"/>
          <w:kern w:val="0"/>
          <w:sz w:val="24"/>
        </w:rPr>
        <w:t>“</w:t>
      </w:r>
      <w:r>
        <w:rPr>
          <w:kern w:val="0"/>
          <w:sz w:val="24"/>
        </w:rPr>
        <w:t>先换撑、后拆除</w:t>
      </w:r>
      <w:r>
        <w:rPr>
          <w:rFonts w:hint="eastAsia"/>
          <w:kern w:val="0"/>
          <w:sz w:val="24"/>
        </w:rPr>
        <w:t>”</w:t>
      </w:r>
      <w:r>
        <w:rPr>
          <w:kern w:val="0"/>
          <w:sz w:val="24"/>
        </w:rPr>
        <w:t>的原则进行；换撑</w:t>
      </w:r>
      <w:r>
        <w:rPr>
          <w:rFonts w:hint="eastAsia"/>
          <w:kern w:val="0"/>
          <w:sz w:val="24"/>
        </w:rPr>
        <w:t>构件</w:t>
      </w:r>
      <w:r>
        <w:rPr>
          <w:kern w:val="0"/>
          <w:sz w:val="24"/>
        </w:rPr>
        <w:t>及主体结构强度达到设计强度</w:t>
      </w:r>
      <w:r>
        <w:rPr>
          <w:rFonts w:hint="eastAsia"/>
          <w:kern w:val="0"/>
          <w:sz w:val="24"/>
        </w:rPr>
        <w:t>的</w:t>
      </w:r>
      <w:r>
        <w:rPr>
          <w:kern w:val="0"/>
          <w:sz w:val="24"/>
        </w:rPr>
        <w:t>80﹪</w:t>
      </w:r>
      <w:r>
        <w:rPr>
          <w:rFonts w:hint="eastAsia"/>
          <w:kern w:val="0"/>
          <w:sz w:val="24"/>
        </w:rPr>
        <w:t>时</w:t>
      </w:r>
      <w:r>
        <w:rPr>
          <w:kern w:val="0"/>
          <w:sz w:val="24"/>
        </w:rPr>
        <w:t>才能进行拆撑；</w:t>
      </w:r>
    </w:p>
    <w:p>
      <w:pPr>
        <w:spacing w:line="360" w:lineRule="auto"/>
        <w:ind w:left="1095" w:leftChars="350" w:hanging="360" w:hangingChars="150"/>
        <w:jc w:val="left"/>
        <w:rPr>
          <w:kern w:val="0"/>
          <w:sz w:val="24"/>
        </w:rPr>
      </w:pPr>
      <w:r>
        <w:rPr>
          <w:rFonts w:hint="eastAsia"/>
          <w:kern w:val="0"/>
          <w:sz w:val="24"/>
        </w:rPr>
        <w:t>2</w:t>
      </w:r>
      <w:r>
        <w:rPr>
          <w:kern w:val="0"/>
          <w:sz w:val="24"/>
        </w:rPr>
        <w:t>）内支撑拆除应自下而上分层进行，对支撑梁逐根进行拆除，</w:t>
      </w:r>
      <w:r>
        <w:rPr>
          <w:rFonts w:hint="eastAsia"/>
          <w:kern w:val="0"/>
          <w:sz w:val="24"/>
        </w:rPr>
        <w:t>宜</w:t>
      </w:r>
      <w:r>
        <w:rPr>
          <w:kern w:val="0"/>
          <w:sz w:val="24"/>
        </w:rPr>
        <w:t>先拆联系梁，再拆主撑梁，先拆短角支撑，再拆长角支撑，最后拆除对撑；</w:t>
      </w:r>
    </w:p>
    <w:p>
      <w:pPr>
        <w:spacing w:line="360" w:lineRule="auto"/>
        <w:ind w:left="1095" w:leftChars="350" w:hanging="360" w:hangingChars="150"/>
        <w:jc w:val="left"/>
        <w:rPr>
          <w:kern w:val="0"/>
          <w:sz w:val="24"/>
        </w:rPr>
      </w:pPr>
      <w:r>
        <w:rPr>
          <w:rFonts w:hint="eastAsia"/>
          <w:kern w:val="0"/>
          <w:sz w:val="24"/>
        </w:rPr>
        <w:t>3</w:t>
      </w:r>
      <w:r>
        <w:rPr>
          <w:kern w:val="0"/>
          <w:sz w:val="24"/>
        </w:rPr>
        <w:t>）内支撑拆除时，应对地下结构采取有效的安全防护措施；</w:t>
      </w:r>
    </w:p>
    <w:p>
      <w:pPr>
        <w:spacing w:line="360" w:lineRule="auto"/>
        <w:ind w:left="1095" w:leftChars="350" w:hanging="360" w:hangingChars="150"/>
        <w:jc w:val="left"/>
        <w:rPr>
          <w:kern w:val="0"/>
          <w:sz w:val="24"/>
        </w:rPr>
      </w:pPr>
      <w:r>
        <w:rPr>
          <w:rFonts w:hint="eastAsia"/>
          <w:kern w:val="0"/>
          <w:sz w:val="24"/>
        </w:rPr>
        <w:t>4</w:t>
      </w:r>
      <w:r>
        <w:rPr>
          <w:kern w:val="0"/>
          <w:sz w:val="24"/>
        </w:rPr>
        <w:t>）拆撑时</w:t>
      </w:r>
      <w:r>
        <w:rPr>
          <w:rFonts w:hint="eastAsia"/>
          <w:kern w:val="0"/>
          <w:sz w:val="24"/>
        </w:rPr>
        <w:t>应</w:t>
      </w:r>
      <w:r>
        <w:rPr>
          <w:kern w:val="0"/>
          <w:sz w:val="24"/>
        </w:rPr>
        <w:t>连续监测基坑</w:t>
      </w:r>
      <w:r>
        <w:rPr>
          <w:rFonts w:hint="eastAsia"/>
          <w:kern w:val="0"/>
          <w:sz w:val="24"/>
        </w:rPr>
        <w:t>变形</w:t>
      </w:r>
      <w:r>
        <w:rPr>
          <w:kern w:val="0"/>
          <w:sz w:val="24"/>
        </w:rPr>
        <w:t>，进行信息化施工；</w:t>
      </w:r>
    </w:p>
    <w:p>
      <w:pPr>
        <w:spacing w:line="360" w:lineRule="auto"/>
        <w:ind w:left="1095" w:leftChars="350" w:hanging="360" w:hangingChars="150"/>
        <w:jc w:val="left"/>
        <w:rPr>
          <w:kern w:val="0"/>
          <w:sz w:val="24"/>
        </w:rPr>
      </w:pPr>
      <w:r>
        <w:rPr>
          <w:rFonts w:hint="eastAsia"/>
          <w:kern w:val="0"/>
          <w:sz w:val="24"/>
        </w:rPr>
        <w:t>5</w:t>
      </w:r>
      <w:r>
        <w:rPr>
          <w:kern w:val="0"/>
          <w:sz w:val="24"/>
        </w:rPr>
        <w:t>）拆撑出现</w:t>
      </w:r>
      <w:r>
        <w:rPr>
          <w:rFonts w:hint="eastAsia"/>
          <w:kern w:val="0"/>
          <w:sz w:val="24"/>
        </w:rPr>
        <w:t>变形</w:t>
      </w:r>
      <w:r>
        <w:rPr>
          <w:kern w:val="0"/>
          <w:sz w:val="24"/>
        </w:rPr>
        <w:t>异常情况</w:t>
      </w:r>
      <w:r>
        <w:rPr>
          <w:rFonts w:hint="eastAsia"/>
          <w:kern w:val="0"/>
          <w:sz w:val="24"/>
        </w:rPr>
        <w:t>时</w:t>
      </w:r>
      <w:r>
        <w:rPr>
          <w:kern w:val="0"/>
          <w:sz w:val="24"/>
        </w:rPr>
        <w:t>，</w:t>
      </w:r>
      <w:r>
        <w:rPr>
          <w:rFonts w:hint="eastAsia"/>
          <w:kern w:val="0"/>
          <w:sz w:val="24"/>
        </w:rPr>
        <w:t>应采取措施</w:t>
      </w:r>
      <w:r>
        <w:rPr>
          <w:kern w:val="0"/>
          <w:sz w:val="24"/>
        </w:rPr>
        <w:t>保证</w:t>
      </w:r>
      <w:r>
        <w:rPr>
          <w:rFonts w:hint="eastAsia"/>
          <w:kern w:val="0"/>
          <w:sz w:val="24"/>
        </w:rPr>
        <w:t>基坑及</w:t>
      </w:r>
      <w:r>
        <w:rPr>
          <w:kern w:val="0"/>
          <w:sz w:val="24"/>
        </w:rPr>
        <w:t>周边环境安全</w:t>
      </w:r>
      <w:r>
        <w:rPr>
          <w:rFonts w:hint="eastAsia"/>
          <w:kern w:val="0"/>
          <w:sz w:val="24"/>
        </w:rPr>
        <w:t>；</w:t>
      </w:r>
    </w:p>
    <w:p>
      <w:pPr>
        <w:spacing w:line="360" w:lineRule="auto"/>
        <w:ind w:firstLine="480" w:firstLineChars="200"/>
        <w:rPr>
          <w:sz w:val="24"/>
        </w:rPr>
      </w:pPr>
      <w:r>
        <w:rPr>
          <w:rFonts w:hint="eastAsia"/>
          <w:sz w:val="24"/>
        </w:rPr>
        <w:t>5</w:t>
      </w:r>
      <w:r>
        <w:rPr>
          <w:sz w:val="24"/>
        </w:rPr>
        <w:t xml:space="preserve">  </w:t>
      </w:r>
      <w:r>
        <w:rPr>
          <w:rFonts w:hint="eastAsia"/>
          <w:sz w:val="24"/>
        </w:rPr>
        <w:t>应</w:t>
      </w:r>
      <w:r>
        <w:rPr>
          <w:sz w:val="24"/>
        </w:rPr>
        <w:t>及时对坑壁肥槽进行回填，回填的材料及压实</w:t>
      </w:r>
      <w:r>
        <w:rPr>
          <w:rFonts w:hint="eastAsia"/>
          <w:sz w:val="24"/>
        </w:rPr>
        <w:t>系数</w:t>
      </w:r>
      <w:r>
        <w:rPr>
          <w:sz w:val="24"/>
        </w:rPr>
        <w:t>应满足设计要求。</w:t>
      </w:r>
    </w:p>
    <w:p>
      <w:pPr>
        <w:spacing w:line="360" w:lineRule="auto"/>
        <w:jc w:val="center"/>
        <w:outlineLvl w:val="1"/>
        <w:rPr>
          <w:b/>
          <w:sz w:val="24"/>
        </w:rPr>
      </w:pPr>
      <w:bookmarkStart w:id="57" w:name="_Toc87018270"/>
      <w:bookmarkStart w:id="58" w:name="_Toc87018339"/>
      <w:r>
        <w:rPr>
          <w:b/>
          <w:sz w:val="24"/>
        </w:rPr>
        <w:t>5.</w:t>
      </w:r>
      <w:r>
        <w:rPr>
          <w:rFonts w:hint="eastAsia"/>
          <w:b/>
          <w:sz w:val="24"/>
        </w:rPr>
        <w:t>8</w:t>
      </w:r>
      <w:r>
        <w:rPr>
          <w:b/>
          <w:sz w:val="24"/>
        </w:rPr>
        <w:t xml:space="preserve">  土钉墙</w:t>
      </w:r>
      <w:bookmarkEnd w:id="57"/>
      <w:bookmarkEnd w:id="58"/>
      <w:bookmarkStart w:id="59" w:name="OLE_LINK2"/>
    </w:p>
    <w:p>
      <w:pPr>
        <w:tabs>
          <w:tab w:val="left" w:pos="0"/>
        </w:tabs>
        <w:spacing w:line="360" w:lineRule="auto"/>
        <w:rPr>
          <w:sz w:val="24"/>
        </w:rPr>
      </w:pPr>
      <w:r>
        <w:rPr>
          <w:b/>
          <w:sz w:val="24"/>
        </w:rPr>
        <w:t>5.</w:t>
      </w:r>
      <w:r>
        <w:rPr>
          <w:rFonts w:hint="eastAsia"/>
          <w:b/>
          <w:sz w:val="24"/>
        </w:rPr>
        <w:t>8</w:t>
      </w:r>
      <w:r>
        <w:rPr>
          <w:b/>
          <w:sz w:val="24"/>
        </w:rPr>
        <w:t xml:space="preserve">.1  </w:t>
      </w:r>
      <w:r>
        <w:rPr>
          <w:sz w:val="24"/>
        </w:rPr>
        <w:t>土钉墙支护体系的选型</w:t>
      </w:r>
      <w:r>
        <w:rPr>
          <w:rFonts w:hint="eastAsia"/>
          <w:sz w:val="24"/>
        </w:rPr>
        <w:t>和</w:t>
      </w:r>
      <w:r>
        <w:rPr>
          <w:sz w:val="24"/>
        </w:rPr>
        <w:t>适用范围</w:t>
      </w:r>
      <w:bookmarkEnd w:id="59"/>
      <w:r>
        <w:rPr>
          <w:rFonts w:hint="eastAsia"/>
          <w:sz w:val="24"/>
        </w:rPr>
        <w:t>：</w:t>
      </w:r>
    </w:p>
    <w:p>
      <w:pPr>
        <w:tabs>
          <w:tab w:val="left" w:pos="0"/>
        </w:tabs>
        <w:spacing w:line="360" w:lineRule="auto"/>
        <w:ind w:firstLine="480" w:firstLineChars="200"/>
        <w:rPr>
          <w:sz w:val="24"/>
        </w:rPr>
      </w:pPr>
      <w:r>
        <w:rPr>
          <w:rFonts w:hint="eastAsia"/>
          <w:sz w:val="24"/>
        </w:rPr>
        <w:t>1</w:t>
      </w:r>
      <w:r>
        <w:rPr>
          <w:sz w:val="24"/>
        </w:rPr>
        <w:t xml:space="preserve">  土钉墙支护体系的选型应与地质条件</w:t>
      </w:r>
      <w:r>
        <w:rPr>
          <w:rFonts w:hint="eastAsia"/>
          <w:sz w:val="24"/>
        </w:rPr>
        <w:t>及周边环境</w:t>
      </w:r>
      <w:r>
        <w:rPr>
          <w:sz w:val="24"/>
        </w:rPr>
        <w:t>相适应，</w:t>
      </w:r>
      <w:r>
        <w:rPr>
          <w:rFonts w:hint="eastAsia"/>
          <w:sz w:val="24"/>
        </w:rPr>
        <w:t>坑壁、坑底存在较厚软土时，不宜采用土钉墙支护体系；</w:t>
      </w:r>
    </w:p>
    <w:p>
      <w:pPr>
        <w:tabs>
          <w:tab w:val="left" w:pos="0"/>
        </w:tabs>
        <w:spacing w:line="360" w:lineRule="auto"/>
        <w:ind w:firstLine="480" w:firstLineChars="200"/>
        <w:rPr>
          <w:sz w:val="24"/>
        </w:rPr>
      </w:pPr>
      <w:r>
        <w:rPr>
          <w:rFonts w:hint="eastAsia"/>
          <w:sz w:val="24"/>
        </w:rPr>
        <w:t>2  选用土钉墙支护时应</w:t>
      </w:r>
      <w:r>
        <w:rPr>
          <w:sz w:val="24"/>
        </w:rPr>
        <w:t>考虑地下水的影响，</w:t>
      </w:r>
      <w:r>
        <w:rPr>
          <w:rFonts w:hint="eastAsia"/>
          <w:sz w:val="24"/>
        </w:rPr>
        <w:t>并</w:t>
      </w:r>
      <w:r>
        <w:rPr>
          <w:sz w:val="24"/>
        </w:rPr>
        <w:t>采取相应的</w:t>
      </w:r>
      <w:r>
        <w:rPr>
          <w:rFonts w:hint="eastAsia"/>
          <w:sz w:val="24"/>
        </w:rPr>
        <w:t>地下水控制</w:t>
      </w:r>
      <w:r>
        <w:rPr>
          <w:sz w:val="24"/>
        </w:rPr>
        <w:t>措施</w:t>
      </w:r>
      <w:r>
        <w:rPr>
          <w:rFonts w:hint="eastAsia"/>
          <w:sz w:val="24"/>
        </w:rPr>
        <w:t>；</w:t>
      </w:r>
    </w:p>
    <w:p>
      <w:pPr>
        <w:tabs>
          <w:tab w:val="left" w:pos="0"/>
        </w:tabs>
        <w:spacing w:line="360" w:lineRule="auto"/>
        <w:ind w:firstLine="480" w:firstLineChars="200"/>
        <w:rPr>
          <w:sz w:val="24"/>
        </w:rPr>
      </w:pPr>
      <w:r>
        <w:rPr>
          <w:rFonts w:hint="eastAsia"/>
          <w:sz w:val="24"/>
        </w:rPr>
        <w:t>3</w:t>
      </w:r>
      <w:r>
        <w:rPr>
          <w:sz w:val="24"/>
        </w:rPr>
        <w:t xml:space="preserve">  </w:t>
      </w:r>
      <w:r>
        <w:rPr>
          <w:rFonts w:hint="eastAsia"/>
          <w:sz w:val="24"/>
        </w:rPr>
        <w:t>土钉墙可以和其它支护体系联合使用。</w:t>
      </w:r>
    </w:p>
    <w:p>
      <w:pPr>
        <w:tabs>
          <w:tab w:val="left" w:pos="0"/>
        </w:tabs>
        <w:spacing w:line="360" w:lineRule="auto"/>
        <w:rPr>
          <w:sz w:val="24"/>
        </w:rPr>
      </w:pPr>
      <w:r>
        <w:rPr>
          <w:b/>
          <w:sz w:val="24"/>
        </w:rPr>
        <w:t>5.</w:t>
      </w:r>
      <w:r>
        <w:rPr>
          <w:rFonts w:hint="eastAsia"/>
          <w:b/>
          <w:sz w:val="24"/>
        </w:rPr>
        <w:t>8</w:t>
      </w:r>
      <w:r>
        <w:rPr>
          <w:b/>
          <w:sz w:val="24"/>
        </w:rPr>
        <w:t xml:space="preserve">.2  </w:t>
      </w:r>
      <w:r>
        <w:rPr>
          <w:sz w:val="24"/>
        </w:rPr>
        <w:t>土钉墙支护结构的设计计算与验算</w:t>
      </w:r>
      <w:r>
        <w:rPr>
          <w:rFonts w:hint="eastAsia"/>
          <w:sz w:val="24"/>
        </w:rPr>
        <w:t>：</w:t>
      </w:r>
    </w:p>
    <w:p>
      <w:pPr>
        <w:tabs>
          <w:tab w:val="left" w:pos="0"/>
        </w:tabs>
        <w:spacing w:line="360" w:lineRule="auto"/>
        <w:ind w:firstLine="480" w:firstLineChars="200"/>
        <w:rPr>
          <w:sz w:val="24"/>
        </w:rPr>
      </w:pPr>
      <w:r>
        <w:rPr>
          <w:sz w:val="24"/>
        </w:rPr>
        <w:t xml:space="preserve">1  土钉墙应按下列规定对基坑开挖的各工况进行整体滑动稳定性验算： </w:t>
      </w:r>
    </w:p>
    <w:p>
      <w:pPr>
        <w:tabs>
          <w:tab w:val="left" w:pos="420"/>
        </w:tabs>
        <w:spacing w:line="360" w:lineRule="auto"/>
        <w:ind w:left="1095" w:leftChars="350" w:hanging="360" w:hangingChars="150"/>
        <w:jc w:val="left"/>
        <w:rPr>
          <w:sz w:val="24"/>
        </w:rPr>
      </w:pPr>
      <w:r>
        <w:rPr>
          <w:sz w:val="24"/>
        </w:rPr>
        <w:t>1）</w:t>
      </w:r>
      <w:r>
        <w:rPr>
          <w:rFonts w:hint="eastAsia"/>
          <w:sz w:val="24"/>
        </w:rPr>
        <w:t>土层中</w:t>
      </w:r>
      <w:r>
        <w:rPr>
          <w:sz w:val="24"/>
        </w:rPr>
        <w:t>整体滑动稳定性可采用圆弧滑动条分法进行验算；</w:t>
      </w:r>
    </w:p>
    <w:p>
      <w:pPr>
        <w:tabs>
          <w:tab w:val="left" w:pos="420"/>
        </w:tabs>
        <w:spacing w:line="360" w:lineRule="auto"/>
        <w:ind w:left="1095" w:leftChars="350" w:hanging="360" w:hangingChars="150"/>
        <w:jc w:val="left"/>
        <w:rPr>
          <w:sz w:val="24"/>
        </w:rPr>
      </w:pPr>
      <w:r>
        <w:rPr>
          <w:sz w:val="24"/>
        </w:rPr>
        <w:t>2）采用圆弧滑动条分法</w:t>
      </w:r>
      <w:r>
        <w:rPr>
          <w:rFonts w:hint="eastAsia"/>
          <w:sz w:val="24"/>
        </w:rPr>
        <w:t>计算</w:t>
      </w:r>
      <w:r>
        <w:rPr>
          <w:sz w:val="24"/>
        </w:rPr>
        <w:t>时，其整体滑动稳定性应符合本规程</w:t>
      </w:r>
      <w:r>
        <w:rPr>
          <w:rFonts w:hint="eastAsia"/>
          <w:sz w:val="24"/>
        </w:rPr>
        <w:t>5.4.2</w:t>
      </w:r>
      <w:r>
        <w:rPr>
          <w:sz w:val="24"/>
        </w:rPr>
        <w:t>条的规定(图5.</w:t>
      </w:r>
      <w:r>
        <w:rPr>
          <w:rFonts w:hint="eastAsia"/>
          <w:sz w:val="24"/>
        </w:rPr>
        <w:t>8</w:t>
      </w:r>
      <w:r>
        <w:rPr>
          <w:sz w:val="24"/>
        </w:rPr>
        <w:t>.2)：</w:t>
      </w:r>
    </w:p>
    <w:p>
      <w:pPr>
        <w:tabs>
          <w:tab w:val="left" w:pos="420"/>
        </w:tabs>
        <w:spacing w:line="360" w:lineRule="auto"/>
        <w:ind w:left="1095" w:leftChars="350" w:hanging="360" w:hangingChars="150"/>
        <w:jc w:val="left"/>
        <w:rPr>
          <w:sz w:val="24"/>
        </w:rPr>
      </w:pPr>
    </w:p>
    <w:p>
      <w:pPr>
        <w:spacing w:line="360" w:lineRule="auto"/>
        <w:jc w:val="center"/>
        <w:rPr>
          <w:szCs w:val="21"/>
        </w:rPr>
      </w:pPr>
      <w:r>
        <w:rPr>
          <w:sz w:val="24"/>
        </w:rPr>
        <w:drawing>
          <wp:inline distT="0" distB="0" distL="0" distR="0">
            <wp:extent cx="3703320" cy="2196465"/>
            <wp:effectExtent l="0" t="0" r="0" b="0"/>
            <wp:docPr id="32" name="图片 32" descr="E:\G规范编制\昆明地区基坑规范编制\2019.6第二次审查修改\插图\图5.8.2-1 土钉墙整体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G规范编制\昆明地区基坑规范编制\2019.6第二次审查修改\插图\图5.8.2-1 土钉墙整体稳定性验算.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a:xfrm>
                      <a:off x="0" y="0"/>
                      <a:ext cx="3703320" cy="2196465"/>
                    </a:xfrm>
                    <a:prstGeom prst="rect">
                      <a:avLst/>
                    </a:prstGeom>
                    <a:noFill/>
                    <a:ln>
                      <a:noFill/>
                    </a:ln>
                  </pic:spPr>
                </pic:pic>
              </a:graphicData>
            </a:graphic>
          </wp:inline>
        </w:drawing>
      </w:r>
    </w:p>
    <w:p>
      <w:pPr>
        <w:pStyle w:val="76"/>
        <w:spacing w:line="360" w:lineRule="auto"/>
        <w:ind w:firstLine="0" w:firstLineChars="0"/>
        <w:jc w:val="center"/>
        <w:rPr>
          <w:rFonts w:ascii="Times New Roman" w:hAnsi="Times New Roman"/>
          <w:szCs w:val="21"/>
        </w:rPr>
      </w:pPr>
      <w:r>
        <w:rPr>
          <w:rFonts w:ascii="Times New Roman" w:hAnsi="Times New Roman"/>
          <w:szCs w:val="21"/>
        </w:rPr>
        <w:t>(a)土钉墙在地下水位以上</w:t>
      </w:r>
    </w:p>
    <w:p>
      <w:pPr>
        <w:spacing w:line="360" w:lineRule="auto"/>
        <w:jc w:val="center"/>
        <w:rPr>
          <w:sz w:val="24"/>
        </w:rPr>
      </w:pPr>
      <w:r>
        <w:rPr>
          <w:szCs w:val="21"/>
        </w:rPr>
        <w:drawing>
          <wp:inline distT="0" distB="0" distL="0" distR="0">
            <wp:extent cx="3831590" cy="2196465"/>
            <wp:effectExtent l="0" t="0" r="0" b="0"/>
            <wp:docPr id="38" name="图片 38" descr="E:\G规范编制\昆明地区基坑规范编制\2019.6第二次审查修改\插图\图5.8.2-2 土钉墙整体稳定性验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G规范编制\昆明地区基坑规范编制\2019.6第二次审查修改\插图\图5.8.2-2 土钉墙整体稳定性验算.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3831590" cy="2196465"/>
                    </a:xfrm>
                    <a:prstGeom prst="rect">
                      <a:avLst/>
                    </a:prstGeom>
                    <a:noFill/>
                    <a:ln>
                      <a:noFill/>
                    </a:ln>
                  </pic:spPr>
                </pic:pic>
              </a:graphicData>
            </a:graphic>
          </wp:inline>
        </w:drawing>
      </w:r>
    </w:p>
    <w:p>
      <w:pPr>
        <w:spacing w:line="360" w:lineRule="auto"/>
        <w:jc w:val="center"/>
        <w:rPr>
          <w:szCs w:val="21"/>
        </w:rPr>
      </w:pPr>
      <w:r>
        <w:rPr>
          <w:szCs w:val="21"/>
        </w:rPr>
        <w:t xml:space="preserve"> (b)水泥土桩或微型桩复合土钉墙</w:t>
      </w:r>
    </w:p>
    <w:p>
      <w:pPr>
        <w:spacing w:line="360" w:lineRule="auto"/>
        <w:jc w:val="center"/>
        <w:rPr>
          <w:b/>
          <w:sz w:val="24"/>
        </w:rPr>
      </w:pPr>
      <w:r>
        <w:rPr>
          <w:b/>
          <w:sz w:val="24"/>
        </w:rPr>
        <w:t>图5.</w:t>
      </w:r>
      <w:r>
        <w:rPr>
          <w:rFonts w:hint="eastAsia"/>
          <w:b/>
          <w:sz w:val="24"/>
        </w:rPr>
        <w:t>8</w:t>
      </w:r>
      <w:r>
        <w:rPr>
          <w:b/>
          <w:sz w:val="24"/>
        </w:rPr>
        <w:t>.2 土钉墙整体稳定性验算</w:t>
      </w:r>
    </w:p>
    <w:p>
      <w:pPr>
        <w:pStyle w:val="79"/>
        <w:widowControl/>
        <w:spacing w:line="360" w:lineRule="auto"/>
        <w:ind w:left="360" w:firstLine="0" w:firstLineChars="0"/>
        <w:jc w:val="center"/>
        <w:rPr>
          <w:rFonts w:ascii="Times New Roman" w:hAnsi="Times New Roman"/>
          <w:szCs w:val="21"/>
        </w:rPr>
      </w:pPr>
      <w:r>
        <w:rPr>
          <w:rFonts w:ascii="Times New Roman" w:hAnsi="Times New Roman"/>
          <w:szCs w:val="21"/>
        </w:rPr>
        <w:t>1—滑动面；2—土钉或锚杆；3—喷射混凝土面层；4—水泥土桩或微型桩</w:t>
      </w:r>
    </w:p>
    <w:p>
      <w:pPr>
        <w:tabs>
          <w:tab w:val="left" w:pos="420"/>
        </w:tabs>
        <w:spacing w:line="360" w:lineRule="auto"/>
        <w:ind w:left="1095" w:leftChars="350" w:hanging="360" w:hangingChars="150"/>
        <w:jc w:val="left"/>
        <w:rPr>
          <w:sz w:val="24"/>
        </w:rPr>
      </w:pPr>
      <w:r>
        <w:rPr>
          <w:sz w:val="24"/>
        </w:rPr>
        <w:t>3）水泥土桩复合土钉墙，在需要考虑地下水压力的作用时，其整体稳定性应按   本规程式5</w:t>
      </w:r>
      <w:r>
        <w:rPr>
          <w:rFonts w:hint="eastAsia"/>
          <w:sz w:val="24"/>
        </w:rPr>
        <w:t>.4.2</w:t>
      </w:r>
      <w:r>
        <w:rPr>
          <w:sz w:val="24"/>
        </w:rPr>
        <w:t>-1、式5.</w:t>
      </w:r>
      <w:r>
        <w:rPr>
          <w:rFonts w:hint="eastAsia"/>
          <w:sz w:val="24"/>
        </w:rPr>
        <w:t>4.2</w:t>
      </w:r>
      <w:r>
        <w:rPr>
          <w:sz w:val="24"/>
        </w:rPr>
        <w:t>-2验算；</w:t>
      </w:r>
    </w:p>
    <w:p>
      <w:pPr>
        <w:tabs>
          <w:tab w:val="left" w:pos="420"/>
        </w:tabs>
        <w:spacing w:line="360" w:lineRule="auto"/>
        <w:ind w:left="1095" w:leftChars="350" w:hanging="360" w:hangingChars="150"/>
        <w:jc w:val="left"/>
        <w:rPr>
          <w:sz w:val="24"/>
        </w:rPr>
      </w:pPr>
      <w:r>
        <w:rPr>
          <w:sz w:val="24"/>
        </w:rPr>
        <w:t>4）当基坑</w:t>
      </w:r>
      <w:r>
        <w:rPr>
          <w:rFonts w:hint="eastAsia"/>
          <w:sz w:val="24"/>
        </w:rPr>
        <w:t>底</w:t>
      </w:r>
      <w:r>
        <w:rPr>
          <w:sz w:val="24"/>
        </w:rPr>
        <w:t>面以下存在软弱下卧层时，整体稳定性验算滑动面中应包括由圆弧与软弱土层</w:t>
      </w:r>
      <w:r>
        <w:rPr>
          <w:rFonts w:hint="eastAsia"/>
          <w:sz w:val="24"/>
        </w:rPr>
        <w:t>中滑动面</w:t>
      </w:r>
      <w:r>
        <w:rPr>
          <w:sz w:val="24"/>
        </w:rPr>
        <w:t>组成的复合滑动面；</w:t>
      </w:r>
    </w:p>
    <w:p>
      <w:pPr>
        <w:tabs>
          <w:tab w:val="left" w:pos="420"/>
        </w:tabs>
        <w:spacing w:line="360" w:lineRule="auto"/>
        <w:ind w:left="1095" w:leftChars="350" w:hanging="360" w:hangingChars="150"/>
        <w:jc w:val="left"/>
        <w:rPr>
          <w:sz w:val="24"/>
        </w:rPr>
      </w:pPr>
      <w:r>
        <w:rPr>
          <w:sz w:val="24"/>
        </w:rPr>
        <w:t>5）微型桩、水泥土桩复合土钉墙，滑弧穿过其嵌固段的土条可适当考虑桩的抗滑作用。</w:t>
      </w:r>
    </w:p>
    <w:p>
      <w:pPr>
        <w:tabs>
          <w:tab w:val="left" w:pos="0"/>
        </w:tabs>
        <w:spacing w:line="360" w:lineRule="auto"/>
        <w:ind w:firstLine="480" w:firstLineChars="200"/>
        <w:rPr>
          <w:sz w:val="24"/>
        </w:rPr>
      </w:pPr>
      <w:r>
        <w:rPr>
          <w:sz w:val="24"/>
        </w:rPr>
        <w:t>2  土钉墙结构应进行坑底隆起稳定性验算，验算可按本规程</w:t>
      </w:r>
      <w:r>
        <w:rPr>
          <w:rFonts w:hint="eastAsia"/>
          <w:sz w:val="24"/>
        </w:rPr>
        <w:t>5.4.3</w:t>
      </w:r>
      <w:r>
        <w:rPr>
          <w:sz w:val="24"/>
        </w:rPr>
        <w:t>条进行。</w:t>
      </w:r>
    </w:p>
    <w:p>
      <w:pPr>
        <w:tabs>
          <w:tab w:val="left" w:pos="0"/>
        </w:tabs>
        <w:spacing w:line="360" w:lineRule="auto"/>
        <w:ind w:firstLine="480" w:firstLineChars="200"/>
        <w:rPr>
          <w:sz w:val="24"/>
        </w:rPr>
      </w:pPr>
      <w:r>
        <w:rPr>
          <w:sz w:val="24"/>
        </w:rPr>
        <w:t>3  单根土钉的抗拔承载力应符合下式规定：</w:t>
      </w:r>
    </w:p>
    <w:p>
      <w:pPr>
        <w:spacing w:line="360" w:lineRule="auto"/>
        <w:jc w:val="right"/>
        <w:rPr>
          <w:sz w:val="24"/>
        </w:rPr>
      </w:pPr>
      <w:r>
        <w:rPr>
          <w:position w:val="-32"/>
        </w:rPr>
        <w:t xml:space="preserve">             </w:t>
      </w:r>
      <w:r>
        <w:rPr>
          <w:position w:val="-26"/>
          <w:sz w:val="24"/>
        </w:rPr>
        <w:object>
          <v:shape id="_x0000_i1096" o:spt="75" type="#_x0000_t75" style="height:31.4pt;width:47.1pt;" o:ole="t" filled="f" coordsize="21600,21600">
            <v:path/>
            <v:fill on="f" focussize="0,0"/>
            <v:stroke/>
            <v:imagedata r:id="rId180" o:title=""/>
            <o:lock v:ext="edit" aspectratio="t"/>
            <w10:wrap type="none"/>
            <w10:anchorlock/>
          </v:shape>
          <o:OLEObject Type="Embed" ProgID="Equation.DSMT4" ShapeID="_x0000_i1096" DrawAspect="Content" ObjectID="_1468075796" r:id="rId179">
            <o:LockedField>false</o:LockedField>
          </o:OLEObject>
        </w:object>
      </w:r>
      <w:r>
        <w:t xml:space="preserve">                             </w:t>
      </w:r>
      <w:r>
        <w:rPr>
          <w:sz w:val="24"/>
        </w:rPr>
        <w:t>（5.8.2-1）</w:t>
      </w:r>
    </w:p>
    <w:p>
      <w:pPr>
        <w:spacing w:line="360" w:lineRule="auto"/>
        <w:ind w:left="1200" w:hanging="1200" w:hangingChars="500"/>
        <w:rPr>
          <w:sz w:val="24"/>
        </w:rPr>
      </w:pPr>
      <w:r>
        <w:rPr>
          <w:sz w:val="24"/>
        </w:rPr>
        <w:t>式中：</w:t>
      </w:r>
      <w:r>
        <w:rPr>
          <w:i/>
          <w:sz w:val="24"/>
        </w:rPr>
        <w:t>K</w:t>
      </w:r>
      <w:r>
        <w:rPr>
          <w:i/>
          <w:sz w:val="24"/>
          <w:vertAlign w:val="subscript"/>
        </w:rPr>
        <w:t>t</w:t>
      </w:r>
      <w:r>
        <w:rPr>
          <w:i/>
          <w:sz w:val="24"/>
        </w:rPr>
        <w:t>—</w:t>
      </w:r>
      <w:r>
        <w:rPr>
          <w:sz w:val="24"/>
        </w:rPr>
        <w:t>土钉抗拔安全系数；安全等级为二级、三级的土钉墙，</w:t>
      </w:r>
      <w:r>
        <w:rPr>
          <w:i/>
          <w:sz w:val="24"/>
        </w:rPr>
        <w:t>K</w:t>
      </w:r>
      <w:r>
        <w:rPr>
          <w:i/>
          <w:sz w:val="24"/>
          <w:vertAlign w:val="subscript"/>
        </w:rPr>
        <w:t>t</w:t>
      </w:r>
      <w:r>
        <w:rPr>
          <w:sz w:val="24"/>
        </w:rPr>
        <w:t>分别不应小于1.60、1.40；</w:t>
      </w:r>
    </w:p>
    <w:p>
      <w:pPr>
        <w:spacing w:line="360" w:lineRule="auto"/>
        <w:ind w:firstLine="600" w:firstLineChars="250"/>
        <w:rPr>
          <w:sz w:val="24"/>
        </w:rPr>
      </w:pPr>
      <w:r>
        <w:rPr>
          <w:i/>
          <w:sz w:val="24"/>
        </w:rPr>
        <w:t>N</w:t>
      </w:r>
      <w:r>
        <w:rPr>
          <w:i/>
          <w:sz w:val="24"/>
          <w:vertAlign w:val="subscript"/>
        </w:rPr>
        <w:t>k,</w:t>
      </w:r>
      <w:r>
        <w:rPr>
          <w:sz w:val="24"/>
          <w:vertAlign w:val="subscript"/>
        </w:rPr>
        <w:t>j</w:t>
      </w:r>
      <w:r>
        <w:rPr>
          <w:sz w:val="24"/>
        </w:rPr>
        <w:t>—第</w:t>
      </w:r>
      <w:r>
        <w:rPr>
          <w:i/>
          <w:sz w:val="24"/>
        </w:rPr>
        <w:t>j</w:t>
      </w:r>
      <w:r>
        <w:rPr>
          <w:sz w:val="24"/>
        </w:rPr>
        <w:t>层土钉的轴向拉力标准值(kN)，应按本规程</w:t>
      </w:r>
      <w:r>
        <w:rPr>
          <w:rFonts w:hint="eastAsia"/>
          <w:sz w:val="24"/>
        </w:rPr>
        <w:t>公</w:t>
      </w:r>
      <w:r>
        <w:rPr>
          <w:sz w:val="24"/>
        </w:rPr>
        <w:t>式5.8.2-2计算；</w:t>
      </w:r>
    </w:p>
    <w:p>
      <w:pPr>
        <w:spacing w:line="360" w:lineRule="auto"/>
        <w:ind w:firstLine="600" w:firstLineChars="250"/>
        <w:rPr>
          <w:sz w:val="24"/>
        </w:rPr>
      </w:pPr>
      <w:r>
        <w:rPr>
          <w:i/>
          <w:sz w:val="24"/>
        </w:rPr>
        <w:t>R</w:t>
      </w:r>
      <w:r>
        <w:rPr>
          <w:i/>
          <w:sz w:val="24"/>
          <w:vertAlign w:val="subscript"/>
        </w:rPr>
        <w:t>k,j</w:t>
      </w:r>
      <w:r>
        <w:rPr>
          <w:sz w:val="24"/>
        </w:rPr>
        <w:t xml:space="preserve">—第 </w:t>
      </w:r>
      <w:r>
        <w:rPr>
          <w:i/>
          <w:sz w:val="24"/>
        </w:rPr>
        <w:t>j</w:t>
      </w:r>
      <w:r>
        <w:rPr>
          <w:sz w:val="24"/>
        </w:rPr>
        <w:t>层土钉的极限抗拔承载力标准值(kN)，应按本规程式5.8.2-6计算。</w:t>
      </w:r>
    </w:p>
    <w:p>
      <w:pPr>
        <w:tabs>
          <w:tab w:val="left" w:pos="0"/>
        </w:tabs>
        <w:spacing w:line="360" w:lineRule="auto"/>
        <w:ind w:firstLine="480" w:firstLineChars="200"/>
        <w:rPr>
          <w:sz w:val="24"/>
        </w:rPr>
      </w:pPr>
      <w:r>
        <w:rPr>
          <w:sz w:val="24"/>
        </w:rPr>
        <w:t>4  单根土钉的轴向拉力标准值可按下式计算：</w:t>
      </w:r>
    </w:p>
    <w:p>
      <w:pPr>
        <w:spacing w:line="360" w:lineRule="auto"/>
        <w:jc w:val="right"/>
        <w:rPr>
          <w:sz w:val="24"/>
        </w:rPr>
      </w:pPr>
      <w:r>
        <w:rPr>
          <w:position w:val="-26"/>
          <w:sz w:val="24"/>
        </w:rPr>
        <w:object>
          <v:shape id="_x0000_i1097" o:spt="75" type="#_x0000_t75" style="height:31.4pt;width:130.2pt;" o:ole="t" filled="f" coordsize="21600,21600">
            <v:path/>
            <v:fill on="f" focussize="0,0"/>
            <v:stroke/>
            <v:imagedata r:id="rId182" o:title=""/>
            <o:lock v:ext="edit" aspectratio="t"/>
            <w10:wrap type="none"/>
            <w10:anchorlock/>
          </v:shape>
          <o:OLEObject Type="Embed" ProgID="Equation.DSMT4" ShapeID="_x0000_i1097" DrawAspect="Content" ObjectID="_1468075797" r:id="rId181">
            <o:LockedField>false</o:LockedField>
          </o:OLEObject>
        </w:object>
      </w:r>
      <w:r>
        <w:t xml:space="preserve">                 </w:t>
      </w:r>
      <w:r>
        <w:rPr>
          <w:sz w:val="24"/>
        </w:rPr>
        <w:t>（5.8.2-2）</w:t>
      </w:r>
    </w:p>
    <w:p>
      <w:pPr>
        <w:spacing w:line="360" w:lineRule="auto"/>
        <w:jc w:val="left"/>
        <w:rPr>
          <w:sz w:val="24"/>
        </w:rPr>
      </w:pPr>
      <w:r>
        <w:rPr>
          <w:sz w:val="24"/>
        </w:rPr>
        <w:t>式中：</w:t>
      </w:r>
      <w:r>
        <w:rPr>
          <w:i/>
          <w:sz w:val="24"/>
        </w:rPr>
        <w:t>N</w:t>
      </w:r>
      <w:r>
        <w:rPr>
          <w:i/>
          <w:sz w:val="24"/>
          <w:vertAlign w:val="subscript"/>
        </w:rPr>
        <w:t>k</w:t>
      </w:r>
      <w:r>
        <w:rPr>
          <w:rFonts w:hint="eastAsia"/>
          <w:i/>
          <w:sz w:val="24"/>
          <w:vertAlign w:val="subscript"/>
        </w:rPr>
        <w:t>,</w:t>
      </w:r>
      <w:r>
        <w:rPr>
          <w:i/>
          <w:sz w:val="24"/>
          <w:vertAlign w:val="subscript"/>
        </w:rPr>
        <w:t>j</w:t>
      </w:r>
      <w:r>
        <w:rPr>
          <w:sz w:val="24"/>
        </w:rPr>
        <w:t>—第</w:t>
      </w:r>
      <w:r>
        <w:rPr>
          <w:i/>
          <w:sz w:val="24"/>
        </w:rPr>
        <w:t>j</w:t>
      </w:r>
      <w:r>
        <w:rPr>
          <w:sz w:val="24"/>
        </w:rPr>
        <w:t>层土钉的轴向拉力标准值（kN)；</w:t>
      </w:r>
    </w:p>
    <w:p>
      <w:pPr>
        <w:spacing w:line="360" w:lineRule="auto"/>
        <w:ind w:firstLine="840" w:firstLineChars="350"/>
        <w:rPr>
          <w:sz w:val="24"/>
        </w:rPr>
      </w:pPr>
      <w:r>
        <w:rPr>
          <w:i/>
          <w:sz w:val="24"/>
        </w:rPr>
        <w:t>α</w:t>
      </w:r>
      <w:r>
        <w:rPr>
          <w:i/>
          <w:sz w:val="24"/>
          <w:vertAlign w:val="subscript"/>
        </w:rPr>
        <w:t>j</w:t>
      </w:r>
      <w:r>
        <w:rPr>
          <w:sz w:val="24"/>
        </w:rPr>
        <w:t>—第</w:t>
      </w:r>
      <w:r>
        <w:rPr>
          <w:i/>
          <w:sz w:val="24"/>
        </w:rPr>
        <w:t>j</w:t>
      </w:r>
      <w:r>
        <w:rPr>
          <w:sz w:val="24"/>
        </w:rPr>
        <w:t>层土钉的倾角（°）；</w:t>
      </w:r>
    </w:p>
    <w:p>
      <w:pPr>
        <w:spacing w:line="360" w:lineRule="auto"/>
        <w:ind w:firstLine="960" w:firstLineChars="400"/>
        <w:rPr>
          <w:sz w:val="24"/>
        </w:rPr>
      </w:pPr>
      <w:r>
        <w:rPr>
          <w:i/>
          <w:sz w:val="24"/>
        </w:rPr>
        <w:t>ζ</w:t>
      </w:r>
      <w:r>
        <w:rPr>
          <w:sz w:val="24"/>
        </w:rPr>
        <w:t>—墙面倾斜时的主动土压力折减系数，可按本规程式5.8.2-3计算；</w:t>
      </w:r>
    </w:p>
    <w:p>
      <w:pPr>
        <w:spacing w:line="360" w:lineRule="auto"/>
        <w:ind w:firstLine="960" w:firstLineChars="400"/>
        <w:rPr>
          <w:sz w:val="24"/>
        </w:rPr>
      </w:pPr>
      <w:r>
        <w:rPr>
          <w:i/>
          <w:sz w:val="24"/>
        </w:rPr>
        <w:t>η</w:t>
      </w:r>
      <w:r>
        <w:rPr>
          <w:i/>
          <w:sz w:val="24"/>
          <w:vertAlign w:val="subscript"/>
        </w:rPr>
        <w:t>j</w:t>
      </w:r>
      <w:r>
        <w:rPr>
          <w:sz w:val="24"/>
        </w:rPr>
        <w:t>—第</w:t>
      </w:r>
      <w:r>
        <w:rPr>
          <w:i/>
          <w:sz w:val="24"/>
        </w:rPr>
        <w:t>j</w:t>
      </w:r>
      <w:r>
        <w:rPr>
          <w:sz w:val="24"/>
        </w:rPr>
        <w:t>层土钉轴向拉力调整系数，可按本规程式5.8.2-4计算；</w:t>
      </w:r>
    </w:p>
    <w:p>
      <w:pPr>
        <w:spacing w:line="360" w:lineRule="auto"/>
        <w:ind w:firstLine="720" w:firstLineChars="300"/>
        <w:rPr>
          <w:sz w:val="24"/>
        </w:rPr>
      </w:pPr>
      <w:r>
        <w:rPr>
          <w:i/>
          <w:sz w:val="24"/>
        </w:rPr>
        <w:t>p</w:t>
      </w:r>
      <w:r>
        <w:rPr>
          <w:i/>
          <w:sz w:val="24"/>
          <w:vertAlign w:val="subscript"/>
        </w:rPr>
        <w:t>ak,j</w:t>
      </w:r>
      <w:r>
        <w:rPr>
          <w:sz w:val="24"/>
        </w:rPr>
        <w:t>—第</w:t>
      </w:r>
      <w:r>
        <w:rPr>
          <w:i/>
          <w:sz w:val="24"/>
        </w:rPr>
        <w:t>j</w:t>
      </w:r>
      <w:r>
        <w:rPr>
          <w:sz w:val="24"/>
        </w:rPr>
        <w:t>层土钉处的主动土压力强度标准值（kPa)，应按本规程第5.</w:t>
      </w:r>
      <w:r>
        <w:rPr>
          <w:rFonts w:hint="eastAsia"/>
          <w:sz w:val="24"/>
        </w:rPr>
        <w:t>3</w:t>
      </w:r>
      <w:r>
        <w:rPr>
          <w:sz w:val="24"/>
        </w:rPr>
        <w:t>节的规定</w:t>
      </w:r>
    </w:p>
    <w:p>
      <w:pPr>
        <w:spacing w:line="360" w:lineRule="auto"/>
        <w:ind w:firstLine="720" w:firstLineChars="300"/>
        <w:rPr>
          <w:sz w:val="24"/>
        </w:rPr>
      </w:pPr>
      <w:r>
        <w:rPr>
          <w:sz w:val="24"/>
        </w:rPr>
        <w:t xml:space="preserve">     确定；</w:t>
      </w:r>
    </w:p>
    <w:p>
      <w:pPr>
        <w:spacing w:line="360" w:lineRule="auto"/>
        <w:ind w:firstLine="840" w:firstLineChars="350"/>
        <w:rPr>
          <w:sz w:val="24"/>
        </w:rPr>
      </w:pPr>
      <w:r>
        <w:rPr>
          <w:i/>
          <w:sz w:val="24"/>
        </w:rPr>
        <w:t>s</w:t>
      </w:r>
      <w:r>
        <w:rPr>
          <w:i/>
          <w:sz w:val="24"/>
          <w:vertAlign w:val="subscript"/>
        </w:rPr>
        <w:t>x,j</w:t>
      </w:r>
      <w:r>
        <w:rPr>
          <w:sz w:val="24"/>
        </w:rPr>
        <w:t>—土钉的水平间距（m）；</w:t>
      </w:r>
    </w:p>
    <w:p>
      <w:pPr>
        <w:spacing w:line="360" w:lineRule="auto"/>
        <w:ind w:firstLine="840" w:firstLineChars="350"/>
        <w:rPr>
          <w:sz w:val="24"/>
        </w:rPr>
      </w:pPr>
      <w:r>
        <w:rPr>
          <w:i/>
          <w:sz w:val="24"/>
        </w:rPr>
        <w:t>s</w:t>
      </w:r>
      <w:r>
        <w:rPr>
          <w:i/>
          <w:sz w:val="24"/>
          <w:vertAlign w:val="subscript"/>
        </w:rPr>
        <w:t>z,j</w:t>
      </w:r>
      <w:r>
        <w:rPr>
          <w:sz w:val="24"/>
        </w:rPr>
        <w:t>—土钉的垂直间距（m）。</w:t>
      </w:r>
    </w:p>
    <w:p>
      <w:pPr>
        <w:tabs>
          <w:tab w:val="left" w:pos="0"/>
        </w:tabs>
        <w:spacing w:line="360" w:lineRule="auto"/>
        <w:ind w:firstLine="480" w:firstLineChars="200"/>
        <w:rPr>
          <w:sz w:val="24"/>
        </w:rPr>
      </w:pPr>
      <w:r>
        <w:rPr>
          <w:sz w:val="24"/>
        </w:rPr>
        <w:t>5  坡面倾斜时的主动土压力折减系数可按下式计算：</w:t>
      </w:r>
    </w:p>
    <w:p>
      <w:pPr>
        <w:spacing w:line="360" w:lineRule="auto"/>
        <w:jc w:val="right"/>
      </w:pPr>
      <w:r>
        <w:rPr>
          <w:position w:val="-54"/>
          <w:sz w:val="24"/>
        </w:rPr>
        <w:object>
          <v:shape id="_x0000_i1098" o:spt="75" type="#_x0000_t75" style="height:45.95pt;width:250.85pt;" o:ole="t" filled="f" coordsize="21600,21600">
            <v:path/>
            <v:fill on="f" focussize="0,0"/>
            <v:stroke/>
            <v:imagedata r:id="rId184" o:title=""/>
            <o:lock v:ext="edit" aspectratio="t"/>
            <w10:wrap type="none"/>
            <w10:anchorlock/>
          </v:shape>
          <o:OLEObject Type="Embed" ProgID="Equation.DSMT4" ShapeID="_x0000_i1098" DrawAspect="Content" ObjectID="_1468075798" r:id="rId183">
            <o:LockedField>false</o:LockedField>
          </o:OLEObject>
        </w:object>
      </w:r>
      <w:r>
        <w:rPr>
          <w:sz w:val="24"/>
        </w:rPr>
        <w:t xml:space="preserve">    （5.8.2-3）</w:t>
      </w:r>
    </w:p>
    <w:p>
      <w:pPr>
        <w:spacing w:line="360" w:lineRule="auto"/>
        <w:jc w:val="left"/>
        <w:rPr>
          <w:sz w:val="24"/>
        </w:rPr>
      </w:pPr>
      <w:r>
        <w:rPr>
          <w:sz w:val="24"/>
        </w:rPr>
        <w:t>式中：</w:t>
      </w:r>
      <w:r>
        <w:rPr>
          <w:i/>
          <w:sz w:val="24"/>
        </w:rPr>
        <w:t>β</w:t>
      </w:r>
      <w:r>
        <w:rPr>
          <w:sz w:val="24"/>
        </w:rPr>
        <w:t>—土钉墙坡面与水平面夹角（°）；</w:t>
      </w:r>
    </w:p>
    <w:p>
      <w:pPr>
        <w:spacing w:line="360" w:lineRule="auto"/>
        <w:ind w:firstLine="600" w:firstLineChars="250"/>
        <w:rPr>
          <w:sz w:val="24"/>
        </w:rPr>
      </w:pPr>
      <w:r>
        <w:rPr>
          <w:i/>
          <w:sz w:val="24"/>
        </w:rPr>
        <w:t>φ</w:t>
      </w:r>
      <w:r>
        <w:rPr>
          <w:i/>
          <w:sz w:val="24"/>
          <w:vertAlign w:val="subscript"/>
        </w:rPr>
        <w:t>m</w:t>
      </w:r>
      <w:r>
        <w:rPr>
          <w:sz w:val="24"/>
        </w:rPr>
        <w:t>—基坑底面以上各土层按厚度加权的等效内摩擦角平均值（°）。</w:t>
      </w:r>
    </w:p>
    <w:p>
      <w:pPr>
        <w:tabs>
          <w:tab w:val="left" w:pos="0"/>
        </w:tabs>
        <w:spacing w:line="360" w:lineRule="auto"/>
        <w:ind w:firstLine="480" w:firstLineChars="200"/>
        <w:rPr>
          <w:sz w:val="24"/>
        </w:rPr>
      </w:pPr>
      <w:r>
        <w:rPr>
          <w:sz w:val="24"/>
        </w:rPr>
        <w:t>6  土钉轴向拉力调整系数可按下列公式计算：</w:t>
      </w:r>
    </w:p>
    <w:p>
      <w:pPr>
        <w:spacing w:line="360" w:lineRule="auto"/>
        <w:jc w:val="right"/>
        <w:rPr>
          <w:sz w:val="24"/>
        </w:rPr>
      </w:pPr>
      <w:r>
        <w:rPr>
          <w:position w:val="-24"/>
          <w:sz w:val="24"/>
        </w:rPr>
        <w:object>
          <v:shape id="_x0000_i1099" o:spt="75" type="#_x0000_t75" style="height:32.15pt;width:96.9pt;" o:ole="t" filled="f" coordsize="21600,21600">
            <v:path/>
            <v:fill on="f" focussize="0,0"/>
            <v:stroke/>
            <v:imagedata r:id="rId186" o:title=""/>
            <o:lock v:ext="edit" aspectratio="t"/>
            <w10:wrap type="none"/>
            <w10:anchorlock/>
          </v:shape>
          <o:OLEObject Type="Embed" ProgID="Equation.DSMT4" ShapeID="_x0000_i1099" DrawAspect="Content" ObjectID="_1468075799" r:id="rId185">
            <o:LockedField>false</o:LockedField>
          </o:OLEObject>
        </w:object>
      </w:r>
      <w:r>
        <w:rPr>
          <w:sz w:val="24"/>
        </w:rPr>
        <w:t xml:space="preserve">                 （5.8.2-4）</w:t>
      </w:r>
    </w:p>
    <w:p>
      <w:pPr>
        <w:spacing w:line="360" w:lineRule="auto"/>
        <w:jc w:val="right"/>
        <w:rPr>
          <w:sz w:val="24"/>
        </w:rPr>
      </w:pPr>
      <w:r>
        <w:rPr>
          <w:position w:val="-32"/>
          <w:sz w:val="24"/>
        </w:rPr>
        <w:object>
          <v:shape id="_x0000_i1100" o:spt="75" type="#_x0000_t75" style="height:37.55pt;width:109.55pt;" o:ole="t" filled="f" coordsize="21600,21600">
            <v:path/>
            <v:fill on="f" focussize="0,0"/>
            <v:stroke/>
            <v:imagedata r:id="rId188" o:title=""/>
            <o:lock v:ext="edit" aspectratio="t"/>
            <w10:wrap type="none"/>
            <w10:anchorlock/>
          </v:shape>
          <o:OLEObject Type="Embed" ProgID="Equation.DSMT4" ShapeID="_x0000_i1100" DrawAspect="Content" ObjectID="_1468075800" r:id="rId187">
            <o:LockedField>false</o:LockedField>
          </o:OLEObject>
        </w:object>
      </w:r>
      <w:r>
        <w:rPr>
          <w:sz w:val="24"/>
        </w:rPr>
        <w:t xml:space="preserve">                （5.8.2-5）</w:t>
      </w:r>
    </w:p>
    <w:p>
      <w:pPr>
        <w:spacing w:line="360" w:lineRule="auto"/>
        <w:rPr>
          <w:sz w:val="24"/>
        </w:rPr>
      </w:pPr>
      <w:r>
        <w:rPr>
          <w:sz w:val="24"/>
        </w:rPr>
        <w:t>式中：</w:t>
      </w:r>
      <w:r>
        <w:rPr>
          <w:i/>
          <w:sz w:val="24"/>
        </w:rPr>
        <w:t>z</w:t>
      </w:r>
      <w:r>
        <w:rPr>
          <w:i/>
          <w:sz w:val="24"/>
          <w:vertAlign w:val="subscript"/>
        </w:rPr>
        <w:t>j</w:t>
      </w:r>
      <w:r>
        <w:rPr>
          <w:sz w:val="24"/>
        </w:rPr>
        <w:t>—第j层土钉至基坑顶面的垂直距离（m）；</w:t>
      </w:r>
    </w:p>
    <w:p>
      <w:pPr>
        <w:spacing w:line="360" w:lineRule="auto"/>
        <w:ind w:firstLine="840" w:firstLineChars="350"/>
        <w:rPr>
          <w:sz w:val="24"/>
        </w:rPr>
      </w:pPr>
      <w:r>
        <w:rPr>
          <w:i/>
          <w:sz w:val="24"/>
        </w:rPr>
        <w:t>h</w:t>
      </w:r>
      <w:r>
        <w:rPr>
          <w:sz w:val="24"/>
        </w:rPr>
        <w:t>—基坑深度(m)；</w:t>
      </w:r>
    </w:p>
    <w:p>
      <w:pPr>
        <w:spacing w:line="360" w:lineRule="auto"/>
        <w:ind w:firstLine="600" w:firstLineChars="250"/>
        <w:jc w:val="left"/>
        <w:rPr>
          <w:sz w:val="24"/>
        </w:rPr>
      </w:pPr>
      <w:r>
        <w:rPr>
          <w:sz w:val="24"/>
        </w:rPr>
        <w:t>∆</w:t>
      </w:r>
      <w:r>
        <w:rPr>
          <w:i/>
          <w:sz w:val="24"/>
        </w:rPr>
        <w:t>E</w:t>
      </w:r>
      <w:r>
        <w:rPr>
          <w:i/>
          <w:sz w:val="24"/>
          <w:vertAlign w:val="subscript"/>
        </w:rPr>
        <w:t>aj</w:t>
      </w:r>
      <w:r>
        <w:rPr>
          <w:sz w:val="24"/>
        </w:rPr>
        <w:t>—作用在以</w:t>
      </w:r>
      <w:r>
        <w:rPr>
          <w:i/>
          <w:sz w:val="24"/>
        </w:rPr>
        <w:t>s</w:t>
      </w:r>
      <w:r>
        <w:rPr>
          <w:i/>
          <w:sz w:val="24"/>
          <w:vertAlign w:val="subscript"/>
        </w:rPr>
        <w:t>x,j</w:t>
      </w:r>
      <w:r>
        <w:rPr>
          <w:sz w:val="24"/>
        </w:rPr>
        <w:t>、</w:t>
      </w:r>
      <w:r>
        <w:rPr>
          <w:i/>
          <w:sz w:val="24"/>
        </w:rPr>
        <w:t>s</w:t>
      </w:r>
      <w:r>
        <w:rPr>
          <w:i/>
          <w:sz w:val="24"/>
          <w:vertAlign w:val="subscript"/>
        </w:rPr>
        <w:t>z,j</w:t>
      </w:r>
      <w:r>
        <w:rPr>
          <w:sz w:val="24"/>
        </w:rPr>
        <w:t>为边长的面积内的主动土压力标准值（kN)；</w:t>
      </w:r>
    </w:p>
    <w:p>
      <w:pPr>
        <w:spacing w:line="360" w:lineRule="auto"/>
        <w:ind w:firstLine="720" w:firstLineChars="300"/>
        <w:rPr>
          <w:sz w:val="24"/>
        </w:rPr>
      </w:pPr>
      <w:r>
        <w:rPr>
          <w:i/>
          <w:sz w:val="24"/>
        </w:rPr>
        <w:t>η</w:t>
      </w:r>
      <w:r>
        <w:rPr>
          <w:i/>
          <w:sz w:val="24"/>
          <w:vertAlign w:val="subscript"/>
        </w:rPr>
        <w:t>a</w:t>
      </w:r>
      <w:r>
        <w:rPr>
          <w:sz w:val="24"/>
        </w:rPr>
        <w:t>—计算系数；</w:t>
      </w:r>
    </w:p>
    <w:p>
      <w:pPr>
        <w:spacing w:line="360" w:lineRule="auto"/>
        <w:ind w:firstLine="720" w:firstLineChars="300"/>
        <w:rPr>
          <w:sz w:val="24"/>
        </w:rPr>
      </w:pPr>
      <w:r>
        <w:rPr>
          <w:i/>
          <w:sz w:val="24"/>
        </w:rPr>
        <w:t>η</w:t>
      </w:r>
      <w:r>
        <w:rPr>
          <w:i/>
          <w:sz w:val="24"/>
          <w:vertAlign w:val="subscript"/>
        </w:rPr>
        <w:t>b</w:t>
      </w:r>
      <w:r>
        <w:rPr>
          <w:sz w:val="24"/>
        </w:rPr>
        <w:t>—经验系数，可取0.6~1.0；</w:t>
      </w:r>
    </w:p>
    <w:p>
      <w:pPr>
        <w:spacing w:line="360" w:lineRule="auto"/>
        <w:ind w:firstLine="720" w:firstLineChars="300"/>
        <w:rPr>
          <w:sz w:val="24"/>
        </w:rPr>
      </w:pPr>
      <w:r>
        <w:rPr>
          <w:i/>
          <w:sz w:val="24"/>
        </w:rPr>
        <w:t>n</w:t>
      </w:r>
      <w:r>
        <w:rPr>
          <w:sz w:val="24"/>
        </w:rPr>
        <w:t>—土钉层数。</w:t>
      </w:r>
    </w:p>
    <w:p>
      <w:pPr>
        <w:tabs>
          <w:tab w:val="left" w:pos="0"/>
        </w:tabs>
        <w:spacing w:line="360" w:lineRule="auto"/>
        <w:ind w:firstLine="480" w:firstLineChars="200"/>
        <w:rPr>
          <w:sz w:val="24"/>
        </w:rPr>
      </w:pPr>
      <w:r>
        <w:rPr>
          <w:sz w:val="24"/>
        </w:rPr>
        <w:t>7  单根土钉的极限抗拔承载力应按下列规定确定：</w:t>
      </w:r>
    </w:p>
    <w:p>
      <w:pPr>
        <w:tabs>
          <w:tab w:val="left" w:pos="-142"/>
          <w:tab w:val="left" w:pos="420"/>
          <w:tab w:val="left" w:pos="8080"/>
        </w:tabs>
        <w:spacing w:line="360" w:lineRule="auto"/>
        <w:ind w:left="1095" w:leftChars="350" w:hanging="360" w:hangingChars="150"/>
        <w:rPr>
          <w:sz w:val="24"/>
        </w:rPr>
      </w:pPr>
      <w:r>
        <w:rPr>
          <w:sz w:val="24"/>
        </w:rPr>
        <w:t>1）单根土钉的极限抗拔承载力应通过抗拔试验确定，试验方法应符合</w:t>
      </w:r>
      <w:r>
        <w:rPr>
          <w:rFonts w:hint="eastAsia"/>
          <w:sz w:val="24"/>
        </w:rPr>
        <w:t>本规程附录E</w:t>
      </w:r>
      <w:r>
        <w:rPr>
          <w:sz w:val="24"/>
        </w:rPr>
        <w:t>的规定；</w:t>
      </w:r>
    </w:p>
    <w:p>
      <w:pPr>
        <w:tabs>
          <w:tab w:val="left" w:pos="0"/>
          <w:tab w:val="left" w:pos="420"/>
        </w:tabs>
        <w:spacing w:line="360" w:lineRule="auto"/>
        <w:ind w:left="1095" w:leftChars="350" w:hanging="360" w:hangingChars="150"/>
        <w:rPr>
          <w:sz w:val="24"/>
        </w:rPr>
      </w:pPr>
      <w:r>
        <w:rPr>
          <w:color w:val="000000"/>
          <w:sz w:val="24"/>
        </w:rPr>
        <w:t>2）对安全等级为</w:t>
      </w:r>
      <w:r>
        <w:rPr>
          <w:rFonts w:hint="eastAsia"/>
          <w:color w:val="000000"/>
          <w:sz w:val="24"/>
        </w:rPr>
        <w:t>二</w:t>
      </w:r>
      <w:r>
        <w:rPr>
          <w:color w:val="000000"/>
          <w:sz w:val="24"/>
        </w:rPr>
        <w:t>级的土钉墙，</w:t>
      </w:r>
      <w:r>
        <w:rPr>
          <w:sz w:val="24"/>
        </w:rPr>
        <w:t>单根土钉的极限抗拔承载力标准值可按下式估算，但应通过本规程附录</w:t>
      </w:r>
      <w:r>
        <w:rPr>
          <w:rFonts w:hint="eastAsia"/>
          <w:sz w:val="24"/>
        </w:rPr>
        <w:t>E</w:t>
      </w:r>
      <w:r>
        <w:rPr>
          <w:sz w:val="24"/>
        </w:rPr>
        <w:t>规定的土钉抗拔试验进行验证：</w:t>
      </w:r>
    </w:p>
    <w:p>
      <w:pPr>
        <w:spacing w:line="360" w:lineRule="auto"/>
        <w:jc w:val="right"/>
        <w:rPr>
          <w:color w:val="FF0000"/>
          <w:sz w:val="24"/>
        </w:rPr>
      </w:pPr>
      <w:r>
        <w:rPr>
          <w:color w:val="FF0000"/>
          <w:position w:val="-14"/>
          <w:sz w:val="24"/>
        </w:rPr>
        <w:t xml:space="preserve">       </w:t>
      </w:r>
      <w:r>
        <w:rPr>
          <w:position w:val="-14"/>
          <w:sz w:val="24"/>
        </w:rPr>
        <w:object>
          <v:shape id="_x0000_i1101" o:spt="75" type="#_x0000_t75" style="height:19.9pt;width:89.25pt;" o:ole="t" filled="f" coordsize="21600,21600">
            <v:path/>
            <v:fill on="f" focussize="0,0"/>
            <v:stroke/>
            <v:imagedata r:id="rId190" o:title=""/>
            <o:lock v:ext="edit" aspectratio="t"/>
            <w10:wrap type="none"/>
            <w10:anchorlock/>
          </v:shape>
          <o:OLEObject Type="Embed" ProgID="Equation.DSMT4" ShapeID="_x0000_i1101" DrawAspect="Content" ObjectID="_1468075801" r:id="rId189">
            <o:LockedField>false</o:LockedField>
          </o:OLEObject>
        </w:object>
      </w:r>
      <w:r>
        <w:rPr>
          <w:sz w:val="24"/>
        </w:rPr>
        <w:t xml:space="preserve">               （5.8.2-6）</w:t>
      </w:r>
    </w:p>
    <w:p>
      <w:pPr>
        <w:spacing w:line="360" w:lineRule="auto"/>
        <w:ind w:left="1200" w:hanging="1200" w:hangingChars="500"/>
        <w:rPr>
          <w:sz w:val="24"/>
        </w:rPr>
      </w:pPr>
      <w:r>
        <w:rPr>
          <w:sz w:val="24"/>
        </w:rPr>
        <w:t>式中：</w:t>
      </w:r>
      <w:r>
        <w:rPr>
          <w:i/>
          <w:sz w:val="24"/>
        </w:rPr>
        <w:t>d</w:t>
      </w:r>
      <w:r>
        <w:rPr>
          <w:i/>
          <w:sz w:val="24"/>
          <w:vertAlign w:val="subscript"/>
        </w:rPr>
        <w:t>j</w:t>
      </w:r>
      <w:r>
        <w:rPr>
          <w:sz w:val="24"/>
        </w:rPr>
        <w:t>—第</w:t>
      </w:r>
      <w:r>
        <w:rPr>
          <w:i/>
          <w:sz w:val="24"/>
        </w:rPr>
        <w:t>j</w:t>
      </w:r>
      <w:r>
        <w:rPr>
          <w:sz w:val="24"/>
        </w:rPr>
        <w:t>层土钉的锚固体直径（m）；对成孔注浆土钉，按成孔直径计算，对打入钢管土钉，按钢管直径计算；</w:t>
      </w:r>
    </w:p>
    <w:p>
      <w:pPr>
        <w:spacing w:line="360" w:lineRule="auto"/>
        <w:ind w:left="1125" w:leftChars="250" w:hanging="600" w:hangingChars="250"/>
        <w:rPr>
          <w:sz w:val="24"/>
        </w:rPr>
      </w:pPr>
      <w:r>
        <w:rPr>
          <w:i/>
          <w:sz w:val="24"/>
        </w:rPr>
        <w:t>q</w:t>
      </w:r>
      <w:r>
        <w:rPr>
          <w:i/>
          <w:sz w:val="24"/>
          <w:vertAlign w:val="subscript"/>
        </w:rPr>
        <w:t>sk,i</w:t>
      </w:r>
      <w:r>
        <w:rPr>
          <w:sz w:val="24"/>
        </w:rPr>
        <w:t>—第</w:t>
      </w:r>
      <w:r>
        <w:rPr>
          <w:i/>
          <w:sz w:val="24"/>
        </w:rPr>
        <w:t>j</w:t>
      </w:r>
      <w:r>
        <w:rPr>
          <w:sz w:val="24"/>
        </w:rPr>
        <w:t>层土钉与第</w:t>
      </w:r>
      <w:r>
        <w:rPr>
          <w:i/>
          <w:sz w:val="24"/>
        </w:rPr>
        <w:t>i</w:t>
      </w:r>
      <w:r>
        <w:rPr>
          <w:sz w:val="24"/>
        </w:rPr>
        <w:t>层土层的极限黏结强度标准值（kPa）；应根据工程经验并结合</w:t>
      </w:r>
      <w:r>
        <w:rPr>
          <w:rFonts w:hint="eastAsia"/>
          <w:sz w:val="24"/>
        </w:rPr>
        <w:t>附录B</w:t>
      </w:r>
      <w:r>
        <w:rPr>
          <w:sz w:val="24"/>
        </w:rPr>
        <w:t>取值；</w:t>
      </w:r>
    </w:p>
    <w:p>
      <w:pPr>
        <w:spacing w:line="360" w:lineRule="auto"/>
        <w:ind w:left="1125" w:leftChars="250" w:hanging="600" w:hangingChars="250"/>
        <w:rPr>
          <w:sz w:val="24"/>
        </w:rPr>
      </w:pPr>
      <w:r>
        <w:rPr>
          <w:i/>
          <w:sz w:val="24"/>
        </w:rPr>
        <w:t>l</w:t>
      </w:r>
      <w:r>
        <w:rPr>
          <w:i/>
          <w:sz w:val="24"/>
          <w:vertAlign w:val="subscript"/>
        </w:rPr>
        <w:t>i</w:t>
      </w:r>
      <w:r>
        <w:rPr>
          <w:sz w:val="24"/>
        </w:rPr>
        <w:t>—第</w:t>
      </w:r>
      <w:r>
        <w:rPr>
          <w:i/>
          <w:sz w:val="24"/>
        </w:rPr>
        <w:t>j</w:t>
      </w:r>
      <w:r>
        <w:rPr>
          <w:sz w:val="24"/>
        </w:rPr>
        <w:t>层土钉滑动面以外的部分在第</w:t>
      </w:r>
      <w:r>
        <w:rPr>
          <w:i/>
          <w:sz w:val="24"/>
        </w:rPr>
        <w:t>i</w:t>
      </w:r>
      <w:r>
        <w:rPr>
          <w:sz w:val="24"/>
        </w:rPr>
        <w:t>土层中的长度（m），直线滑动面与水平滑动面的夹角取</w:t>
      </w:r>
      <w:r>
        <w:rPr>
          <w:position w:val="-24"/>
          <w:sz w:val="24"/>
        </w:rPr>
        <w:object>
          <v:shape id="_x0000_i1102" o:spt="75" type="#_x0000_t75" style="height:30.65pt;width:37.55pt;" o:ole="t" filled="f" coordsize="21600,21600">
            <v:path/>
            <v:fill on="f" focussize="0,0"/>
            <v:stroke/>
            <v:imagedata r:id="rId192" o:title=""/>
            <o:lock v:ext="edit" aspectratio="t"/>
            <w10:wrap type="none"/>
            <w10:anchorlock/>
          </v:shape>
          <o:OLEObject Type="Embed" ProgID="Equation.3" ShapeID="_x0000_i1102" DrawAspect="Content" ObjectID="_1468075802" r:id="rId191">
            <o:LockedField>false</o:LockedField>
          </o:OLEObject>
        </w:object>
      </w:r>
      <w:r>
        <w:rPr>
          <w:sz w:val="24"/>
        </w:rPr>
        <w:t>。</w:t>
      </w:r>
    </w:p>
    <w:p>
      <w:pPr>
        <w:spacing w:line="360" w:lineRule="auto"/>
        <w:ind w:left="1050" w:leftChars="250" w:hanging="525" w:hangingChars="250"/>
        <w:jc w:val="center"/>
      </w:pPr>
      <w:r>
        <w:drawing>
          <wp:inline distT="0" distB="0" distL="0" distR="0">
            <wp:extent cx="3571875" cy="1847850"/>
            <wp:effectExtent l="0" t="0" r="9525" b="0"/>
            <wp:docPr id="36" name="图片 36"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a:xfrm>
                      <a:off x="0" y="0"/>
                      <a:ext cx="3571875" cy="1847850"/>
                    </a:xfrm>
                    <a:prstGeom prst="rect">
                      <a:avLst/>
                    </a:prstGeom>
                    <a:noFill/>
                    <a:ln>
                      <a:noFill/>
                    </a:ln>
                  </pic:spPr>
                </pic:pic>
              </a:graphicData>
            </a:graphic>
          </wp:inline>
        </w:drawing>
      </w:r>
    </w:p>
    <w:p>
      <w:pPr>
        <w:jc w:val="center"/>
        <w:rPr>
          <w:b/>
          <w:sz w:val="24"/>
        </w:rPr>
      </w:pPr>
      <w:r>
        <w:rPr>
          <w:b/>
          <w:sz w:val="24"/>
        </w:rPr>
        <w:t>图5.8.2-3  土钉抗拔承载力计算</w:t>
      </w:r>
    </w:p>
    <w:p>
      <w:pPr>
        <w:pStyle w:val="79"/>
        <w:widowControl/>
        <w:tabs>
          <w:tab w:val="left" w:pos="2602"/>
          <w:tab w:val="center" w:pos="4393"/>
        </w:tabs>
        <w:ind w:firstLine="0" w:firstLineChars="0"/>
        <w:jc w:val="center"/>
        <w:rPr>
          <w:rFonts w:ascii="Times New Roman" w:hAnsi="Times New Roman"/>
          <w:szCs w:val="21"/>
        </w:rPr>
      </w:pPr>
      <w:r>
        <w:rPr>
          <w:rFonts w:ascii="Times New Roman" w:hAnsi="Times New Roman"/>
          <w:szCs w:val="21"/>
        </w:rPr>
        <w:t>1—土钉；2—喷射混凝土面层</w:t>
      </w:r>
      <w:r>
        <w:rPr>
          <w:rFonts w:hint="eastAsia" w:ascii="Times New Roman" w:hAnsi="Times New Roman"/>
          <w:szCs w:val="21"/>
        </w:rPr>
        <w:t>；3</w:t>
      </w:r>
      <w:r>
        <w:rPr>
          <w:rFonts w:ascii="Times New Roman" w:hAnsi="Times New Roman"/>
          <w:szCs w:val="21"/>
        </w:rPr>
        <w:t>—</w:t>
      </w:r>
      <w:r>
        <w:rPr>
          <w:rFonts w:hint="eastAsia" w:ascii="Times New Roman" w:hAnsi="Times New Roman"/>
          <w:szCs w:val="21"/>
        </w:rPr>
        <w:t>滑动面</w:t>
      </w:r>
    </w:p>
    <w:p>
      <w:pPr>
        <w:tabs>
          <w:tab w:val="left" w:pos="-142"/>
          <w:tab w:val="left" w:pos="420"/>
        </w:tabs>
        <w:spacing w:line="360" w:lineRule="auto"/>
        <w:ind w:left="1095" w:leftChars="350" w:hanging="360" w:hangingChars="150"/>
        <w:rPr>
          <w:sz w:val="24"/>
        </w:rPr>
      </w:pPr>
      <w:r>
        <w:rPr>
          <w:sz w:val="24"/>
        </w:rPr>
        <w:t>3）对安全等级为三级的土钉墙，可按式5.8.2-6确定单根土钉的极限抗拔承载   力；</w:t>
      </w:r>
    </w:p>
    <w:p>
      <w:pPr>
        <w:spacing w:line="360" w:lineRule="auto"/>
        <w:ind w:left="1095" w:leftChars="350" w:hanging="360" w:hangingChars="150"/>
        <w:rPr>
          <w:sz w:val="24"/>
        </w:rPr>
      </w:pPr>
      <w:r>
        <w:rPr>
          <w:sz w:val="24"/>
        </w:rPr>
        <w:t>4）当按本条第1</w:t>
      </w:r>
      <w:r>
        <w:rPr>
          <w:rFonts w:hint="eastAsia"/>
          <w:sz w:val="24"/>
        </w:rPr>
        <w:t>款</w:t>
      </w:r>
      <w:r>
        <w:rPr>
          <w:sz w:val="24"/>
        </w:rPr>
        <w:t>～第3款确定的土钉极限抗拔承载力标准值大于</w:t>
      </w:r>
      <w:r>
        <w:rPr>
          <w:i/>
          <w:sz w:val="24"/>
        </w:rPr>
        <w:t>f</w:t>
      </w:r>
      <w:r>
        <w:rPr>
          <w:i/>
          <w:sz w:val="24"/>
          <w:vertAlign w:val="subscript"/>
        </w:rPr>
        <w:t xml:space="preserve">yk </w:t>
      </w:r>
      <w:r>
        <w:rPr>
          <w:i/>
          <w:sz w:val="24"/>
        </w:rPr>
        <w:t>A</w:t>
      </w:r>
      <w:r>
        <w:rPr>
          <w:i/>
          <w:sz w:val="24"/>
          <w:vertAlign w:val="subscript"/>
        </w:rPr>
        <w:t>s</w:t>
      </w:r>
      <w:r>
        <w:rPr>
          <w:sz w:val="24"/>
        </w:rPr>
        <w:t>时，应取</w:t>
      </w:r>
      <w:r>
        <w:rPr>
          <w:i/>
          <w:sz w:val="24"/>
        </w:rPr>
        <w:t>R</w:t>
      </w:r>
      <w:r>
        <w:rPr>
          <w:i/>
          <w:sz w:val="24"/>
          <w:vertAlign w:val="subscript"/>
        </w:rPr>
        <w:t>k,j</w:t>
      </w:r>
      <w:r>
        <w:rPr>
          <w:sz w:val="24"/>
        </w:rPr>
        <w:t>＝</w:t>
      </w:r>
      <w:r>
        <w:rPr>
          <w:i/>
          <w:sz w:val="24"/>
        </w:rPr>
        <w:t>f</w:t>
      </w:r>
      <w:r>
        <w:rPr>
          <w:i/>
          <w:sz w:val="24"/>
          <w:vertAlign w:val="subscript"/>
        </w:rPr>
        <w:t xml:space="preserve">yk </w:t>
      </w:r>
      <w:r>
        <w:rPr>
          <w:i/>
          <w:sz w:val="24"/>
        </w:rPr>
        <w:t>A</w:t>
      </w:r>
      <w:r>
        <w:rPr>
          <w:i/>
          <w:sz w:val="24"/>
          <w:vertAlign w:val="subscript"/>
        </w:rPr>
        <w:t>s</w:t>
      </w:r>
      <w:r>
        <w:rPr>
          <w:sz w:val="24"/>
          <w:vertAlign w:val="subscript"/>
        </w:rPr>
        <w:t xml:space="preserve"> </w:t>
      </w:r>
      <w:r>
        <w:rPr>
          <w:sz w:val="24"/>
        </w:rPr>
        <w:t>。</w:t>
      </w:r>
    </w:p>
    <w:p>
      <w:pPr>
        <w:pStyle w:val="79"/>
        <w:widowControl/>
        <w:tabs>
          <w:tab w:val="left" w:pos="0"/>
        </w:tabs>
        <w:spacing w:line="360" w:lineRule="auto"/>
        <w:ind w:firstLine="480"/>
        <w:rPr>
          <w:rFonts w:ascii="Times New Roman" w:hAnsi="Times New Roman"/>
          <w:sz w:val="24"/>
        </w:rPr>
      </w:pPr>
      <w:r>
        <w:rPr>
          <w:rFonts w:ascii="Times New Roman" w:hAnsi="Times New Roman"/>
          <w:sz w:val="24"/>
        </w:rPr>
        <w:t>8  土钉杆体的受拉承载力应符合下列规定：</w:t>
      </w:r>
    </w:p>
    <w:p>
      <w:pPr>
        <w:pStyle w:val="79"/>
        <w:widowControl/>
        <w:spacing w:line="360" w:lineRule="auto"/>
        <w:ind w:left="360" w:firstLine="0" w:firstLineChars="0"/>
        <w:jc w:val="right"/>
        <w:rPr>
          <w:rFonts w:ascii="Times New Roman" w:hAnsi="Times New Roman"/>
          <w:color w:val="000000"/>
          <w:sz w:val="24"/>
        </w:rPr>
      </w:pPr>
      <w:r>
        <w:rPr>
          <w:rFonts w:ascii="Times New Roman" w:hAnsi="Times New Roman"/>
          <w:color w:val="FF0000"/>
          <w:position w:val="-14"/>
          <w:sz w:val="24"/>
        </w:rPr>
        <w:t xml:space="preserve"> </w:t>
      </w:r>
      <w:r>
        <w:rPr>
          <w:rFonts w:ascii="Times New Roman" w:hAnsi="Times New Roman"/>
          <w:position w:val="-10"/>
          <w:sz w:val="24"/>
        </w:rPr>
        <w:object>
          <v:shape id="_x0000_i1103" o:spt="75" type="#_x0000_t75" style="height:16.45pt;width:42.9pt;" o:ole="t" filled="f" coordsize="21600,21600">
            <v:path/>
            <v:fill on="f" focussize="0,0"/>
            <v:stroke/>
            <v:imagedata r:id="rId195" o:title=""/>
            <o:lock v:ext="edit" aspectratio="t"/>
            <w10:wrap type="none"/>
            <w10:anchorlock/>
          </v:shape>
          <o:OLEObject Type="Embed" ProgID="Equation.DSMT4" ShapeID="_x0000_i1103" DrawAspect="Content" ObjectID="_1468075803" r:id="rId194">
            <o:LockedField>false</o:LockedField>
          </o:OLEObject>
        </w:object>
      </w:r>
      <w:r>
        <w:rPr>
          <w:rFonts w:ascii="Times New Roman" w:hAnsi="Times New Roman"/>
          <w:sz w:val="24"/>
        </w:rPr>
        <w:t xml:space="preserve">                     （5.8.2-7）</w:t>
      </w:r>
    </w:p>
    <w:p>
      <w:pPr>
        <w:pStyle w:val="79"/>
        <w:widowControl/>
        <w:spacing w:line="360" w:lineRule="auto"/>
        <w:ind w:firstLine="0" w:firstLineChars="0"/>
        <w:jc w:val="left"/>
        <w:rPr>
          <w:rFonts w:ascii="Times New Roman" w:hAnsi="Times New Roman"/>
          <w:sz w:val="24"/>
        </w:rPr>
      </w:pPr>
      <w:r>
        <w:rPr>
          <w:rFonts w:ascii="Times New Roman" w:hAnsi="Times New Roman"/>
          <w:sz w:val="24"/>
        </w:rPr>
        <w:t>式中：</w:t>
      </w:r>
      <w:r>
        <w:rPr>
          <w:rFonts w:ascii="Times New Roman" w:hAnsi="Times New Roman"/>
          <w:i/>
          <w:sz w:val="24"/>
        </w:rPr>
        <w:t xml:space="preserve"> N</w:t>
      </w:r>
      <w:r>
        <w:rPr>
          <w:rFonts w:ascii="Times New Roman" w:hAnsi="Times New Roman"/>
          <w:i/>
          <w:sz w:val="24"/>
          <w:vertAlign w:val="subscript"/>
        </w:rPr>
        <w:t>j</w:t>
      </w:r>
      <w:r>
        <w:rPr>
          <w:rFonts w:ascii="Times New Roman" w:hAnsi="Times New Roman"/>
          <w:sz w:val="24"/>
        </w:rPr>
        <w:t>—第</w:t>
      </w:r>
      <w:r>
        <w:rPr>
          <w:rFonts w:ascii="Times New Roman" w:hAnsi="Times New Roman"/>
          <w:i/>
          <w:sz w:val="24"/>
        </w:rPr>
        <w:t>j</w:t>
      </w:r>
      <w:r>
        <w:rPr>
          <w:rFonts w:ascii="Times New Roman" w:hAnsi="Times New Roman"/>
          <w:sz w:val="24"/>
        </w:rPr>
        <w:t>层土钉的轴向拉力设计值（kN），按本规程第3.2</w:t>
      </w:r>
      <w:r>
        <w:rPr>
          <w:rFonts w:hint="eastAsia" w:ascii="Times New Roman" w:hAnsi="Times New Roman"/>
          <w:sz w:val="24"/>
        </w:rPr>
        <w:t>.6条</w:t>
      </w:r>
      <w:r>
        <w:rPr>
          <w:rFonts w:ascii="Times New Roman" w:hAnsi="Times New Roman"/>
          <w:sz w:val="24"/>
        </w:rPr>
        <w:t>的规定计算；</w:t>
      </w:r>
    </w:p>
    <w:p>
      <w:pPr>
        <w:pStyle w:val="79"/>
        <w:widowControl/>
        <w:spacing w:line="360" w:lineRule="auto"/>
        <w:ind w:firstLine="840" w:firstLineChars="350"/>
        <w:jc w:val="left"/>
        <w:rPr>
          <w:rFonts w:ascii="Times New Roman" w:hAnsi="Times New Roman"/>
          <w:sz w:val="24"/>
        </w:rPr>
      </w:pPr>
      <w:r>
        <w:rPr>
          <w:rFonts w:ascii="Times New Roman" w:hAnsi="Times New Roman"/>
          <w:i/>
          <w:sz w:val="24"/>
        </w:rPr>
        <w:t>f</w:t>
      </w:r>
      <w:r>
        <w:rPr>
          <w:rFonts w:ascii="Times New Roman" w:hAnsi="Times New Roman"/>
          <w:i/>
          <w:sz w:val="24"/>
          <w:vertAlign w:val="subscript"/>
        </w:rPr>
        <w:t>y</w:t>
      </w:r>
      <w:r>
        <w:rPr>
          <w:rFonts w:ascii="Times New Roman" w:hAnsi="Times New Roman"/>
          <w:sz w:val="24"/>
        </w:rPr>
        <w:t>—土钉杆体的抗拉强度设计值（kPa）；</w:t>
      </w:r>
    </w:p>
    <w:p>
      <w:pPr>
        <w:pStyle w:val="79"/>
        <w:widowControl/>
        <w:spacing w:line="360" w:lineRule="auto"/>
        <w:ind w:firstLine="840" w:firstLineChars="350"/>
        <w:jc w:val="left"/>
        <w:rPr>
          <w:rFonts w:ascii="Times New Roman" w:hAnsi="Times New Roman"/>
          <w:sz w:val="24"/>
        </w:rPr>
      </w:pPr>
      <w:r>
        <w:rPr>
          <w:rFonts w:ascii="Times New Roman" w:hAnsi="Times New Roman"/>
          <w:i/>
          <w:sz w:val="24"/>
        </w:rPr>
        <w:t>A</w:t>
      </w:r>
      <w:r>
        <w:rPr>
          <w:rFonts w:ascii="Times New Roman" w:hAnsi="Times New Roman"/>
          <w:i/>
          <w:sz w:val="24"/>
          <w:vertAlign w:val="subscript"/>
        </w:rPr>
        <w:t>s</w:t>
      </w:r>
      <w:r>
        <w:rPr>
          <w:rFonts w:ascii="Times New Roman" w:hAnsi="Times New Roman"/>
          <w:sz w:val="24"/>
        </w:rPr>
        <w:t>—土钉杆体的截面面积（m</w:t>
      </w:r>
      <w:r>
        <w:rPr>
          <w:rFonts w:ascii="Times New Roman" w:hAnsi="Times New Roman"/>
          <w:sz w:val="24"/>
          <w:vertAlign w:val="superscript"/>
        </w:rPr>
        <w:t>2</w:t>
      </w:r>
      <w:r>
        <w:rPr>
          <w:rFonts w:ascii="Times New Roman" w:hAnsi="Times New Roman"/>
          <w:sz w:val="24"/>
        </w:rPr>
        <w:t>）。</w:t>
      </w:r>
    </w:p>
    <w:p>
      <w:pPr>
        <w:tabs>
          <w:tab w:val="left" w:pos="0"/>
        </w:tabs>
        <w:spacing w:line="360" w:lineRule="auto"/>
        <w:rPr>
          <w:sz w:val="24"/>
        </w:rPr>
      </w:pPr>
      <w:r>
        <w:rPr>
          <w:b/>
          <w:sz w:val="24"/>
        </w:rPr>
        <w:t xml:space="preserve">5.8.3  </w:t>
      </w:r>
      <w:r>
        <w:rPr>
          <w:sz w:val="24"/>
        </w:rPr>
        <w:t>土钉墙支护结构的构造要求</w:t>
      </w:r>
      <w:r>
        <w:rPr>
          <w:rFonts w:hint="eastAsia"/>
          <w:sz w:val="24"/>
        </w:rPr>
        <w:t>：</w:t>
      </w:r>
    </w:p>
    <w:p>
      <w:pPr>
        <w:pStyle w:val="79"/>
        <w:widowControl/>
        <w:tabs>
          <w:tab w:val="left" w:pos="310"/>
        </w:tabs>
        <w:spacing w:line="360" w:lineRule="auto"/>
        <w:ind w:firstLine="480"/>
        <w:rPr>
          <w:rFonts w:ascii="Times New Roman" w:hAnsi="Times New Roman"/>
          <w:sz w:val="24"/>
        </w:rPr>
      </w:pPr>
      <w:r>
        <w:rPr>
          <w:rFonts w:ascii="Times New Roman" w:hAnsi="Times New Roman"/>
          <w:sz w:val="24"/>
        </w:rPr>
        <w:t>1  土钉墙、预应力锚杆复合土钉墙的坡度不宜大于 1:0.3；对砂土、碎石土、松散填土，确定土钉墙坡度时尚应考虑开挖时坡面的局部自稳能力</w:t>
      </w:r>
      <w:r>
        <w:rPr>
          <w:rFonts w:hint="eastAsia" w:ascii="Times New Roman" w:hAnsi="Times New Roman"/>
          <w:sz w:val="24"/>
        </w:rPr>
        <w:t>；</w:t>
      </w:r>
      <w:r>
        <w:rPr>
          <w:rFonts w:ascii="Times New Roman" w:hAnsi="Times New Roman"/>
          <w:sz w:val="24"/>
        </w:rPr>
        <w:t>微型桩、水泥土桩复合土钉墙，应采用微型桩、水泥土桩与土钉墙面层贴合的垂直墙面</w:t>
      </w:r>
      <w:r>
        <w:rPr>
          <w:rFonts w:hint="eastAsia" w:ascii="Times New Roman" w:hAnsi="Times New Roman"/>
          <w:sz w:val="24"/>
        </w:rPr>
        <w:t>；</w:t>
      </w:r>
    </w:p>
    <w:p>
      <w:pPr>
        <w:tabs>
          <w:tab w:val="left" w:pos="310"/>
        </w:tabs>
        <w:spacing w:line="360" w:lineRule="auto"/>
        <w:ind w:firstLine="480" w:firstLineChars="200"/>
        <w:rPr>
          <w:sz w:val="24"/>
        </w:rPr>
      </w:pPr>
      <w:r>
        <w:rPr>
          <w:sz w:val="24"/>
        </w:rPr>
        <w:t>2  对洛阳铲成孔或钢管土钉打入困难的土层，宜采用机械成孔的钢筋土钉</w:t>
      </w:r>
      <w:r>
        <w:rPr>
          <w:rFonts w:hint="eastAsia"/>
          <w:sz w:val="24"/>
        </w:rPr>
        <w:t>；</w:t>
      </w:r>
    </w:p>
    <w:p>
      <w:pPr>
        <w:tabs>
          <w:tab w:val="left" w:pos="310"/>
        </w:tabs>
        <w:spacing w:line="360" w:lineRule="auto"/>
        <w:ind w:firstLine="480" w:firstLineChars="200"/>
        <w:rPr>
          <w:sz w:val="24"/>
        </w:rPr>
      </w:pPr>
      <w:r>
        <w:rPr>
          <w:sz w:val="24"/>
        </w:rPr>
        <w:t>3  土钉水平间距和竖向间距宜为 1m～2m；土钉倾角宜为 10°～20°，其夹角应根据</w:t>
      </w:r>
      <w:r>
        <w:rPr>
          <w:rFonts w:hint="eastAsia"/>
          <w:sz w:val="24"/>
        </w:rPr>
        <w:t>地层条件</w:t>
      </w:r>
      <w:r>
        <w:rPr>
          <w:sz w:val="24"/>
        </w:rPr>
        <w:t>和施工</w:t>
      </w:r>
      <w:r>
        <w:rPr>
          <w:rFonts w:hint="eastAsia"/>
          <w:sz w:val="24"/>
        </w:rPr>
        <w:t>工艺</w:t>
      </w:r>
      <w:r>
        <w:rPr>
          <w:sz w:val="24"/>
        </w:rPr>
        <w:t>确定</w:t>
      </w:r>
      <w:r>
        <w:rPr>
          <w:rFonts w:hint="eastAsia"/>
          <w:sz w:val="24"/>
        </w:rPr>
        <w:t>；</w:t>
      </w:r>
      <w:r>
        <w:rPr>
          <w:sz w:val="24"/>
        </w:rPr>
        <w:t>土钉长度应按各层土钉受力均匀、各土钉拉力与相应土钉极限承载力的比值近于相等的原则确定</w:t>
      </w:r>
      <w:r>
        <w:rPr>
          <w:rFonts w:hint="eastAsia"/>
          <w:sz w:val="24"/>
        </w:rPr>
        <w:t>；</w:t>
      </w:r>
    </w:p>
    <w:p>
      <w:pPr>
        <w:tabs>
          <w:tab w:val="left" w:pos="310"/>
        </w:tabs>
        <w:spacing w:line="360" w:lineRule="auto"/>
        <w:ind w:left="400"/>
        <w:rPr>
          <w:sz w:val="24"/>
        </w:rPr>
      </w:pPr>
      <w:r>
        <w:rPr>
          <w:sz w:val="24"/>
        </w:rPr>
        <w:t>4  成孔注浆型钢筋土钉的构造应符合下列要求：</w:t>
      </w:r>
    </w:p>
    <w:p>
      <w:pPr>
        <w:tabs>
          <w:tab w:val="left" w:pos="-142"/>
          <w:tab w:val="left" w:pos="420"/>
        </w:tabs>
        <w:spacing w:line="360" w:lineRule="auto"/>
        <w:ind w:left="1095" w:leftChars="350" w:hanging="360" w:hangingChars="150"/>
        <w:rPr>
          <w:sz w:val="24"/>
        </w:rPr>
      </w:pPr>
      <w:r>
        <w:rPr>
          <w:sz w:val="24"/>
        </w:rPr>
        <w:t xml:space="preserve">1）成孔直径宜取 </w:t>
      </w:r>
      <w:r>
        <w:rPr>
          <w:rFonts w:hint="eastAsia"/>
          <w:sz w:val="24"/>
        </w:rPr>
        <w:t>8</w:t>
      </w:r>
      <w:r>
        <w:rPr>
          <w:sz w:val="24"/>
        </w:rPr>
        <w:t>0mm～120mm；</w:t>
      </w:r>
    </w:p>
    <w:p>
      <w:pPr>
        <w:tabs>
          <w:tab w:val="left" w:pos="-142"/>
          <w:tab w:val="left" w:pos="420"/>
        </w:tabs>
        <w:spacing w:line="360" w:lineRule="auto"/>
        <w:ind w:left="1095" w:leftChars="350" w:hanging="360" w:hangingChars="150"/>
        <w:rPr>
          <w:sz w:val="24"/>
        </w:rPr>
      </w:pPr>
      <w:r>
        <w:rPr>
          <w:sz w:val="24"/>
        </w:rPr>
        <w:t>2）土钉钢筋宜采用HRB400、HRB500钢筋，钢筋直径应根据土钉抗拔承载力设计要求确定，且宜取16mm～32mm；</w:t>
      </w:r>
    </w:p>
    <w:p>
      <w:pPr>
        <w:tabs>
          <w:tab w:val="left" w:pos="-142"/>
          <w:tab w:val="left" w:pos="420"/>
        </w:tabs>
        <w:spacing w:line="360" w:lineRule="auto"/>
        <w:ind w:left="1095" w:leftChars="350" w:hanging="360" w:hangingChars="150"/>
        <w:rPr>
          <w:sz w:val="24"/>
        </w:rPr>
      </w:pPr>
      <w:r>
        <w:rPr>
          <w:sz w:val="24"/>
        </w:rPr>
        <w:t>3）应沿土钉全长设置对中定位支架，其间距宜取 1.5m～2.5m，土钉钢筋保护层厚度不宜小于20mm；</w:t>
      </w:r>
    </w:p>
    <w:p>
      <w:pPr>
        <w:tabs>
          <w:tab w:val="left" w:pos="-142"/>
          <w:tab w:val="left" w:pos="420"/>
        </w:tabs>
        <w:spacing w:line="360" w:lineRule="auto"/>
        <w:ind w:left="1095" w:leftChars="350" w:hanging="360" w:hangingChars="150"/>
        <w:rPr>
          <w:sz w:val="24"/>
        </w:rPr>
      </w:pPr>
      <w:r>
        <w:rPr>
          <w:sz w:val="24"/>
        </w:rPr>
        <w:t>4）土钉注浆材料可采用水泥浆或水泥砂浆，其强度不宜低于20MPa。</w:t>
      </w:r>
    </w:p>
    <w:p>
      <w:pPr>
        <w:pStyle w:val="79"/>
        <w:widowControl/>
        <w:tabs>
          <w:tab w:val="left" w:pos="310"/>
        </w:tabs>
        <w:spacing w:line="360" w:lineRule="auto"/>
        <w:ind w:firstLine="480"/>
        <w:rPr>
          <w:rFonts w:ascii="Times New Roman" w:hAnsi="Times New Roman"/>
          <w:sz w:val="24"/>
        </w:rPr>
      </w:pPr>
      <w:r>
        <w:rPr>
          <w:rFonts w:ascii="Times New Roman" w:hAnsi="Times New Roman"/>
          <w:sz w:val="24"/>
        </w:rPr>
        <w:t>5  钢管土钉的构造应符合下列要求：</w:t>
      </w:r>
    </w:p>
    <w:p>
      <w:pPr>
        <w:tabs>
          <w:tab w:val="left" w:pos="-142"/>
          <w:tab w:val="left" w:pos="420"/>
        </w:tabs>
        <w:spacing w:line="360" w:lineRule="auto"/>
        <w:ind w:left="1095" w:leftChars="350" w:hanging="360" w:hangingChars="150"/>
        <w:rPr>
          <w:sz w:val="24"/>
        </w:rPr>
      </w:pPr>
      <w:r>
        <w:rPr>
          <w:sz w:val="24"/>
        </w:rPr>
        <w:t>1）钢管的外径不宜小于48mm，壁厚不宜小于3mm；钢管的注浆孔应设置在</w:t>
      </w:r>
      <w:r>
        <w:rPr>
          <w:rFonts w:hint="eastAsia"/>
          <w:sz w:val="24"/>
        </w:rPr>
        <w:t>土钉末</w:t>
      </w:r>
      <w:r>
        <w:rPr>
          <w:sz w:val="24"/>
        </w:rPr>
        <w:t>端</w:t>
      </w:r>
      <w:r>
        <w:rPr>
          <w:rFonts w:hint="eastAsia"/>
          <w:sz w:val="24"/>
        </w:rPr>
        <w:t>1</w:t>
      </w:r>
      <w:r>
        <w:rPr>
          <w:sz w:val="24"/>
        </w:rPr>
        <w:t>/2～</w:t>
      </w:r>
      <w:r>
        <w:rPr>
          <w:rFonts w:hint="eastAsia"/>
          <w:sz w:val="24"/>
        </w:rPr>
        <w:t>2</w:t>
      </w:r>
      <w:r>
        <w:rPr>
          <w:sz w:val="24"/>
        </w:rPr>
        <w:t>/3范围内，</w:t>
      </w:r>
      <w:r>
        <w:rPr>
          <w:rFonts w:hint="eastAsia"/>
          <w:sz w:val="24"/>
        </w:rPr>
        <w:t>注浆截面间距宜取500mm，</w:t>
      </w:r>
      <w:r>
        <w:rPr>
          <w:sz w:val="24"/>
        </w:rPr>
        <w:t>每个注浆截面的注浆孔宜取2个，且应对称布置，注浆孔的孔径宜取8mm，注浆孔外应设置保护倒刺；</w:t>
      </w:r>
    </w:p>
    <w:p>
      <w:pPr>
        <w:tabs>
          <w:tab w:val="left" w:pos="-142"/>
          <w:tab w:val="left" w:pos="420"/>
        </w:tabs>
        <w:spacing w:line="360" w:lineRule="auto"/>
        <w:ind w:left="1095" w:leftChars="350" w:hanging="360" w:hangingChars="150"/>
        <w:rPr>
          <w:sz w:val="24"/>
        </w:rPr>
      </w:pPr>
      <w:r>
        <w:rPr>
          <w:sz w:val="24"/>
        </w:rPr>
        <w:t>2）钢管土钉的连接采用焊接时，接头强度不应低于钢管强度；可采用数量不少于3根、直径不小于16mm的钢筋沿截面均匀分布拼焊，双面焊接时钢筋长度不应小于</w:t>
      </w:r>
      <w:r>
        <w:rPr>
          <w:rFonts w:hint="eastAsia"/>
          <w:sz w:val="24"/>
        </w:rPr>
        <w:t>钢管</w:t>
      </w:r>
      <w:r>
        <w:rPr>
          <w:sz w:val="24"/>
        </w:rPr>
        <w:t>直径的</w:t>
      </w:r>
      <w:r>
        <w:rPr>
          <w:rFonts w:hint="eastAsia"/>
          <w:sz w:val="24"/>
        </w:rPr>
        <w:t>2</w:t>
      </w:r>
      <w:r>
        <w:rPr>
          <w:sz w:val="24"/>
        </w:rPr>
        <w:t>倍。</w:t>
      </w:r>
    </w:p>
    <w:p>
      <w:pPr>
        <w:pStyle w:val="79"/>
        <w:widowControl/>
        <w:tabs>
          <w:tab w:val="left" w:pos="310"/>
        </w:tabs>
        <w:spacing w:line="360" w:lineRule="auto"/>
        <w:ind w:left="426" w:firstLine="0" w:firstLineChars="0"/>
        <w:rPr>
          <w:rFonts w:ascii="Times New Roman" w:hAnsi="Times New Roman"/>
          <w:sz w:val="24"/>
        </w:rPr>
      </w:pPr>
      <w:r>
        <w:rPr>
          <w:rFonts w:ascii="Times New Roman" w:hAnsi="Times New Roman"/>
          <w:sz w:val="24"/>
        </w:rPr>
        <w:t>6  土钉墙喷射混凝土面层的构造要求应符合下列规定：</w:t>
      </w:r>
    </w:p>
    <w:p>
      <w:pPr>
        <w:tabs>
          <w:tab w:val="left" w:pos="-142"/>
          <w:tab w:val="left" w:pos="420"/>
        </w:tabs>
        <w:spacing w:line="360" w:lineRule="auto"/>
        <w:ind w:left="1095" w:leftChars="350" w:hanging="360" w:hangingChars="150"/>
        <w:rPr>
          <w:sz w:val="24"/>
        </w:rPr>
      </w:pPr>
      <w:r>
        <w:rPr>
          <w:sz w:val="24"/>
        </w:rPr>
        <w:t>1）喷射混凝土面层厚度不小于</w:t>
      </w:r>
      <w:r>
        <w:rPr>
          <w:rFonts w:hint="eastAsia"/>
          <w:sz w:val="24"/>
        </w:rPr>
        <w:t>80</w:t>
      </w:r>
      <w:r>
        <w:rPr>
          <w:sz w:val="24"/>
        </w:rPr>
        <w:t>mm；</w:t>
      </w:r>
    </w:p>
    <w:p>
      <w:pPr>
        <w:tabs>
          <w:tab w:val="left" w:pos="-142"/>
          <w:tab w:val="left" w:pos="420"/>
        </w:tabs>
        <w:spacing w:line="360" w:lineRule="auto"/>
        <w:ind w:left="1095" w:leftChars="350" w:hanging="360" w:hangingChars="150"/>
        <w:rPr>
          <w:sz w:val="24"/>
        </w:rPr>
      </w:pPr>
      <w:r>
        <w:rPr>
          <w:sz w:val="24"/>
        </w:rPr>
        <w:t>2）喷射混凝土设计强度等级不宜低于C20；</w:t>
      </w:r>
    </w:p>
    <w:p>
      <w:pPr>
        <w:tabs>
          <w:tab w:val="left" w:pos="-142"/>
          <w:tab w:val="left" w:pos="420"/>
        </w:tabs>
        <w:spacing w:line="360" w:lineRule="auto"/>
        <w:ind w:left="1095" w:leftChars="350" w:hanging="360" w:hangingChars="150"/>
        <w:rPr>
          <w:sz w:val="24"/>
        </w:rPr>
      </w:pPr>
      <w:r>
        <w:rPr>
          <w:sz w:val="24"/>
        </w:rPr>
        <w:t>3）喷射混凝土面层中应配置钢筋网和通长的加强钢筋，钢筋网宜采用 HPB300钢筋，钢筋直径宜取6mm～10mm，钢筋网间距宜取150mm～250mm；钢筋网间的搭接长度应大于300mm；加强钢筋的直径宜取14mm～20mm；当充分利用土钉杆体的抗拉强度时，加强钢筋的截面面积不应小于土钉杆体截面面积的</w:t>
      </w:r>
      <w:r>
        <w:rPr>
          <w:rFonts w:hint="eastAsia"/>
          <w:sz w:val="24"/>
        </w:rPr>
        <w:t>1/2；</w:t>
      </w:r>
    </w:p>
    <w:p>
      <w:pPr>
        <w:pStyle w:val="79"/>
        <w:widowControl/>
        <w:tabs>
          <w:tab w:val="left" w:pos="310"/>
        </w:tabs>
        <w:spacing w:line="360" w:lineRule="auto"/>
        <w:ind w:firstLine="480"/>
        <w:rPr>
          <w:rFonts w:ascii="Times New Roman" w:hAnsi="Times New Roman"/>
          <w:sz w:val="24"/>
        </w:rPr>
      </w:pPr>
      <w:r>
        <w:rPr>
          <w:rFonts w:ascii="Times New Roman" w:hAnsi="Times New Roman"/>
          <w:sz w:val="24"/>
        </w:rPr>
        <w:t>7  土钉与加强钢筋宜采用焊接连接，其连接应满足承受土钉拉力的要求；当在土钉拉力作用下喷射混凝土面层的局部受冲切承载力不足时，应采用设置承压钢板等加强措施</w:t>
      </w:r>
      <w:r>
        <w:rPr>
          <w:rFonts w:hint="eastAsia" w:ascii="Times New Roman" w:hAnsi="Times New Roman"/>
          <w:sz w:val="24"/>
        </w:rPr>
        <w:t>；</w:t>
      </w:r>
    </w:p>
    <w:p>
      <w:pPr>
        <w:pStyle w:val="79"/>
        <w:widowControl/>
        <w:tabs>
          <w:tab w:val="left" w:pos="310"/>
        </w:tabs>
        <w:spacing w:line="360" w:lineRule="auto"/>
        <w:ind w:firstLine="480"/>
        <w:rPr>
          <w:rFonts w:ascii="Times New Roman" w:hAnsi="Times New Roman"/>
          <w:sz w:val="24"/>
        </w:rPr>
      </w:pPr>
      <w:r>
        <w:rPr>
          <w:rFonts w:ascii="Times New Roman" w:hAnsi="Times New Roman"/>
          <w:sz w:val="24"/>
        </w:rPr>
        <w:t>8  土钉墙</w:t>
      </w:r>
      <w:r>
        <w:rPr>
          <w:rFonts w:hint="eastAsia" w:ascii="Times New Roman" w:hAnsi="Times New Roman"/>
          <w:sz w:val="24"/>
        </w:rPr>
        <w:t>面层后</w:t>
      </w:r>
      <w:r>
        <w:rPr>
          <w:rFonts w:ascii="Times New Roman" w:hAnsi="Times New Roman"/>
          <w:sz w:val="24"/>
        </w:rPr>
        <w:t>存在滞水时，应在含水土层部位的墙面设置泄水孔或采取其它疏水措施</w:t>
      </w:r>
      <w:r>
        <w:rPr>
          <w:rFonts w:hint="eastAsia" w:ascii="Times New Roman" w:hAnsi="Times New Roman"/>
          <w:sz w:val="24"/>
        </w:rPr>
        <w:t>；</w:t>
      </w:r>
    </w:p>
    <w:p>
      <w:pPr>
        <w:pStyle w:val="79"/>
        <w:widowControl/>
        <w:tabs>
          <w:tab w:val="left" w:pos="310"/>
        </w:tabs>
        <w:spacing w:line="360" w:lineRule="auto"/>
        <w:ind w:left="426" w:firstLine="0" w:firstLineChars="0"/>
        <w:rPr>
          <w:rFonts w:ascii="Times New Roman" w:hAnsi="Times New Roman"/>
          <w:sz w:val="24"/>
        </w:rPr>
      </w:pPr>
      <w:r>
        <w:rPr>
          <w:rFonts w:ascii="Times New Roman" w:hAnsi="Times New Roman"/>
          <w:sz w:val="24"/>
        </w:rPr>
        <w:t>9  采用预应力锚杆复合土钉墙时，预应力锚杆应符合下列要求：</w:t>
      </w:r>
    </w:p>
    <w:p>
      <w:pPr>
        <w:tabs>
          <w:tab w:val="left" w:pos="-142"/>
          <w:tab w:val="left" w:pos="420"/>
        </w:tabs>
        <w:spacing w:line="360" w:lineRule="auto"/>
        <w:ind w:left="1095" w:leftChars="350" w:hanging="360" w:hangingChars="150"/>
        <w:rPr>
          <w:sz w:val="24"/>
        </w:rPr>
      </w:pPr>
      <w:r>
        <w:rPr>
          <w:sz w:val="24"/>
        </w:rPr>
        <w:t>1）宜采用钢绞线锚杆；</w:t>
      </w:r>
    </w:p>
    <w:p>
      <w:pPr>
        <w:tabs>
          <w:tab w:val="left" w:pos="-142"/>
          <w:tab w:val="left" w:pos="420"/>
        </w:tabs>
        <w:spacing w:line="360" w:lineRule="auto"/>
        <w:ind w:left="1095" w:leftChars="350" w:hanging="360" w:hangingChars="150"/>
        <w:rPr>
          <w:sz w:val="24"/>
        </w:rPr>
      </w:pPr>
      <w:r>
        <w:rPr>
          <w:sz w:val="24"/>
        </w:rPr>
        <w:t>2）当预应力锚杆用于减小地面变形时，锚杆宜布置在土钉墙的较上部位；用于增强面层抵抗土压力的作用时，锚杆应布置在土压力较大及墙背土层较软弱的部位；</w:t>
      </w:r>
    </w:p>
    <w:p>
      <w:pPr>
        <w:tabs>
          <w:tab w:val="left" w:pos="-142"/>
          <w:tab w:val="left" w:pos="420"/>
        </w:tabs>
        <w:spacing w:line="360" w:lineRule="auto"/>
        <w:ind w:left="1095" w:leftChars="350" w:hanging="360" w:hangingChars="150"/>
        <w:rPr>
          <w:sz w:val="24"/>
        </w:rPr>
      </w:pPr>
      <w:r>
        <w:rPr>
          <w:rFonts w:hint="eastAsia"/>
          <w:sz w:val="24"/>
        </w:rPr>
        <w:t>3</w:t>
      </w:r>
      <w:r>
        <w:rPr>
          <w:sz w:val="24"/>
        </w:rPr>
        <w:t>）预应力锚杆应设置自由段，自由段长度应超过土钉墙的潜在滑动面；</w:t>
      </w:r>
    </w:p>
    <w:p>
      <w:pPr>
        <w:tabs>
          <w:tab w:val="left" w:pos="-142"/>
          <w:tab w:val="left" w:pos="420"/>
        </w:tabs>
        <w:spacing w:line="360" w:lineRule="auto"/>
        <w:ind w:left="1095" w:leftChars="350" w:hanging="360" w:hangingChars="150"/>
        <w:rPr>
          <w:sz w:val="24"/>
        </w:rPr>
      </w:pPr>
      <w:r>
        <w:rPr>
          <w:rFonts w:hint="eastAsia"/>
          <w:sz w:val="24"/>
        </w:rPr>
        <w:t>4</w:t>
      </w:r>
      <w:r>
        <w:rPr>
          <w:sz w:val="24"/>
        </w:rPr>
        <w:t>）锚杆与土钉墙的喷射混凝土面层之间应设置围檩连接，可采用</w:t>
      </w:r>
      <w:r>
        <w:rPr>
          <w:rFonts w:hint="eastAsia"/>
          <w:sz w:val="24"/>
        </w:rPr>
        <w:t>型</w:t>
      </w:r>
      <w:r>
        <w:rPr>
          <w:sz w:val="24"/>
        </w:rPr>
        <w:t>钢围檩或</w:t>
      </w:r>
      <w:r>
        <w:rPr>
          <w:rFonts w:hint="eastAsia"/>
          <w:sz w:val="24"/>
        </w:rPr>
        <w:t>钢筋</w:t>
      </w:r>
      <w:r>
        <w:rPr>
          <w:sz w:val="24"/>
        </w:rPr>
        <w:t>混凝土围檩，围檩与喷射混凝土面层应紧密接触，围檩</w:t>
      </w:r>
      <w:r>
        <w:rPr>
          <w:rFonts w:hint="eastAsia"/>
          <w:sz w:val="24"/>
        </w:rPr>
        <w:t>尺寸</w:t>
      </w:r>
      <w:r>
        <w:rPr>
          <w:sz w:val="24"/>
        </w:rPr>
        <w:t>应根据锚杆拉力</w:t>
      </w:r>
      <w:r>
        <w:rPr>
          <w:rFonts w:hint="eastAsia"/>
          <w:sz w:val="24"/>
        </w:rPr>
        <w:t>标准</w:t>
      </w:r>
      <w:r>
        <w:rPr>
          <w:sz w:val="24"/>
        </w:rPr>
        <w:t>值</w:t>
      </w:r>
      <w:r>
        <w:rPr>
          <w:rFonts w:hint="eastAsia"/>
          <w:sz w:val="24"/>
        </w:rPr>
        <w:t>、土钉墙面层后土层的地基承载力</w:t>
      </w:r>
      <w:r>
        <w:rPr>
          <w:sz w:val="24"/>
        </w:rPr>
        <w:t>确定；</w:t>
      </w:r>
    </w:p>
    <w:p>
      <w:pPr>
        <w:tabs>
          <w:tab w:val="left" w:pos="-142"/>
          <w:tab w:val="left" w:pos="420"/>
        </w:tabs>
        <w:spacing w:line="360" w:lineRule="auto"/>
        <w:ind w:left="1095" w:leftChars="350" w:hanging="360" w:hangingChars="150"/>
        <w:rPr>
          <w:sz w:val="24"/>
        </w:rPr>
      </w:pPr>
      <w:r>
        <w:rPr>
          <w:rFonts w:hint="eastAsia"/>
          <w:sz w:val="24"/>
        </w:rPr>
        <w:t>5</w:t>
      </w:r>
      <w:r>
        <w:rPr>
          <w:sz w:val="24"/>
        </w:rPr>
        <w:t>）顶层土钉长度与基坑深度之比，对非饱和黏性土不应小于1.1，对软塑状黏性土不</w:t>
      </w:r>
      <w:r>
        <w:rPr>
          <w:rFonts w:hint="eastAsia"/>
          <w:sz w:val="24"/>
        </w:rPr>
        <w:t>应</w:t>
      </w:r>
      <w:r>
        <w:rPr>
          <w:sz w:val="24"/>
        </w:rPr>
        <w:t>小于1.3；土钉墙面</w:t>
      </w:r>
      <w:r>
        <w:rPr>
          <w:rFonts w:hint="eastAsia"/>
          <w:sz w:val="24"/>
        </w:rPr>
        <w:t>层</w:t>
      </w:r>
      <w:r>
        <w:rPr>
          <w:sz w:val="24"/>
        </w:rPr>
        <w:t>深入坡底不小于200mm，面</w:t>
      </w:r>
      <w:r>
        <w:rPr>
          <w:rFonts w:hint="eastAsia"/>
          <w:sz w:val="24"/>
        </w:rPr>
        <w:t>层</w:t>
      </w:r>
      <w:r>
        <w:rPr>
          <w:sz w:val="24"/>
        </w:rPr>
        <w:t>中钢筋延出坡顶护面不小于500mm。</w:t>
      </w:r>
    </w:p>
    <w:p>
      <w:pPr>
        <w:tabs>
          <w:tab w:val="left" w:pos="0"/>
        </w:tabs>
        <w:spacing w:line="360" w:lineRule="auto"/>
        <w:rPr>
          <w:sz w:val="24"/>
        </w:rPr>
      </w:pPr>
      <w:r>
        <w:rPr>
          <w:b/>
          <w:sz w:val="24"/>
        </w:rPr>
        <w:t xml:space="preserve">5.8.4  </w:t>
      </w:r>
      <w:r>
        <w:rPr>
          <w:sz w:val="24"/>
        </w:rPr>
        <w:t>土钉墙施工控制要点</w:t>
      </w:r>
    </w:p>
    <w:p>
      <w:pPr>
        <w:tabs>
          <w:tab w:val="left" w:pos="420"/>
        </w:tabs>
        <w:spacing w:line="360" w:lineRule="auto"/>
        <w:ind w:firstLine="480" w:firstLineChars="200"/>
        <w:rPr>
          <w:sz w:val="24"/>
        </w:rPr>
      </w:pPr>
      <w:r>
        <w:rPr>
          <w:sz w:val="24"/>
        </w:rPr>
        <w:t>1  土钉墙应按每层土钉及混凝土面层分层开挖、分层</w:t>
      </w:r>
      <w:r>
        <w:rPr>
          <w:rFonts w:hint="eastAsia"/>
          <w:sz w:val="24"/>
        </w:rPr>
        <w:t>施工</w:t>
      </w:r>
      <w:r>
        <w:rPr>
          <w:sz w:val="24"/>
        </w:rPr>
        <w:t>的步序</w:t>
      </w:r>
      <w:r>
        <w:rPr>
          <w:rFonts w:hint="eastAsia"/>
          <w:sz w:val="24"/>
        </w:rPr>
        <w:t>进行；</w:t>
      </w:r>
    </w:p>
    <w:p>
      <w:pPr>
        <w:pStyle w:val="79"/>
        <w:widowControl/>
        <w:tabs>
          <w:tab w:val="left" w:pos="0"/>
        </w:tabs>
        <w:spacing w:line="360" w:lineRule="auto"/>
        <w:ind w:firstLine="480"/>
        <w:jc w:val="left"/>
        <w:rPr>
          <w:rFonts w:ascii="Times New Roman" w:hAnsi="Times New Roman"/>
          <w:sz w:val="24"/>
        </w:rPr>
      </w:pPr>
      <w:r>
        <w:rPr>
          <w:rFonts w:ascii="Times New Roman" w:hAnsi="Times New Roman"/>
          <w:sz w:val="24"/>
        </w:rPr>
        <w:t>2  对易产生流砂或塌孔的砂土、粉土、碎石土等土层，应通过试验确定土钉施工工艺及其参数</w:t>
      </w:r>
      <w:r>
        <w:rPr>
          <w:rFonts w:hint="eastAsia" w:ascii="Times New Roman" w:hAnsi="Times New Roman"/>
          <w:sz w:val="24"/>
        </w:rPr>
        <w:t>；</w:t>
      </w:r>
    </w:p>
    <w:p>
      <w:pPr>
        <w:pStyle w:val="79"/>
        <w:widowControl/>
        <w:spacing w:line="360" w:lineRule="auto"/>
        <w:ind w:firstLine="480"/>
        <w:rPr>
          <w:rFonts w:ascii="Times New Roman" w:hAnsi="Times New Roman"/>
          <w:sz w:val="24"/>
        </w:rPr>
      </w:pPr>
      <w:r>
        <w:rPr>
          <w:rFonts w:ascii="Times New Roman" w:hAnsi="Times New Roman"/>
          <w:sz w:val="24"/>
        </w:rPr>
        <w:t xml:space="preserve">3  </w:t>
      </w:r>
      <w:r>
        <w:rPr>
          <w:sz w:val="24"/>
        </w:rPr>
        <w:t>土钉成孔范围内存在地下管线等设施时，应查明其位置并</w:t>
      </w:r>
      <w:r>
        <w:rPr>
          <w:rFonts w:hint="eastAsia"/>
          <w:sz w:val="24"/>
        </w:rPr>
        <w:t>采取</w:t>
      </w:r>
      <w:r>
        <w:rPr>
          <w:sz w:val="24"/>
        </w:rPr>
        <w:t>避</w:t>
      </w:r>
      <w:r>
        <w:rPr>
          <w:rFonts w:hint="eastAsia"/>
          <w:sz w:val="24"/>
        </w:rPr>
        <w:t>让措施</w:t>
      </w:r>
      <w:r>
        <w:rPr>
          <w:sz w:val="24"/>
        </w:rPr>
        <w:t>；</w:t>
      </w:r>
    </w:p>
    <w:p>
      <w:pPr>
        <w:pStyle w:val="79"/>
        <w:widowControl/>
        <w:spacing w:line="360" w:lineRule="auto"/>
        <w:ind w:firstLine="480"/>
        <w:rPr>
          <w:rFonts w:ascii="Times New Roman" w:hAnsi="Times New Roman"/>
          <w:sz w:val="24"/>
        </w:rPr>
      </w:pPr>
      <w:r>
        <w:rPr>
          <w:rFonts w:hint="eastAsia" w:ascii="Times New Roman" w:hAnsi="Times New Roman"/>
          <w:sz w:val="24"/>
        </w:rPr>
        <w:t xml:space="preserve">4  </w:t>
      </w:r>
      <w:r>
        <w:rPr>
          <w:rFonts w:ascii="Times New Roman" w:hAnsi="Times New Roman"/>
          <w:sz w:val="24"/>
        </w:rPr>
        <w:t>钢筋土钉成孔时应符合下列要求：</w:t>
      </w:r>
    </w:p>
    <w:p>
      <w:pPr>
        <w:tabs>
          <w:tab w:val="left" w:pos="-142"/>
          <w:tab w:val="left" w:pos="420"/>
        </w:tabs>
        <w:spacing w:line="360" w:lineRule="auto"/>
        <w:ind w:left="1095" w:leftChars="350" w:hanging="360" w:hangingChars="150"/>
        <w:rPr>
          <w:sz w:val="24"/>
        </w:rPr>
      </w:pPr>
      <w:r>
        <w:rPr>
          <w:rFonts w:hint="eastAsia"/>
          <w:sz w:val="24"/>
        </w:rPr>
        <w:t>1</w:t>
      </w:r>
      <w:r>
        <w:rPr>
          <w:sz w:val="24"/>
        </w:rPr>
        <w:t>）应根据土层的性状选择洛阳铲、螺旋钻、冲击钻、地质钻等成孔方法，采用的成孔方法应能保证孔壁的稳定性、减小对孔壁的扰动；</w:t>
      </w:r>
    </w:p>
    <w:p>
      <w:pPr>
        <w:tabs>
          <w:tab w:val="left" w:pos="-142"/>
          <w:tab w:val="left" w:pos="420"/>
        </w:tabs>
        <w:spacing w:line="360" w:lineRule="auto"/>
        <w:ind w:left="1095" w:leftChars="350" w:hanging="360" w:hangingChars="150"/>
        <w:rPr>
          <w:sz w:val="24"/>
        </w:rPr>
      </w:pPr>
      <w:r>
        <w:rPr>
          <w:rFonts w:hint="eastAsia"/>
          <w:sz w:val="24"/>
        </w:rPr>
        <w:t>2</w:t>
      </w:r>
      <w:r>
        <w:rPr>
          <w:sz w:val="24"/>
        </w:rPr>
        <w:t>）当成孔遇不明障碍物时，应停止成孔作业，在查明障碍物的情况并采取针对性措施后方可继续成孔；</w:t>
      </w:r>
    </w:p>
    <w:p>
      <w:pPr>
        <w:tabs>
          <w:tab w:val="left" w:pos="-142"/>
          <w:tab w:val="left" w:pos="420"/>
        </w:tabs>
        <w:spacing w:line="360" w:lineRule="auto"/>
        <w:ind w:left="1095" w:leftChars="350" w:hanging="360" w:hangingChars="150"/>
        <w:rPr>
          <w:sz w:val="24"/>
        </w:rPr>
      </w:pPr>
      <w:r>
        <w:rPr>
          <w:rFonts w:hint="eastAsia"/>
          <w:sz w:val="24"/>
        </w:rPr>
        <w:t>3</w:t>
      </w:r>
      <w:r>
        <w:rPr>
          <w:sz w:val="24"/>
        </w:rPr>
        <w:t>）对易塌孔的松散土层宜采用机械成孔工艺；成孔困难时，可采用注入水泥浆等方法进行护壁</w:t>
      </w:r>
      <w:r>
        <w:rPr>
          <w:rFonts w:hint="eastAsia"/>
          <w:sz w:val="24"/>
        </w:rPr>
        <w:t>；</w:t>
      </w:r>
    </w:p>
    <w:p>
      <w:pPr>
        <w:pStyle w:val="79"/>
        <w:widowControl/>
        <w:spacing w:line="360" w:lineRule="auto"/>
        <w:ind w:firstLine="480"/>
        <w:rPr>
          <w:rFonts w:ascii="Times New Roman" w:hAnsi="Times New Roman"/>
          <w:sz w:val="24"/>
        </w:rPr>
      </w:pPr>
      <w:r>
        <w:rPr>
          <w:rFonts w:hint="eastAsia" w:ascii="Times New Roman" w:hAnsi="Times New Roman"/>
          <w:sz w:val="24"/>
        </w:rPr>
        <w:t>5</w:t>
      </w:r>
      <w:r>
        <w:rPr>
          <w:rFonts w:ascii="Times New Roman" w:hAnsi="Times New Roman"/>
          <w:sz w:val="24"/>
        </w:rPr>
        <w:t xml:space="preserve">  钢筋土钉杆体制作安装应符合下列要求：</w:t>
      </w:r>
    </w:p>
    <w:p>
      <w:pPr>
        <w:tabs>
          <w:tab w:val="left" w:pos="-142"/>
          <w:tab w:val="left" w:pos="420"/>
        </w:tabs>
        <w:spacing w:line="360" w:lineRule="auto"/>
        <w:ind w:left="1095" w:leftChars="350" w:hanging="360" w:hangingChars="150"/>
        <w:rPr>
          <w:sz w:val="24"/>
        </w:rPr>
      </w:pPr>
      <w:r>
        <w:rPr>
          <w:sz w:val="24"/>
        </w:rPr>
        <w:t>1）钢筋使用前，应调直并清污除锈；</w:t>
      </w:r>
    </w:p>
    <w:p>
      <w:pPr>
        <w:tabs>
          <w:tab w:val="left" w:pos="-142"/>
          <w:tab w:val="left" w:pos="420"/>
        </w:tabs>
        <w:spacing w:line="360" w:lineRule="auto"/>
        <w:ind w:left="1095" w:leftChars="350" w:hanging="360" w:hangingChars="150"/>
        <w:rPr>
          <w:sz w:val="24"/>
        </w:rPr>
      </w:pPr>
      <w:r>
        <w:rPr>
          <w:sz w:val="24"/>
        </w:rPr>
        <w:t>2）当钢筋需要连接时，</w:t>
      </w:r>
      <w:r>
        <w:rPr>
          <w:rFonts w:hint="eastAsia"/>
          <w:sz w:val="24"/>
        </w:rPr>
        <w:t>应</w:t>
      </w:r>
      <w:r>
        <w:rPr>
          <w:sz w:val="24"/>
        </w:rPr>
        <w:t>采用</w:t>
      </w:r>
      <w:r>
        <w:rPr>
          <w:rFonts w:hint="eastAsia"/>
          <w:sz w:val="24"/>
        </w:rPr>
        <w:t>双面</w:t>
      </w:r>
      <w:r>
        <w:rPr>
          <w:sz w:val="24"/>
        </w:rPr>
        <w:t>焊、帮条焊；双面焊或帮条</w:t>
      </w:r>
      <w:r>
        <w:rPr>
          <w:rFonts w:hint="eastAsia"/>
          <w:sz w:val="24"/>
        </w:rPr>
        <w:t>焊</w:t>
      </w:r>
      <w:r>
        <w:rPr>
          <w:sz w:val="24"/>
        </w:rPr>
        <w:t>的搭接长度应不小于主筋直径的5倍，焊缝高度不应小于主筋直径的0.3倍；</w:t>
      </w:r>
    </w:p>
    <w:p>
      <w:pPr>
        <w:tabs>
          <w:tab w:val="left" w:pos="-142"/>
          <w:tab w:val="left" w:pos="420"/>
        </w:tabs>
        <w:spacing w:line="360" w:lineRule="auto"/>
        <w:ind w:left="1095" w:leftChars="350" w:hanging="360" w:hangingChars="150"/>
        <w:rPr>
          <w:sz w:val="24"/>
        </w:rPr>
      </w:pPr>
      <w:r>
        <w:rPr>
          <w:sz w:val="24"/>
        </w:rPr>
        <w:t>3）对中支架的断面尺寸应符合土钉杆体保护层厚度要求，对中支架可选用直径6mm～8mm的钢筋</w:t>
      </w:r>
      <w:r>
        <w:rPr>
          <w:rFonts w:hint="eastAsia"/>
          <w:sz w:val="24"/>
        </w:rPr>
        <w:t>制作</w:t>
      </w:r>
      <w:r>
        <w:rPr>
          <w:sz w:val="24"/>
        </w:rPr>
        <w:t>；</w:t>
      </w:r>
    </w:p>
    <w:p>
      <w:pPr>
        <w:tabs>
          <w:tab w:val="left" w:pos="-142"/>
          <w:tab w:val="left" w:pos="420"/>
        </w:tabs>
        <w:spacing w:line="360" w:lineRule="auto"/>
        <w:ind w:left="1095" w:leftChars="350" w:hanging="360" w:hangingChars="150"/>
        <w:rPr>
          <w:sz w:val="24"/>
        </w:rPr>
      </w:pPr>
      <w:r>
        <w:rPr>
          <w:sz w:val="24"/>
        </w:rPr>
        <w:t>4）土钉成孔后应及时插入土钉杆体，遇塌孔、缩径时，应在处理后再插入</w:t>
      </w:r>
      <w:r>
        <w:rPr>
          <w:rFonts w:hint="eastAsia"/>
          <w:sz w:val="24"/>
        </w:rPr>
        <w:t>。</w:t>
      </w:r>
    </w:p>
    <w:p>
      <w:pPr>
        <w:pStyle w:val="79"/>
        <w:widowControl/>
        <w:spacing w:line="360" w:lineRule="auto"/>
        <w:ind w:firstLine="480"/>
        <w:rPr>
          <w:rFonts w:ascii="Times New Roman" w:hAnsi="Times New Roman"/>
          <w:sz w:val="24"/>
        </w:rPr>
      </w:pPr>
      <w:r>
        <w:rPr>
          <w:rFonts w:hint="eastAsia" w:ascii="Times New Roman" w:hAnsi="Times New Roman"/>
          <w:sz w:val="24"/>
        </w:rPr>
        <w:t>6</w:t>
      </w:r>
      <w:r>
        <w:rPr>
          <w:rFonts w:ascii="Times New Roman" w:hAnsi="Times New Roman"/>
          <w:sz w:val="24"/>
        </w:rPr>
        <w:t xml:space="preserve">  钢筋土钉注浆时应符合下列规定：</w:t>
      </w:r>
    </w:p>
    <w:p>
      <w:pPr>
        <w:tabs>
          <w:tab w:val="left" w:pos="-142"/>
          <w:tab w:val="left" w:pos="420"/>
        </w:tabs>
        <w:spacing w:line="360" w:lineRule="auto"/>
        <w:ind w:left="1095" w:leftChars="350" w:hanging="360" w:hangingChars="150"/>
        <w:rPr>
          <w:sz w:val="24"/>
        </w:rPr>
      </w:pPr>
      <w:r>
        <w:rPr>
          <w:sz w:val="24"/>
        </w:rPr>
        <w:t>1）注浆材料可选用水泥浆或水泥砂浆，水泥强度</w:t>
      </w:r>
      <w:r>
        <w:rPr>
          <w:rFonts w:hint="eastAsia"/>
          <w:sz w:val="24"/>
        </w:rPr>
        <w:t>等级</w:t>
      </w:r>
      <w:r>
        <w:rPr>
          <w:sz w:val="24"/>
        </w:rPr>
        <w:t>不低于32.5；水泥浆的水灰比宜取 0.5</w:t>
      </w:r>
      <w:r>
        <w:rPr>
          <w:rFonts w:hint="eastAsia"/>
          <w:sz w:val="24"/>
        </w:rPr>
        <w:t>0</w:t>
      </w:r>
      <w:r>
        <w:rPr>
          <w:sz w:val="24"/>
        </w:rPr>
        <w:t xml:space="preserve">～0.55；水泥砂浆的水灰比宜取0.40～0.45，灰砂比宜取 </w:t>
      </w:r>
      <w:r>
        <w:rPr>
          <w:rFonts w:hint="eastAsia"/>
          <w:sz w:val="24"/>
        </w:rPr>
        <w:t>0.5</w:t>
      </w:r>
      <w:r>
        <w:rPr>
          <w:sz w:val="24"/>
        </w:rPr>
        <w:t>～</w:t>
      </w:r>
      <w:r>
        <w:rPr>
          <w:rFonts w:hint="eastAsia"/>
          <w:sz w:val="24"/>
        </w:rPr>
        <w:t>1</w:t>
      </w:r>
      <w:r>
        <w:rPr>
          <w:sz w:val="24"/>
        </w:rPr>
        <w:t>.0，宜选用中粗砂，含泥量不得大于3%；</w:t>
      </w:r>
    </w:p>
    <w:p>
      <w:pPr>
        <w:tabs>
          <w:tab w:val="left" w:pos="-142"/>
          <w:tab w:val="left" w:pos="420"/>
        </w:tabs>
        <w:spacing w:line="360" w:lineRule="auto"/>
        <w:ind w:left="1095" w:leftChars="350" w:hanging="360" w:hangingChars="150"/>
        <w:rPr>
          <w:sz w:val="24"/>
        </w:rPr>
      </w:pPr>
      <w:r>
        <w:rPr>
          <w:sz w:val="24"/>
        </w:rPr>
        <w:t>2）水泥浆或水泥砂浆应拌</w:t>
      </w:r>
      <w:r>
        <w:rPr>
          <w:rFonts w:hint="eastAsia"/>
          <w:sz w:val="24"/>
        </w:rPr>
        <w:t>和</w:t>
      </w:r>
      <w:r>
        <w:rPr>
          <w:sz w:val="24"/>
        </w:rPr>
        <w:t>均匀，一次拌和的水泥浆或水泥砂浆应在初凝前使用；</w:t>
      </w:r>
    </w:p>
    <w:p>
      <w:pPr>
        <w:tabs>
          <w:tab w:val="left" w:pos="-142"/>
          <w:tab w:val="left" w:pos="420"/>
        </w:tabs>
        <w:spacing w:line="360" w:lineRule="auto"/>
        <w:ind w:left="1095" w:leftChars="350" w:hanging="360" w:hangingChars="150"/>
        <w:rPr>
          <w:sz w:val="24"/>
        </w:rPr>
      </w:pPr>
      <w:r>
        <w:rPr>
          <w:sz w:val="24"/>
        </w:rPr>
        <w:t>3）注浆前应将孔内残留的虚土清除干净；</w:t>
      </w:r>
    </w:p>
    <w:p>
      <w:pPr>
        <w:tabs>
          <w:tab w:val="left" w:pos="-142"/>
          <w:tab w:val="left" w:pos="420"/>
        </w:tabs>
        <w:spacing w:line="360" w:lineRule="auto"/>
        <w:ind w:left="1095" w:leftChars="350" w:hanging="360" w:hangingChars="150"/>
        <w:rPr>
          <w:sz w:val="24"/>
        </w:rPr>
      </w:pPr>
      <w:r>
        <w:rPr>
          <w:sz w:val="24"/>
        </w:rPr>
        <w:t>4）注浆管端部至孔底的距离不宜大于200mm；注浆及拔管时，注浆管口应始终埋入注浆液面内，</w:t>
      </w:r>
      <w:r>
        <w:rPr>
          <w:rFonts w:hint="eastAsia"/>
          <w:sz w:val="24"/>
        </w:rPr>
        <w:t>纯</w:t>
      </w:r>
      <w:r>
        <w:rPr>
          <w:sz w:val="24"/>
        </w:rPr>
        <w:t>浆液从孔口溢出后</w:t>
      </w:r>
      <w:r>
        <w:rPr>
          <w:rFonts w:hint="eastAsia"/>
          <w:sz w:val="24"/>
        </w:rPr>
        <w:t>方可</w:t>
      </w:r>
      <w:r>
        <w:rPr>
          <w:sz w:val="24"/>
        </w:rPr>
        <w:t>停止注浆；注浆后，</w:t>
      </w:r>
      <w:r>
        <w:rPr>
          <w:rFonts w:hint="eastAsia"/>
          <w:sz w:val="24"/>
        </w:rPr>
        <w:t>若</w:t>
      </w:r>
      <w:r>
        <w:rPr>
          <w:sz w:val="24"/>
        </w:rPr>
        <w:t>液面下降应</w:t>
      </w:r>
      <w:r>
        <w:rPr>
          <w:rFonts w:hint="eastAsia"/>
          <w:sz w:val="24"/>
        </w:rPr>
        <w:t>及时</w:t>
      </w:r>
      <w:r>
        <w:rPr>
          <w:sz w:val="24"/>
        </w:rPr>
        <w:t>补浆</w:t>
      </w:r>
      <w:r>
        <w:rPr>
          <w:rFonts w:hint="eastAsia"/>
          <w:sz w:val="24"/>
        </w:rPr>
        <w:t>；</w:t>
      </w:r>
    </w:p>
    <w:p>
      <w:pPr>
        <w:pStyle w:val="79"/>
        <w:widowControl/>
        <w:spacing w:line="360" w:lineRule="auto"/>
        <w:ind w:firstLine="480"/>
        <w:rPr>
          <w:rFonts w:ascii="Times New Roman" w:hAnsi="Times New Roman"/>
          <w:sz w:val="24"/>
        </w:rPr>
      </w:pPr>
      <w:r>
        <w:rPr>
          <w:rFonts w:hint="eastAsia" w:ascii="Times New Roman" w:hAnsi="Times New Roman"/>
          <w:sz w:val="24"/>
        </w:rPr>
        <w:t>7</w:t>
      </w:r>
      <w:r>
        <w:rPr>
          <w:rFonts w:ascii="Times New Roman" w:hAnsi="Times New Roman"/>
          <w:sz w:val="24"/>
        </w:rPr>
        <w:t xml:space="preserve">  </w:t>
      </w:r>
      <w:r>
        <w:rPr>
          <w:rFonts w:hint="eastAsia" w:ascii="Times New Roman" w:hAnsi="Times New Roman"/>
          <w:sz w:val="24"/>
        </w:rPr>
        <w:t>打入式</w:t>
      </w:r>
      <w:r>
        <w:rPr>
          <w:rFonts w:ascii="Times New Roman" w:hAnsi="Times New Roman"/>
          <w:sz w:val="24"/>
        </w:rPr>
        <w:t>钢管土钉施工时应符合下列规定：</w:t>
      </w:r>
    </w:p>
    <w:p>
      <w:pPr>
        <w:tabs>
          <w:tab w:val="left" w:pos="-142"/>
          <w:tab w:val="left" w:pos="420"/>
        </w:tabs>
        <w:spacing w:line="360" w:lineRule="auto"/>
        <w:ind w:left="1095" w:leftChars="350" w:hanging="360" w:hangingChars="150"/>
        <w:rPr>
          <w:sz w:val="24"/>
        </w:rPr>
      </w:pPr>
      <w:r>
        <w:rPr>
          <w:sz w:val="24"/>
        </w:rPr>
        <w:t>1）钢管端部应制成尖锥状；</w:t>
      </w:r>
    </w:p>
    <w:p>
      <w:pPr>
        <w:tabs>
          <w:tab w:val="left" w:pos="-142"/>
          <w:tab w:val="left" w:pos="420"/>
        </w:tabs>
        <w:spacing w:line="360" w:lineRule="auto"/>
        <w:ind w:left="1095" w:leftChars="350" w:hanging="360" w:hangingChars="150"/>
        <w:rPr>
          <w:sz w:val="24"/>
        </w:rPr>
      </w:pPr>
      <w:r>
        <w:rPr>
          <w:sz w:val="24"/>
        </w:rPr>
        <w:t>2）</w:t>
      </w:r>
      <w:r>
        <w:rPr>
          <w:rFonts w:hint="eastAsia"/>
          <w:sz w:val="24"/>
        </w:rPr>
        <w:t>注浆时应保持出浆孔畅通；</w:t>
      </w:r>
    </w:p>
    <w:p>
      <w:pPr>
        <w:tabs>
          <w:tab w:val="left" w:pos="-142"/>
          <w:tab w:val="left" w:pos="420"/>
        </w:tabs>
        <w:spacing w:line="360" w:lineRule="auto"/>
        <w:ind w:left="1095" w:leftChars="350" w:hanging="360" w:hangingChars="150"/>
        <w:rPr>
          <w:sz w:val="24"/>
        </w:rPr>
      </w:pPr>
      <w:r>
        <w:rPr>
          <w:rFonts w:hint="eastAsia"/>
          <w:sz w:val="24"/>
        </w:rPr>
        <w:t>3）</w:t>
      </w:r>
      <w:r>
        <w:rPr>
          <w:sz w:val="24"/>
        </w:rPr>
        <w:t>注浆材料</w:t>
      </w:r>
      <w:r>
        <w:rPr>
          <w:rFonts w:hint="eastAsia"/>
          <w:sz w:val="24"/>
        </w:rPr>
        <w:t>宜</w:t>
      </w:r>
      <w:r>
        <w:rPr>
          <w:sz w:val="24"/>
        </w:rPr>
        <w:t>采用水泥浆</w:t>
      </w:r>
      <w:r>
        <w:rPr>
          <w:rFonts w:hint="eastAsia"/>
          <w:sz w:val="24"/>
        </w:rPr>
        <w:t>，</w:t>
      </w:r>
      <w:r>
        <w:rPr>
          <w:sz w:val="24"/>
        </w:rPr>
        <w:t>水灰比宜取0.5～0.6；</w:t>
      </w:r>
    </w:p>
    <w:p>
      <w:pPr>
        <w:tabs>
          <w:tab w:val="left" w:pos="-142"/>
          <w:tab w:val="left" w:pos="420"/>
        </w:tabs>
        <w:spacing w:line="360" w:lineRule="auto"/>
        <w:ind w:left="1095" w:leftChars="350" w:hanging="360" w:hangingChars="150"/>
        <w:rPr>
          <w:sz w:val="24"/>
        </w:rPr>
      </w:pPr>
      <w:r>
        <w:rPr>
          <w:rFonts w:hint="eastAsia"/>
          <w:sz w:val="24"/>
        </w:rPr>
        <w:t>4</w:t>
      </w:r>
      <w:r>
        <w:rPr>
          <w:sz w:val="24"/>
        </w:rPr>
        <w:t>）注浆压力不宜小于0.6MPa；应在注浆至管顶周围出现返浆后停止注浆；当不出现返浆时，可采用间歇注浆的方法</w:t>
      </w:r>
      <w:r>
        <w:rPr>
          <w:rFonts w:hint="eastAsia"/>
          <w:sz w:val="24"/>
        </w:rPr>
        <w:t>；</w:t>
      </w:r>
    </w:p>
    <w:p>
      <w:pPr>
        <w:pStyle w:val="79"/>
        <w:widowControl/>
        <w:spacing w:line="360" w:lineRule="auto"/>
        <w:ind w:firstLine="480"/>
        <w:rPr>
          <w:rFonts w:ascii="Times New Roman" w:hAnsi="Times New Roman"/>
          <w:sz w:val="24"/>
        </w:rPr>
      </w:pPr>
      <w:r>
        <w:rPr>
          <w:rFonts w:hint="eastAsia" w:ascii="Times New Roman" w:hAnsi="Times New Roman"/>
          <w:sz w:val="24"/>
        </w:rPr>
        <w:t>8</w:t>
      </w:r>
      <w:r>
        <w:rPr>
          <w:rFonts w:ascii="Times New Roman" w:hAnsi="Times New Roman"/>
          <w:sz w:val="24"/>
        </w:rPr>
        <w:t xml:space="preserve">  喷射混凝土面层施工应符合下列规定：</w:t>
      </w:r>
    </w:p>
    <w:p>
      <w:pPr>
        <w:tabs>
          <w:tab w:val="left" w:pos="-142"/>
          <w:tab w:val="left" w:pos="420"/>
        </w:tabs>
        <w:spacing w:line="360" w:lineRule="auto"/>
        <w:ind w:left="1095" w:leftChars="350" w:hanging="360" w:hangingChars="150"/>
        <w:rPr>
          <w:sz w:val="24"/>
        </w:rPr>
      </w:pPr>
      <w:r>
        <w:rPr>
          <w:sz w:val="24"/>
        </w:rPr>
        <w:t>1）细骨料宜选用中粗砂，含泥量应小于3％；</w:t>
      </w:r>
    </w:p>
    <w:p>
      <w:pPr>
        <w:tabs>
          <w:tab w:val="left" w:pos="-142"/>
          <w:tab w:val="left" w:pos="420"/>
        </w:tabs>
        <w:spacing w:line="360" w:lineRule="auto"/>
        <w:ind w:left="1095" w:leftChars="350" w:hanging="360" w:hangingChars="150"/>
        <w:rPr>
          <w:sz w:val="24"/>
        </w:rPr>
      </w:pPr>
      <w:r>
        <w:rPr>
          <w:sz w:val="24"/>
        </w:rPr>
        <w:t>2）粗骨料宜选用粒径不大于10mm的</w:t>
      </w:r>
      <w:r>
        <w:rPr>
          <w:rFonts w:hint="eastAsia"/>
          <w:sz w:val="24"/>
        </w:rPr>
        <w:t>碎</w:t>
      </w:r>
      <w:r>
        <w:rPr>
          <w:sz w:val="24"/>
        </w:rPr>
        <w:t>石；</w:t>
      </w:r>
    </w:p>
    <w:p>
      <w:pPr>
        <w:tabs>
          <w:tab w:val="left" w:pos="-142"/>
          <w:tab w:val="left" w:pos="420"/>
        </w:tabs>
        <w:spacing w:line="360" w:lineRule="auto"/>
        <w:ind w:left="1095" w:leftChars="350" w:hanging="360" w:hangingChars="150"/>
        <w:rPr>
          <w:sz w:val="24"/>
        </w:rPr>
      </w:pPr>
      <w:r>
        <w:rPr>
          <w:sz w:val="24"/>
        </w:rPr>
        <w:t>3）水泥与砂石的重量比宜取 1</w:t>
      </w:r>
      <w:r>
        <w:rPr>
          <w:rFonts w:hint="eastAsia"/>
          <w:sz w:val="24"/>
        </w:rPr>
        <w:t>:</w:t>
      </w:r>
      <w:r>
        <w:rPr>
          <w:sz w:val="24"/>
        </w:rPr>
        <w:t>4</w:t>
      </w:r>
      <w:r>
        <w:rPr>
          <w:rFonts w:hint="eastAsia"/>
          <w:sz w:val="24"/>
        </w:rPr>
        <w:t>.0</w:t>
      </w:r>
      <w:r>
        <w:rPr>
          <w:sz w:val="24"/>
        </w:rPr>
        <w:t>～1</w:t>
      </w:r>
      <w:r>
        <w:rPr>
          <w:rFonts w:hint="eastAsia"/>
          <w:sz w:val="24"/>
        </w:rPr>
        <w:t>:</w:t>
      </w:r>
      <w:r>
        <w:rPr>
          <w:sz w:val="24"/>
        </w:rPr>
        <w:t>4.5，砂率宜取45％～55％，水灰比宜取0.4</w:t>
      </w:r>
      <w:r>
        <w:rPr>
          <w:rFonts w:hint="eastAsia"/>
          <w:sz w:val="24"/>
        </w:rPr>
        <w:t>0</w:t>
      </w:r>
      <w:r>
        <w:rPr>
          <w:sz w:val="24"/>
        </w:rPr>
        <w:t>～0.45；</w:t>
      </w:r>
    </w:p>
    <w:p>
      <w:pPr>
        <w:tabs>
          <w:tab w:val="left" w:pos="-142"/>
          <w:tab w:val="left" w:pos="420"/>
        </w:tabs>
        <w:spacing w:line="360" w:lineRule="auto"/>
        <w:ind w:left="1095" w:leftChars="350" w:hanging="360" w:hangingChars="150"/>
        <w:rPr>
          <w:sz w:val="24"/>
        </w:rPr>
      </w:pPr>
      <w:r>
        <w:rPr>
          <w:sz w:val="24"/>
        </w:rPr>
        <w:t>4）使用速凝剂等外</w:t>
      </w:r>
      <w:r>
        <w:rPr>
          <w:rFonts w:hint="eastAsia"/>
          <w:sz w:val="24"/>
        </w:rPr>
        <w:t>加</w:t>
      </w:r>
      <w:r>
        <w:rPr>
          <w:sz w:val="24"/>
        </w:rPr>
        <w:t>剂时，应做外加剂与水泥的相容性试验及水泥净浆凝结试验，并应通过试验确定外</w:t>
      </w:r>
      <w:r>
        <w:rPr>
          <w:rFonts w:hint="eastAsia"/>
          <w:sz w:val="24"/>
        </w:rPr>
        <w:t>加</w:t>
      </w:r>
      <w:r>
        <w:rPr>
          <w:sz w:val="24"/>
        </w:rPr>
        <w:t>剂掺量及掺入方法；</w:t>
      </w:r>
    </w:p>
    <w:p>
      <w:pPr>
        <w:tabs>
          <w:tab w:val="left" w:pos="-142"/>
          <w:tab w:val="left" w:pos="420"/>
        </w:tabs>
        <w:spacing w:line="360" w:lineRule="auto"/>
        <w:ind w:left="1095" w:leftChars="350" w:hanging="360" w:hangingChars="150"/>
        <w:rPr>
          <w:sz w:val="24"/>
        </w:rPr>
      </w:pPr>
      <w:r>
        <w:rPr>
          <w:sz w:val="24"/>
        </w:rPr>
        <w:t>5）喷射作业应分段依次进行，同一分段内喷射顺序应自下而上均匀喷射，一次射厚度宜为30mm～80mm；</w:t>
      </w:r>
    </w:p>
    <w:p>
      <w:pPr>
        <w:tabs>
          <w:tab w:val="left" w:pos="-142"/>
          <w:tab w:val="left" w:pos="420"/>
        </w:tabs>
        <w:spacing w:line="360" w:lineRule="auto"/>
        <w:ind w:left="1095" w:leftChars="350" w:hanging="360" w:hangingChars="150"/>
        <w:rPr>
          <w:sz w:val="24"/>
        </w:rPr>
      </w:pPr>
      <w:r>
        <w:rPr>
          <w:sz w:val="24"/>
        </w:rPr>
        <w:t>6）喷射混凝土时，喷头与土钉墙墙面应保持垂直，其距离宜为0.6m～1.0m；</w:t>
      </w:r>
    </w:p>
    <w:p>
      <w:pPr>
        <w:tabs>
          <w:tab w:val="left" w:pos="-142"/>
          <w:tab w:val="left" w:pos="420"/>
        </w:tabs>
        <w:spacing w:line="360" w:lineRule="auto"/>
        <w:ind w:left="1095" w:leftChars="350" w:hanging="360" w:hangingChars="150"/>
        <w:rPr>
          <w:sz w:val="24"/>
        </w:rPr>
      </w:pPr>
      <w:r>
        <w:rPr>
          <w:sz w:val="24"/>
        </w:rPr>
        <w:t>7）喷射混凝土终凝2h后应及时喷水养护；</w:t>
      </w:r>
    </w:p>
    <w:p>
      <w:pPr>
        <w:tabs>
          <w:tab w:val="left" w:pos="-142"/>
          <w:tab w:val="left" w:pos="420"/>
        </w:tabs>
        <w:spacing w:line="360" w:lineRule="auto"/>
        <w:ind w:left="1095" w:leftChars="350" w:hanging="360" w:hangingChars="150"/>
        <w:rPr>
          <w:sz w:val="24"/>
        </w:rPr>
      </w:pPr>
      <w:r>
        <w:rPr>
          <w:sz w:val="24"/>
        </w:rPr>
        <w:t>8）钢筋与坡面的间隙应大于20mm；</w:t>
      </w:r>
    </w:p>
    <w:p>
      <w:pPr>
        <w:tabs>
          <w:tab w:val="left" w:pos="-142"/>
          <w:tab w:val="left" w:pos="420"/>
        </w:tabs>
        <w:spacing w:line="360" w:lineRule="auto"/>
        <w:ind w:left="1095" w:leftChars="350" w:hanging="360" w:hangingChars="150"/>
        <w:rPr>
          <w:sz w:val="24"/>
        </w:rPr>
      </w:pPr>
      <w:r>
        <w:rPr>
          <w:sz w:val="24"/>
        </w:rPr>
        <w:t>9）钢筋网可采用绑扎固定；钢筋连接宜采用搭接焊，焊缝长度不应小于钢筋直径的10倍；</w:t>
      </w:r>
    </w:p>
    <w:p>
      <w:pPr>
        <w:tabs>
          <w:tab w:val="left" w:pos="-142"/>
          <w:tab w:val="left" w:pos="420"/>
        </w:tabs>
        <w:spacing w:line="360" w:lineRule="auto"/>
        <w:ind w:left="1095" w:leftChars="350" w:hanging="360" w:hangingChars="150"/>
        <w:rPr>
          <w:sz w:val="24"/>
        </w:rPr>
      </w:pPr>
      <w:r>
        <w:rPr>
          <w:sz w:val="24"/>
        </w:rPr>
        <w:t>10）采用双层钢筋网时，第二层钢筋网应在第一层钢筋网被喷射混凝土覆盖后铺设。</w:t>
      </w:r>
    </w:p>
    <w:p>
      <w:pPr>
        <w:pStyle w:val="79"/>
        <w:widowControl/>
        <w:spacing w:line="360" w:lineRule="auto"/>
        <w:ind w:firstLine="480"/>
        <w:rPr>
          <w:rFonts w:ascii="Times New Roman" w:hAnsi="Times New Roman"/>
          <w:sz w:val="24"/>
        </w:rPr>
      </w:pPr>
      <w:r>
        <w:rPr>
          <w:rFonts w:hint="eastAsia" w:ascii="Times New Roman" w:hAnsi="Times New Roman"/>
          <w:sz w:val="24"/>
        </w:rPr>
        <w:t>9</w:t>
      </w:r>
      <w:r>
        <w:rPr>
          <w:rFonts w:ascii="Times New Roman" w:hAnsi="Times New Roman"/>
          <w:sz w:val="24"/>
        </w:rPr>
        <w:t xml:space="preserve">  土钉墙的质量检测应符合下列规定：</w:t>
      </w:r>
    </w:p>
    <w:p>
      <w:pPr>
        <w:tabs>
          <w:tab w:val="left" w:pos="-142"/>
          <w:tab w:val="left" w:pos="420"/>
        </w:tabs>
        <w:spacing w:line="360" w:lineRule="auto"/>
        <w:ind w:left="1095" w:leftChars="350" w:hanging="360" w:hangingChars="150"/>
        <w:rPr>
          <w:sz w:val="24"/>
        </w:rPr>
      </w:pPr>
      <w:r>
        <w:rPr>
          <w:sz w:val="24"/>
        </w:rPr>
        <w:t>1）应对土钉的抗拔承载力进行检测，抗拔试验可采用逐级加荷法；土钉的检测数量不宜少于土钉总数的1%，且同一土层中的土钉检测数量不应少于3根；</w:t>
      </w:r>
      <w:r>
        <w:rPr>
          <w:rFonts w:hint="eastAsia"/>
          <w:sz w:val="24"/>
        </w:rPr>
        <w:t>对于安全等级为二级、三级的土钉墙，抗拔承载力检测值分别不应小于</w:t>
      </w:r>
      <w:r>
        <w:rPr>
          <w:sz w:val="24"/>
        </w:rPr>
        <w:t>土钉轴向拉力标准值的1.</w:t>
      </w:r>
      <w:r>
        <w:rPr>
          <w:rFonts w:hint="eastAsia"/>
          <w:sz w:val="24"/>
        </w:rPr>
        <w:t>3</w:t>
      </w:r>
      <w:r>
        <w:rPr>
          <w:sz w:val="24"/>
        </w:rPr>
        <w:t>倍</w:t>
      </w:r>
      <w:r>
        <w:rPr>
          <w:rFonts w:hint="eastAsia"/>
          <w:sz w:val="24"/>
        </w:rPr>
        <w:t>、1.2倍</w:t>
      </w:r>
      <w:r>
        <w:rPr>
          <w:sz w:val="24"/>
        </w:rPr>
        <w:t>；检测土钉应按随机抽样的原则选取，并应在土钉固结体强度达到设计强度的70％后进行试验；试验方法应符合</w:t>
      </w:r>
      <w:r>
        <w:rPr>
          <w:rFonts w:hint="eastAsia"/>
          <w:sz w:val="24"/>
        </w:rPr>
        <w:t>本规程附录E</w:t>
      </w:r>
      <w:r>
        <w:rPr>
          <w:sz w:val="24"/>
        </w:rPr>
        <w:t>的规定；</w:t>
      </w:r>
    </w:p>
    <w:p>
      <w:pPr>
        <w:tabs>
          <w:tab w:val="left" w:pos="-142"/>
          <w:tab w:val="left" w:pos="420"/>
        </w:tabs>
        <w:spacing w:line="360" w:lineRule="auto"/>
        <w:ind w:left="1095" w:leftChars="350" w:hanging="360" w:hangingChars="150"/>
        <w:rPr>
          <w:sz w:val="24"/>
        </w:rPr>
      </w:pPr>
      <w:r>
        <w:rPr>
          <w:sz w:val="24"/>
        </w:rPr>
        <w:t>2）土钉墙面层喷射混凝土应进行现场试块强度试验，每500m</w:t>
      </w:r>
      <w:r>
        <w:rPr>
          <w:sz w:val="24"/>
          <w:vertAlign w:val="superscript"/>
        </w:rPr>
        <w:t>2</w:t>
      </w:r>
      <w:r>
        <w:rPr>
          <w:sz w:val="24"/>
        </w:rPr>
        <w:t>喷射混凝土面积试验数量不应少于一组，每组试块不应少于3个；</w:t>
      </w:r>
    </w:p>
    <w:p>
      <w:pPr>
        <w:tabs>
          <w:tab w:val="left" w:pos="-142"/>
          <w:tab w:val="left" w:pos="420"/>
        </w:tabs>
        <w:spacing w:line="360" w:lineRule="auto"/>
        <w:ind w:left="1095" w:leftChars="350" w:hanging="360" w:hangingChars="150"/>
        <w:rPr>
          <w:sz w:val="24"/>
        </w:rPr>
      </w:pPr>
      <w:r>
        <w:rPr>
          <w:sz w:val="24"/>
        </w:rPr>
        <w:t>3）应对土钉墙的喷射混凝土面层厚度进行检测，每500m</w:t>
      </w:r>
      <w:r>
        <w:rPr>
          <w:sz w:val="24"/>
          <w:vertAlign w:val="superscript"/>
        </w:rPr>
        <w:t>2</w:t>
      </w:r>
      <w:r>
        <w:rPr>
          <w:sz w:val="24"/>
        </w:rPr>
        <w:t>喷射混凝土面积检测数量不应少于一组，每组的检测点不应少于3个；全部检测点的面层厚度平均值不应小于厚度设计值，最小厚度不应小于厚度设计值的80％</w:t>
      </w:r>
      <w:r>
        <w:rPr>
          <w:rFonts w:hint="eastAsia"/>
          <w:sz w:val="24"/>
        </w:rPr>
        <w:t>；</w:t>
      </w:r>
    </w:p>
    <w:p>
      <w:pPr>
        <w:tabs>
          <w:tab w:val="left" w:pos="-142"/>
          <w:tab w:val="left" w:pos="420"/>
        </w:tabs>
        <w:spacing w:line="360" w:lineRule="auto"/>
        <w:ind w:left="1095" w:leftChars="350" w:hanging="360" w:hangingChars="150"/>
        <w:rPr>
          <w:sz w:val="24"/>
        </w:rPr>
      </w:pPr>
      <w:r>
        <w:rPr>
          <w:rFonts w:hint="eastAsia"/>
          <w:sz w:val="24"/>
        </w:rPr>
        <w:t>4） 复合土钉墙中的预应力锚杆，应按本规程</w:t>
      </w:r>
      <w:r>
        <w:rPr>
          <w:sz w:val="24"/>
        </w:rPr>
        <w:t>附录</w:t>
      </w:r>
      <w:r>
        <w:rPr>
          <w:rFonts w:hint="eastAsia"/>
          <w:sz w:val="24"/>
        </w:rPr>
        <w:t>D</w:t>
      </w:r>
      <w:r>
        <w:rPr>
          <w:sz w:val="24"/>
        </w:rPr>
        <w:t>的规定</w:t>
      </w:r>
      <w:r>
        <w:rPr>
          <w:rFonts w:hint="eastAsia"/>
          <w:sz w:val="24"/>
        </w:rPr>
        <w:t>进行抗拔承载力检测；</w:t>
      </w:r>
    </w:p>
    <w:p>
      <w:pPr>
        <w:tabs>
          <w:tab w:val="left" w:pos="-142"/>
          <w:tab w:val="left" w:pos="420"/>
        </w:tabs>
        <w:spacing w:line="360" w:lineRule="auto"/>
        <w:ind w:left="1095" w:leftChars="350" w:hanging="360" w:hangingChars="150"/>
        <w:rPr>
          <w:sz w:val="24"/>
        </w:rPr>
      </w:pPr>
      <w:r>
        <w:rPr>
          <w:rFonts w:hint="eastAsia"/>
          <w:sz w:val="24"/>
        </w:rPr>
        <w:t>5）复合土钉墙中的</w:t>
      </w:r>
      <w:r>
        <w:rPr>
          <w:rFonts w:hint="eastAsia"/>
          <w:kern w:val="0"/>
          <w:sz w:val="24"/>
        </w:rPr>
        <w:t>截水</w:t>
      </w:r>
      <w:r>
        <w:rPr>
          <w:kern w:val="0"/>
          <w:sz w:val="24"/>
        </w:rPr>
        <w:t>帷幕质量检测应符合</w:t>
      </w:r>
      <w:r>
        <w:rPr>
          <w:rFonts w:hint="eastAsia"/>
          <w:kern w:val="0"/>
          <w:sz w:val="24"/>
        </w:rPr>
        <w:t>《建筑基坑支护技术规程》JGJ 120有关</w:t>
      </w:r>
      <w:r>
        <w:rPr>
          <w:kern w:val="0"/>
          <w:sz w:val="24"/>
        </w:rPr>
        <w:t>规定</w:t>
      </w:r>
      <w:r>
        <w:rPr>
          <w:rFonts w:hint="eastAsia"/>
          <w:kern w:val="0"/>
          <w:sz w:val="24"/>
        </w:rPr>
        <w:t>。</w:t>
      </w:r>
    </w:p>
    <w:p>
      <w:pPr>
        <w:spacing w:line="360" w:lineRule="auto"/>
        <w:jc w:val="center"/>
        <w:outlineLvl w:val="1"/>
        <w:rPr>
          <w:b/>
          <w:sz w:val="24"/>
        </w:rPr>
      </w:pPr>
      <w:bookmarkStart w:id="60" w:name="_Toc87018271"/>
      <w:bookmarkStart w:id="61" w:name="_Toc87018340"/>
      <w:r>
        <w:rPr>
          <w:b/>
          <w:sz w:val="24"/>
        </w:rPr>
        <w:t>5.9  型钢水泥土搅拌墙</w:t>
      </w:r>
      <w:bookmarkEnd w:id="60"/>
      <w:bookmarkEnd w:id="61"/>
    </w:p>
    <w:p>
      <w:pPr>
        <w:spacing w:line="360" w:lineRule="auto"/>
        <w:rPr>
          <w:sz w:val="24"/>
        </w:rPr>
      </w:pPr>
      <w:r>
        <w:rPr>
          <w:b/>
          <w:sz w:val="24"/>
        </w:rPr>
        <w:t xml:space="preserve">5.9.1  </w:t>
      </w:r>
      <w:r>
        <w:rPr>
          <w:sz w:val="24"/>
        </w:rPr>
        <w:t>型钢水泥土搅拌墙的</w:t>
      </w:r>
      <w:r>
        <w:rPr>
          <w:rFonts w:hint="eastAsia"/>
          <w:sz w:val="24"/>
        </w:rPr>
        <w:t>选型和</w:t>
      </w:r>
      <w:r>
        <w:rPr>
          <w:sz w:val="24"/>
        </w:rPr>
        <w:t>适用范围：</w:t>
      </w:r>
    </w:p>
    <w:p>
      <w:pPr>
        <w:spacing w:line="360" w:lineRule="auto"/>
        <w:ind w:firstLine="480" w:firstLineChars="200"/>
        <w:rPr>
          <w:sz w:val="24"/>
        </w:rPr>
      </w:pPr>
      <w:r>
        <w:rPr>
          <w:sz w:val="24"/>
        </w:rPr>
        <w:t>1  适用于能够施工三轴水泥土搅拌桩的场地；</w:t>
      </w:r>
    </w:p>
    <w:p>
      <w:pPr>
        <w:spacing w:line="360" w:lineRule="auto"/>
        <w:ind w:firstLine="480" w:firstLineChars="200"/>
        <w:rPr>
          <w:sz w:val="24"/>
        </w:rPr>
      </w:pPr>
      <w:r>
        <w:rPr>
          <w:rFonts w:hint="eastAsia"/>
          <w:sz w:val="24"/>
        </w:rPr>
        <w:t>2</w:t>
      </w:r>
      <w:r>
        <w:rPr>
          <w:sz w:val="24"/>
        </w:rPr>
        <w:t xml:space="preserve">  适用</w:t>
      </w:r>
      <w:r>
        <w:rPr>
          <w:rFonts w:hint="eastAsia"/>
          <w:sz w:val="24"/>
        </w:rPr>
        <w:t>于</w:t>
      </w:r>
      <w:r>
        <w:rPr>
          <w:sz w:val="24"/>
        </w:rPr>
        <w:t>淤泥、淤泥质土、</w:t>
      </w:r>
      <w:r>
        <w:rPr>
          <w:rFonts w:hint="eastAsia"/>
          <w:sz w:val="24"/>
        </w:rPr>
        <w:t>泥炭、泥炭质土、</w:t>
      </w:r>
      <w:r>
        <w:rPr>
          <w:sz w:val="24"/>
        </w:rPr>
        <w:t>黏性土</w:t>
      </w:r>
      <w:r>
        <w:rPr>
          <w:rFonts w:hint="eastAsia"/>
          <w:sz w:val="24"/>
        </w:rPr>
        <w:t>、</w:t>
      </w:r>
      <w:r>
        <w:rPr>
          <w:sz w:val="24"/>
        </w:rPr>
        <w:t>砂性土</w:t>
      </w:r>
      <w:r>
        <w:rPr>
          <w:rFonts w:hint="eastAsia"/>
          <w:sz w:val="24"/>
        </w:rPr>
        <w:t>；</w:t>
      </w:r>
    </w:p>
    <w:p>
      <w:pPr>
        <w:spacing w:line="360" w:lineRule="auto"/>
        <w:ind w:firstLine="480" w:firstLineChars="200"/>
        <w:rPr>
          <w:sz w:val="24"/>
        </w:rPr>
      </w:pPr>
      <w:r>
        <w:rPr>
          <w:rFonts w:hint="eastAsia"/>
          <w:sz w:val="24"/>
        </w:rPr>
        <w:t>3</w:t>
      </w:r>
      <w:r>
        <w:rPr>
          <w:sz w:val="24"/>
        </w:rPr>
        <w:t xml:space="preserve">  型钢水泥土搅拌墙的选型及参数设计需满足</w:t>
      </w:r>
      <w:r>
        <w:rPr>
          <w:rFonts w:hint="eastAsia"/>
          <w:sz w:val="24"/>
        </w:rPr>
        <w:t>基坑稳定及</w:t>
      </w:r>
      <w:r>
        <w:rPr>
          <w:sz w:val="24"/>
        </w:rPr>
        <w:t>周边环境保护的要求</w:t>
      </w:r>
      <w:r>
        <w:rPr>
          <w:rFonts w:hint="eastAsia"/>
          <w:sz w:val="24"/>
        </w:rPr>
        <w:t>。</w:t>
      </w:r>
    </w:p>
    <w:p>
      <w:pPr>
        <w:spacing w:line="360" w:lineRule="auto"/>
        <w:ind w:firstLine="480" w:firstLineChars="200"/>
        <w:rPr>
          <w:sz w:val="24"/>
        </w:rPr>
      </w:pPr>
      <w:r>
        <w:rPr>
          <w:rFonts w:hint="eastAsia"/>
          <w:sz w:val="24"/>
        </w:rPr>
        <w:t>4</w:t>
      </w:r>
      <w:r>
        <w:rPr>
          <w:b/>
          <w:sz w:val="24"/>
        </w:rPr>
        <w:t xml:space="preserve">  </w:t>
      </w:r>
      <w:r>
        <w:rPr>
          <w:sz w:val="24"/>
        </w:rPr>
        <w:t>三轴水泥土搅拌桩直径主要</w:t>
      </w:r>
      <w:r>
        <w:rPr>
          <w:rFonts w:hint="eastAsia"/>
          <w:sz w:val="24"/>
        </w:rPr>
        <w:t>有</w:t>
      </w:r>
      <w:r>
        <w:rPr>
          <w:sz w:val="24"/>
        </w:rPr>
        <w:t>650mm、850mm、1000mm三种类型，其与型钢的标准配置分别为内插H500、H700、H800型钢；</w:t>
      </w:r>
    </w:p>
    <w:p>
      <w:pPr>
        <w:spacing w:line="360" w:lineRule="auto"/>
        <w:ind w:firstLine="480" w:firstLineChars="200"/>
        <w:rPr>
          <w:sz w:val="24"/>
        </w:rPr>
      </w:pPr>
      <w:r>
        <w:rPr>
          <w:rFonts w:hint="eastAsia"/>
          <w:sz w:val="24"/>
        </w:rPr>
        <w:t>5</w:t>
      </w:r>
      <w:r>
        <w:rPr>
          <w:b/>
          <w:sz w:val="24"/>
        </w:rPr>
        <w:t xml:space="preserve">  </w:t>
      </w:r>
      <w:r>
        <w:rPr>
          <w:sz w:val="24"/>
        </w:rPr>
        <w:t>型钢水泥土搅拌墙可单独作为排桩支护，也可与锚</w:t>
      </w:r>
      <w:r>
        <w:rPr>
          <w:rFonts w:hint="eastAsia"/>
          <w:sz w:val="24"/>
        </w:rPr>
        <w:t>杆</w:t>
      </w:r>
      <w:r>
        <w:rPr>
          <w:sz w:val="24"/>
        </w:rPr>
        <w:t>、支撑体系</w:t>
      </w:r>
      <w:r>
        <w:rPr>
          <w:rFonts w:hint="eastAsia"/>
          <w:sz w:val="24"/>
        </w:rPr>
        <w:t>等</w:t>
      </w:r>
      <w:r>
        <w:rPr>
          <w:sz w:val="24"/>
        </w:rPr>
        <w:t>组合。</w:t>
      </w:r>
    </w:p>
    <w:p>
      <w:pPr>
        <w:spacing w:line="360" w:lineRule="auto"/>
        <w:rPr>
          <w:sz w:val="24"/>
        </w:rPr>
      </w:pPr>
      <w:r>
        <w:rPr>
          <w:b/>
          <w:sz w:val="24"/>
        </w:rPr>
        <w:t>5.9.</w:t>
      </w:r>
      <w:r>
        <w:rPr>
          <w:rFonts w:hint="eastAsia"/>
          <w:b/>
          <w:sz w:val="24"/>
        </w:rPr>
        <w:t>2</w:t>
      </w:r>
      <w:r>
        <w:rPr>
          <w:sz w:val="24"/>
        </w:rPr>
        <w:t xml:space="preserve">  型钢水泥土</w:t>
      </w:r>
      <w:r>
        <w:rPr>
          <w:rFonts w:hint="eastAsia"/>
          <w:sz w:val="24"/>
        </w:rPr>
        <w:t>搅拌</w:t>
      </w:r>
      <w:r>
        <w:rPr>
          <w:sz w:val="24"/>
        </w:rPr>
        <w:t>墙的设计计算与验算：</w:t>
      </w:r>
    </w:p>
    <w:p>
      <w:pPr>
        <w:spacing w:line="360" w:lineRule="auto"/>
        <w:ind w:firstLine="480" w:firstLineChars="200"/>
        <w:rPr>
          <w:sz w:val="24"/>
        </w:rPr>
      </w:pPr>
      <w:r>
        <w:rPr>
          <w:sz w:val="24"/>
        </w:rPr>
        <w:t>1</w:t>
      </w:r>
      <w:r>
        <w:rPr>
          <w:b/>
          <w:sz w:val="24"/>
        </w:rPr>
        <w:t xml:space="preserve">  </w:t>
      </w:r>
      <w:r>
        <w:rPr>
          <w:sz w:val="24"/>
        </w:rPr>
        <w:t>型钢水泥土</w:t>
      </w:r>
      <w:r>
        <w:rPr>
          <w:rFonts w:hint="eastAsia"/>
          <w:sz w:val="24"/>
        </w:rPr>
        <w:t>搅拌</w:t>
      </w:r>
      <w:r>
        <w:rPr>
          <w:sz w:val="24"/>
        </w:rPr>
        <w:t>墙的弯矩、剪力计算同本规程5.9.</w:t>
      </w:r>
      <w:r>
        <w:rPr>
          <w:rFonts w:hint="eastAsia"/>
          <w:sz w:val="24"/>
        </w:rPr>
        <w:t>3</w:t>
      </w:r>
      <w:r>
        <w:rPr>
          <w:sz w:val="24"/>
        </w:rPr>
        <w:t>条的规定；</w:t>
      </w:r>
    </w:p>
    <w:p>
      <w:pPr>
        <w:spacing w:line="360" w:lineRule="auto"/>
        <w:ind w:firstLine="480" w:firstLineChars="200"/>
        <w:rPr>
          <w:sz w:val="24"/>
        </w:rPr>
      </w:pPr>
      <w:r>
        <w:rPr>
          <w:sz w:val="24"/>
        </w:rPr>
        <w:t>2</w:t>
      </w:r>
      <w:r>
        <w:rPr>
          <w:b/>
          <w:sz w:val="24"/>
        </w:rPr>
        <w:t xml:space="preserve">  </w:t>
      </w:r>
      <w:r>
        <w:rPr>
          <w:sz w:val="24"/>
        </w:rPr>
        <w:t>型钢的入土深度主要由基坑整体稳定性、</w:t>
      </w:r>
      <w:r>
        <w:rPr>
          <w:rFonts w:hint="eastAsia"/>
          <w:sz w:val="24"/>
        </w:rPr>
        <w:t>抗</w:t>
      </w:r>
      <w:r>
        <w:rPr>
          <w:sz w:val="24"/>
        </w:rPr>
        <w:t>隆起稳定性和</w:t>
      </w:r>
      <w:r>
        <w:rPr>
          <w:rFonts w:hint="eastAsia"/>
          <w:sz w:val="24"/>
        </w:rPr>
        <w:t>抗倾覆</w:t>
      </w:r>
      <w:r>
        <w:rPr>
          <w:sz w:val="24"/>
        </w:rPr>
        <w:t>稳定性综合确定，围护墙的深度以内插型钢底端为准，不计型钢端部以下水泥土搅拌桩的作用。具体计算方法可参考5.</w:t>
      </w:r>
      <w:r>
        <w:rPr>
          <w:rFonts w:hint="eastAsia"/>
          <w:sz w:val="24"/>
        </w:rPr>
        <w:t>5</w:t>
      </w:r>
      <w:r>
        <w:rPr>
          <w:sz w:val="24"/>
        </w:rPr>
        <w:t>节排桩的相关规定；</w:t>
      </w:r>
    </w:p>
    <w:p>
      <w:pPr>
        <w:spacing w:line="360" w:lineRule="auto"/>
        <w:ind w:firstLine="480" w:firstLineChars="200"/>
        <w:rPr>
          <w:sz w:val="24"/>
        </w:rPr>
      </w:pPr>
      <w:r>
        <w:rPr>
          <w:sz w:val="24"/>
        </w:rPr>
        <w:t>3</w:t>
      </w:r>
      <w:r>
        <w:rPr>
          <w:b/>
          <w:sz w:val="24"/>
        </w:rPr>
        <w:t xml:space="preserve">  </w:t>
      </w:r>
      <w:r>
        <w:rPr>
          <w:sz w:val="24"/>
        </w:rPr>
        <w:t>水泥土搅拌桩入土深度应满足基坑</w:t>
      </w:r>
      <w:r>
        <w:rPr>
          <w:rFonts w:hint="eastAsia"/>
          <w:sz w:val="24"/>
        </w:rPr>
        <w:t>流土</w:t>
      </w:r>
      <w:r>
        <w:rPr>
          <w:sz w:val="24"/>
        </w:rPr>
        <w:t>稳定和突涌稳定的要求。</w:t>
      </w:r>
    </w:p>
    <w:p>
      <w:pPr>
        <w:spacing w:line="360" w:lineRule="auto"/>
        <w:rPr>
          <w:sz w:val="24"/>
        </w:rPr>
      </w:pPr>
      <w:r>
        <w:rPr>
          <w:b/>
          <w:sz w:val="24"/>
        </w:rPr>
        <w:t>5.9.</w:t>
      </w:r>
      <w:r>
        <w:rPr>
          <w:rFonts w:hint="eastAsia"/>
          <w:b/>
          <w:sz w:val="24"/>
        </w:rPr>
        <w:t>3</w:t>
      </w:r>
      <w:r>
        <w:rPr>
          <w:sz w:val="24"/>
        </w:rPr>
        <w:t xml:space="preserve">  型钢截面和型钢间距设计</w:t>
      </w:r>
    </w:p>
    <w:p>
      <w:pPr>
        <w:spacing w:line="360" w:lineRule="auto"/>
        <w:ind w:firstLine="480" w:firstLineChars="200"/>
        <w:rPr>
          <w:sz w:val="24"/>
        </w:rPr>
      </w:pPr>
      <w:r>
        <w:rPr>
          <w:sz w:val="24"/>
        </w:rPr>
        <w:t>1  型钢截面</w:t>
      </w:r>
    </w:p>
    <w:p>
      <w:pPr>
        <w:spacing w:line="360" w:lineRule="auto"/>
        <w:ind w:firstLine="720" w:firstLineChars="300"/>
        <w:rPr>
          <w:sz w:val="24"/>
        </w:rPr>
      </w:pPr>
      <w:r>
        <w:rPr>
          <w:sz w:val="24"/>
        </w:rPr>
        <w:t>1）型钢水泥土</w:t>
      </w:r>
      <w:r>
        <w:rPr>
          <w:rFonts w:hint="eastAsia"/>
          <w:sz w:val="24"/>
        </w:rPr>
        <w:t>搅拌</w:t>
      </w:r>
      <w:r>
        <w:rPr>
          <w:sz w:val="24"/>
        </w:rPr>
        <w:t>墙</w:t>
      </w:r>
      <w:r>
        <w:rPr>
          <w:rFonts w:hint="eastAsia"/>
          <w:sz w:val="24"/>
        </w:rPr>
        <w:t>所受</w:t>
      </w:r>
      <w:r>
        <w:rPr>
          <w:sz w:val="24"/>
        </w:rPr>
        <w:t>的弯矩全部由型钢承担，型钢的抗弯承载力应符合下式要求：</w:t>
      </w:r>
    </w:p>
    <w:p>
      <w:pPr>
        <w:spacing w:line="360" w:lineRule="auto"/>
        <w:jc w:val="right"/>
        <w:rPr>
          <w:sz w:val="24"/>
        </w:rPr>
      </w:pPr>
      <w:r>
        <w:rPr>
          <w:position w:val="-24"/>
          <w:sz w:val="24"/>
        </w:rPr>
        <w:object>
          <v:shape id="_x0000_i1104" o:spt="75" type="#_x0000_t75" style="height:30.65pt;width:70.1pt;" o:ole="t" filled="f" coordsize="21600,21600">
            <v:path/>
            <v:fill on="f" focussize="0,0"/>
            <v:stroke/>
            <v:imagedata r:id="rId197" o:title=""/>
            <o:lock v:ext="edit" aspectratio="t"/>
            <w10:wrap type="none"/>
            <w10:anchorlock/>
          </v:shape>
          <o:OLEObject Type="Embed" ProgID="Equation.DSMT4" ShapeID="_x0000_i1104" DrawAspect="Content" ObjectID="_1468075804" r:id="rId196">
            <o:LockedField>false</o:LockedField>
          </o:OLEObject>
        </w:object>
      </w:r>
      <w:r>
        <w:rPr>
          <w:sz w:val="24"/>
        </w:rPr>
        <w:t xml:space="preserve">                      （5.9.4-1）</w:t>
      </w:r>
    </w:p>
    <w:p>
      <w:pPr>
        <w:spacing w:line="360" w:lineRule="auto"/>
        <w:ind w:left="1162" w:hanging="1161" w:hangingChars="484"/>
        <w:jc w:val="left"/>
        <w:rPr>
          <w:sz w:val="24"/>
        </w:rPr>
      </w:pPr>
      <w:r>
        <w:rPr>
          <w:sz w:val="24"/>
        </w:rPr>
        <w:t>式中：</w:t>
      </w:r>
      <w:r>
        <w:rPr>
          <w:i/>
          <w:sz w:val="24"/>
        </w:rPr>
        <w:t>γ</w:t>
      </w:r>
      <w:r>
        <w:rPr>
          <w:sz w:val="24"/>
          <w:vertAlign w:val="subscript"/>
        </w:rPr>
        <w:t>0</w:t>
      </w:r>
      <w:r>
        <w:rPr>
          <w:sz w:val="24"/>
        </w:rPr>
        <w:t>—</w:t>
      </w:r>
      <w:r>
        <w:rPr>
          <w:rFonts w:hint="eastAsia"/>
          <w:sz w:val="24"/>
        </w:rPr>
        <w:t>支护结构重要性系数</w:t>
      </w:r>
      <w:r>
        <w:rPr>
          <w:sz w:val="24"/>
        </w:rPr>
        <w:t>，</w:t>
      </w:r>
      <w:r>
        <w:rPr>
          <w:rFonts w:hint="eastAsia"/>
          <w:sz w:val="24"/>
        </w:rPr>
        <w:t>对安全等级为一级、二级、三级的支护结构，其结构重要性系数（</w:t>
      </w:r>
      <w:r>
        <w:rPr>
          <w:i/>
          <w:sz w:val="24"/>
        </w:rPr>
        <w:t>γ</w:t>
      </w:r>
      <w:r>
        <w:rPr>
          <w:sz w:val="24"/>
          <w:vertAlign w:val="subscript"/>
        </w:rPr>
        <w:t>0</w:t>
      </w:r>
      <w:r>
        <w:rPr>
          <w:rFonts w:hint="eastAsia"/>
          <w:sz w:val="24"/>
        </w:rPr>
        <w:t>）分别不应小于1.10、1.00、0.90</w:t>
      </w:r>
      <w:r>
        <w:rPr>
          <w:sz w:val="24"/>
        </w:rPr>
        <w:t>；</w:t>
      </w:r>
    </w:p>
    <w:p>
      <w:pPr>
        <w:spacing w:line="360" w:lineRule="auto"/>
        <w:ind w:firstLine="600" w:firstLineChars="250"/>
        <w:jc w:val="left"/>
        <w:rPr>
          <w:sz w:val="24"/>
        </w:rPr>
      </w:pPr>
      <w:r>
        <w:rPr>
          <w:i/>
          <w:sz w:val="24"/>
        </w:rPr>
        <w:t>M</w:t>
      </w:r>
      <w:r>
        <w:rPr>
          <w:i/>
          <w:sz w:val="24"/>
          <w:vertAlign w:val="subscript"/>
        </w:rPr>
        <w:t>k</w:t>
      </w:r>
      <w:r>
        <w:rPr>
          <w:sz w:val="24"/>
        </w:rPr>
        <w:t>—</w:t>
      </w:r>
      <w:r>
        <w:rPr>
          <w:rFonts w:hint="eastAsia"/>
          <w:sz w:val="24"/>
        </w:rPr>
        <w:t>作用于</w:t>
      </w:r>
      <w:r>
        <w:rPr>
          <w:sz w:val="24"/>
        </w:rPr>
        <w:t>型钢水泥土搅拌墙的弯矩标准值（N·mm）；</w:t>
      </w:r>
    </w:p>
    <w:p>
      <w:pPr>
        <w:spacing w:line="360" w:lineRule="auto"/>
        <w:ind w:firstLine="720" w:firstLineChars="300"/>
        <w:jc w:val="left"/>
        <w:rPr>
          <w:sz w:val="24"/>
        </w:rPr>
      </w:pPr>
      <w:r>
        <w:rPr>
          <w:i/>
          <w:sz w:val="24"/>
        </w:rPr>
        <w:t>W</w:t>
      </w:r>
      <w:r>
        <w:rPr>
          <w:sz w:val="24"/>
        </w:rPr>
        <w:t>—型钢沿弯矩作用方向的截面模量（mm</w:t>
      </w:r>
      <w:r>
        <w:rPr>
          <w:sz w:val="24"/>
          <w:vertAlign w:val="superscript"/>
        </w:rPr>
        <w:t>3</w:t>
      </w:r>
      <w:r>
        <w:rPr>
          <w:sz w:val="24"/>
        </w:rPr>
        <w:t>）；</w:t>
      </w:r>
    </w:p>
    <w:p>
      <w:pPr>
        <w:spacing w:line="360" w:lineRule="auto"/>
        <w:ind w:firstLine="840" w:firstLineChars="350"/>
        <w:jc w:val="left"/>
        <w:rPr>
          <w:sz w:val="24"/>
        </w:rPr>
      </w:pPr>
      <w:r>
        <w:rPr>
          <w:i/>
          <w:sz w:val="24"/>
        </w:rPr>
        <w:t>f</w:t>
      </w:r>
      <w:r>
        <w:rPr>
          <w:sz w:val="24"/>
        </w:rPr>
        <w:t>—型钢的抗弯强度设计值（N/mm</w:t>
      </w:r>
      <w:r>
        <w:rPr>
          <w:sz w:val="24"/>
          <w:vertAlign w:val="superscript"/>
        </w:rPr>
        <w:t>2</w:t>
      </w:r>
      <w:r>
        <w:rPr>
          <w:sz w:val="24"/>
        </w:rPr>
        <w:t>）。</w:t>
      </w:r>
    </w:p>
    <w:p>
      <w:pPr>
        <w:spacing w:line="360" w:lineRule="auto"/>
        <w:ind w:firstLine="720" w:firstLineChars="300"/>
        <w:rPr>
          <w:sz w:val="24"/>
        </w:rPr>
      </w:pPr>
      <w:r>
        <w:rPr>
          <w:sz w:val="24"/>
        </w:rPr>
        <w:t>2）型钢水泥土</w:t>
      </w:r>
      <w:r>
        <w:rPr>
          <w:rFonts w:hint="eastAsia"/>
          <w:sz w:val="24"/>
        </w:rPr>
        <w:t>搅拌</w:t>
      </w:r>
      <w:r>
        <w:rPr>
          <w:sz w:val="24"/>
        </w:rPr>
        <w:t>墙</w:t>
      </w:r>
      <w:r>
        <w:rPr>
          <w:rFonts w:hint="eastAsia"/>
          <w:sz w:val="24"/>
        </w:rPr>
        <w:t>所受</w:t>
      </w:r>
      <w:r>
        <w:rPr>
          <w:sz w:val="24"/>
        </w:rPr>
        <w:t>剪力全部由型钢承担，型钢的抗剪承载力应符合下式要求：</w:t>
      </w:r>
    </w:p>
    <w:p>
      <w:pPr>
        <w:spacing w:line="360" w:lineRule="auto"/>
        <w:jc w:val="right"/>
        <w:rPr>
          <w:sz w:val="24"/>
        </w:rPr>
      </w:pPr>
      <w:r>
        <w:rPr>
          <w:position w:val="-30"/>
          <w:sz w:val="24"/>
        </w:rPr>
        <w:t xml:space="preserve">  </w:t>
      </w:r>
      <w:r>
        <w:rPr>
          <w:position w:val="-38"/>
          <w:sz w:val="24"/>
        </w:rPr>
        <w:object>
          <v:shape id="_x0000_i1105" o:spt="75" type="#_x0000_t75" style="height:40.6pt;width:86.95pt;" o:ole="t" filled="f" coordsize="21600,21600">
            <v:path/>
            <v:fill on="f" focussize="0,0"/>
            <v:stroke/>
            <v:imagedata r:id="rId199" o:title=""/>
            <o:lock v:ext="edit" aspectratio="t"/>
            <w10:wrap type="none"/>
            <w10:anchorlock/>
          </v:shape>
          <o:OLEObject Type="Embed" ProgID="Equation.DSMT4" ShapeID="_x0000_i1105" DrawAspect="Content" ObjectID="_1468075805" r:id="rId198">
            <o:LockedField>false</o:LockedField>
          </o:OLEObject>
        </w:object>
      </w:r>
      <w:r>
        <w:rPr>
          <w:position w:val="-30"/>
          <w:sz w:val="24"/>
        </w:rPr>
        <w:t xml:space="preserve">                   </w:t>
      </w:r>
      <w:r>
        <w:rPr>
          <w:sz w:val="24"/>
        </w:rPr>
        <w:t>（5.9.4-2）</w:t>
      </w:r>
    </w:p>
    <w:p>
      <w:pPr>
        <w:spacing w:line="360" w:lineRule="auto"/>
        <w:jc w:val="left"/>
        <w:rPr>
          <w:sz w:val="24"/>
        </w:rPr>
      </w:pPr>
      <w:r>
        <w:rPr>
          <w:sz w:val="24"/>
        </w:rPr>
        <w:t>式中：</w:t>
      </w:r>
      <w:r>
        <w:rPr>
          <w:rFonts w:hint="eastAsia"/>
          <w:i/>
          <w:sz w:val="24"/>
        </w:rPr>
        <w:t>V</w:t>
      </w:r>
      <w:r>
        <w:rPr>
          <w:rFonts w:hint="eastAsia"/>
          <w:i/>
          <w:sz w:val="24"/>
          <w:vertAlign w:val="subscript"/>
        </w:rPr>
        <w:t>k</w:t>
      </w:r>
      <w:r>
        <w:rPr>
          <w:sz w:val="24"/>
        </w:rPr>
        <w:t>—</w:t>
      </w:r>
      <w:r>
        <w:rPr>
          <w:rFonts w:hint="eastAsia"/>
          <w:sz w:val="24"/>
        </w:rPr>
        <w:t>作用于</w:t>
      </w:r>
      <w:r>
        <w:rPr>
          <w:sz w:val="24"/>
        </w:rPr>
        <w:t>型钢水泥土搅拌墙的剪力标准值（N）；</w:t>
      </w:r>
    </w:p>
    <w:p>
      <w:pPr>
        <w:spacing w:line="360" w:lineRule="auto"/>
        <w:ind w:firstLine="840" w:firstLineChars="350"/>
        <w:jc w:val="left"/>
        <w:rPr>
          <w:sz w:val="24"/>
        </w:rPr>
      </w:pPr>
      <w:r>
        <w:rPr>
          <w:i/>
          <w:sz w:val="24"/>
        </w:rPr>
        <w:t>S</w:t>
      </w:r>
      <w:r>
        <w:rPr>
          <w:sz w:val="24"/>
        </w:rPr>
        <w:t>—型钢计算剪应力处</w:t>
      </w:r>
      <w:r>
        <w:rPr>
          <w:rFonts w:hint="eastAsia"/>
          <w:sz w:val="24"/>
        </w:rPr>
        <w:t>以上毛截面对中和轴的面积矩</w:t>
      </w:r>
      <w:r>
        <w:rPr>
          <w:sz w:val="24"/>
        </w:rPr>
        <w:t>（mm</w:t>
      </w:r>
      <w:r>
        <w:rPr>
          <w:sz w:val="24"/>
          <w:vertAlign w:val="superscript"/>
        </w:rPr>
        <w:t>3</w:t>
      </w:r>
      <w:r>
        <w:rPr>
          <w:sz w:val="24"/>
        </w:rPr>
        <w:t>）；</w:t>
      </w:r>
    </w:p>
    <w:p>
      <w:pPr>
        <w:spacing w:line="360" w:lineRule="auto"/>
        <w:ind w:firstLine="840" w:firstLineChars="350"/>
        <w:jc w:val="left"/>
        <w:rPr>
          <w:sz w:val="24"/>
        </w:rPr>
      </w:pPr>
      <w:r>
        <w:rPr>
          <w:i/>
          <w:sz w:val="24"/>
        </w:rPr>
        <w:t>I</w:t>
      </w:r>
      <w:r>
        <w:rPr>
          <w:sz w:val="24"/>
        </w:rPr>
        <w:t>—型钢沿弯矩作用方向的</w:t>
      </w:r>
      <w:r>
        <w:rPr>
          <w:rFonts w:hint="eastAsia"/>
          <w:sz w:val="24"/>
        </w:rPr>
        <w:t>毛</w:t>
      </w:r>
      <w:r>
        <w:rPr>
          <w:sz w:val="24"/>
        </w:rPr>
        <w:t>截面惯性矩（mm</w:t>
      </w:r>
      <w:r>
        <w:rPr>
          <w:sz w:val="24"/>
          <w:vertAlign w:val="superscript"/>
        </w:rPr>
        <w:t>4</w:t>
      </w:r>
      <w:r>
        <w:rPr>
          <w:sz w:val="24"/>
        </w:rPr>
        <w:t>）；</w:t>
      </w:r>
    </w:p>
    <w:p>
      <w:pPr>
        <w:spacing w:line="360" w:lineRule="auto"/>
        <w:ind w:firstLine="720" w:firstLineChars="300"/>
        <w:jc w:val="left"/>
        <w:rPr>
          <w:sz w:val="24"/>
        </w:rPr>
      </w:pPr>
      <w:r>
        <w:rPr>
          <w:i/>
          <w:sz w:val="24"/>
        </w:rPr>
        <w:t>t</w:t>
      </w:r>
      <w:r>
        <w:rPr>
          <w:sz w:val="24"/>
          <w:vertAlign w:val="subscript"/>
        </w:rPr>
        <w:t>w</w:t>
      </w:r>
      <w:r>
        <w:rPr>
          <w:sz w:val="24"/>
        </w:rPr>
        <w:t>—型钢腹板厚度（mm）；</w:t>
      </w:r>
    </w:p>
    <w:p>
      <w:pPr>
        <w:spacing w:line="360" w:lineRule="auto"/>
        <w:ind w:firstLine="720" w:firstLineChars="300"/>
        <w:jc w:val="left"/>
        <w:rPr>
          <w:sz w:val="24"/>
        </w:rPr>
      </w:pPr>
      <w:r>
        <w:rPr>
          <w:i/>
          <w:sz w:val="24"/>
        </w:rPr>
        <w:t>f</w:t>
      </w:r>
      <w:r>
        <w:rPr>
          <w:sz w:val="24"/>
          <w:vertAlign w:val="subscript"/>
        </w:rPr>
        <w:t>v</w:t>
      </w:r>
      <w:r>
        <w:rPr>
          <w:sz w:val="24"/>
        </w:rPr>
        <w:t>—型钢的抗剪强度设计值（N/mm</w:t>
      </w:r>
      <w:r>
        <w:rPr>
          <w:sz w:val="24"/>
          <w:vertAlign w:val="superscript"/>
        </w:rPr>
        <w:t>2</w:t>
      </w:r>
      <w:r>
        <w:rPr>
          <w:sz w:val="24"/>
        </w:rPr>
        <w:t>）。</w:t>
      </w:r>
    </w:p>
    <w:p>
      <w:pPr>
        <w:spacing w:line="360" w:lineRule="auto"/>
        <w:ind w:left="1095" w:leftChars="350" w:hanging="360" w:hangingChars="150"/>
        <w:rPr>
          <w:sz w:val="24"/>
        </w:rPr>
      </w:pPr>
      <w:r>
        <w:rPr>
          <w:sz w:val="24"/>
        </w:rPr>
        <w:t>3）内插型钢</w:t>
      </w:r>
      <w:r>
        <w:rPr>
          <w:rFonts w:hint="eastAsia"/>
          <w:sz w:val="24"/>
        </w:rPr>
        <w:t>宜</w:t>
      </w:r>
      <w:r>
        <w:rPr>
          <w:sz w:val="24"/>
        </w:rPr>
        <w:t>采用H型钢，型钢具体的型号、规格及有关要求按《热轧H型钢和部分T型钢》GB/T11263和《焊接H型钢》YB3301选用。</w:t>
      </w:r>
    </w:p>
    <w:p>
      <w:pPr>
        <w:spacing w:line="360" w:lineRule="auto"/>
        <w:ind w:firstLine="480" w:firstLineChars="200"/>
        <w:rPr>
          <w:sz w:val="24"/>
        </w:rPr>
      </w:pPr>
      <w:r>
        <w:rPr>
          <w:sz w:val="24"/>
        </w:rPr>
        <w:t>2  型钢的间距</w:t>
      </w:r>
    </w:p>
    <w:p>
      <w:pPr>
        <w:spacing w:line="360" w:lineRule="auto"/>
        <w:ind w:firstLine="720" w:firstLineChars="300"/>
        <w:rPr>
          <w:sz w:val="24"/>
        </w:rPr>
      </w:pPr>
      <w:r>
        <w:rPr>
          <w:sz w:val="24"/>
        </w:rPr>
        <w:t>1）型钢常规布置形式有：密插、插一跳一和插二跳一三种，如图5.9.4-1所示：</w:t>
      </w:r>
    </w:p>
    <w:p>
      <w:pPr>
        <w:spacing w:line="360" w:lineRule="auto"/>
        <w:ind w:firstLine="720" w:firstLineChars="300"/>
        <w:rPr>
          <w:sz w:val="24"/>
        </w:rPr>
      </w:pPr>
    </w:p>
    <w:p>
      <w:pPr>
        <w:spacing w:line="360" w:lineRule="auto"/>
        <w:jc w:val="center"/>
        <w:rPr>
          <w:sz w:val="24"/>
        </w:rPr>
      </w:pPr>
      <w:r>
        <w:rPr>
          <w:sz w:val="24"/>
        </w:rPr>
        <w:drawing>
          <wp:inline distT="0" distB="0" distL="0" distR="0">
            <wp:extent cx="2891155" cy="393065"/>
            <wp:effectExtent l="0" t="0" r="0" b="6985"/>
            <wp:docPr id="9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0"/>
                    <pic:cNvPicPr>
                      <a:picLocks noChangeAspect="1" noChangeArrowheads="1"/>
                    </pic:cNvPicPr>
                  </pic:nvPicPr>
                  <pic:blipFill>
                    <a:blip r:embed="rId200" cstate="print">
                      <a:extLst>
                        <a:ext uri="{28A0092B-C50C-407E-A947-70E740481C1C}">
                          <a14:useLocalDpi xmlns:a14="http://schemas.microsoft.com/office/drawing/2010/main" val="0"/>
                        </a:ext>
                      </a:extLst>
                    </a:blip>
                    <a:srcRect l="10091" t="31328" r="32795" b="50684"/>
                    <a:stretch>
                      <a:fillRect/>
                    </a:stretch>
                  </pic:blipFill>
                  <pic:spPr>
                    <a:xfrm>
                      <a:off x="0" y="0"/>
                      <a:ext cx="2891238" cy="393065"/>
                    </a:xfrm>
                    <a:prstGeom prst="rect">
                      <a:avLst/>
                    </a:prstGeom>
                    <a:noFill/>
                    <a:ln>
                      <a:noFill/>
                    </a:ln>
                  </pic:spPr>
                </pic:pic>
              </a:graphicData>
            </a:graphic>
          </wp:inline>
        </w:drawing>
      </w:r>
    </w:p>
    <w:p>
      <w:pPr>
        <w:spacing w:line="360" w:lineRule="auto"/>
        <w:jc w:val="center"/>
        <w:rPr>
          <w:szCs w:val="21"/>
        </w:rPr>
      </w:pPr>
      <w:r>
        <w:rPr>
          <w:szCs w:val="21"/>
        </w:rPr>
        <w:t>（a）密插型</w:t>
      </w:r>
    </w:p>
    <w:p>
      <w:pPr>
        <w:spacing w:line="360" w:lineRule="auto"/>
        <w:jc w:val="center"/>
        <w:rPr>
          <w:sz w:val="24"/>
        </w:rPr>
      </w:pPr>
      <w:r>
        <w:rPr>
          <w:sz w:val="24"/>
        </w:rPr>
        <w:drawing>
          <wp:inline distT="0" distB="0" distL="0" distR="0">
            <wp:extent cx="2753360" cy="561340"/>
            <wp:effectExtent l="0" t="0" r="0" b="0"/>
            <wp:docPr id="10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3"/>
                    <pic:cNvPicPr>
                      <a:picLocks noChangeAspect="1" noChangeArrowheads="1"/>
                    </pic:cNvPicPr>
                  </pic:nvPicPr>
                  <pic:blipFill>
                    <a:blip r:embed="rId201" cstate="print">
                      <a:extLst>
                        <a:ext uri="{28A0092B-C50C-407E-A947-70E740481C1C}">
                          <a14:useLocalDpi xmlns:a14="http://schemas.microsoft.com/office/drawing/2010/main" val="0"/>
                        </a:ext>
                      </a:extLst>
                    </a:blip>
                    <a:srcRect l="30931" t="58428" r="28604" b="24457"/>
                    <a:stretch>
                      <a:fillRect/>
                    </a:stretch>
                  </pic:blipFill>
                  <pic:spPr>
                    <a:xfrm>
                      <a:off x="0" y="0"/>
                      <a:ext cx="2753538" cy="561804"/>
                    </a:xfrm>
                    <a:prstGeom prst="rect">
                      <a:avLst/>
                    </a:prstGeom>
                    <a:noFill/>
                    <a:ln>
                      <a:noFill/>
                    </a:ln>
                  </pic:spPr>
                </pic:pic>
              </a:graphicData>
            </a:graphic>
          </wp:inline>
        </w:drawing>
      </w:r>
    </w:p>
    <w:p>
      <w:pPr>
        <w:spacing w:line="360" w:lineRule="auto"/>
        <w:jc w:val="center"/>
        <w:rPr>
          <w:szCs w:val="21"/>
        </w:rPr>
      </w:pPr>
      <w:r>
        <w:rPr>
          <w:szCs w:val="21"/>
        </w:rPr>
        <w:t>（b）插一跳一型</w:t>
      </w:r>
    </w:p>
    <w:p>
      <w:pPr>
        <w:spacing w:line="360" w:lineRule="auto"/>
        <w:jc w:val="center"/>
        <w:rPr>
          <w:sz w:val="24"/>
        </w:rPr>
      </w:pPr>
      <w:r>
        <w:rPr>
          <w:sz w:val="24"/>
        </w:rPr>
        <w:drawing>
          <wp:inline distT="0" distB="0" distL="0" distR="0">
            <wp:extent cx="2768600" cy="500380"/>
            <wp:effectExtent l="0" t="0" r="0" b="0"/>
            <wp:docPr id="1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
                    <pic:cNvPicPr>
                      <a:picLocks noChangeAspect="1" noChangeArrowheads="1"/>
                    </pic:cNvPicPr>
                  </pic:nvPicPr>
                  <pic:blipFill>
                    <a:blip r:embed="rId202" cstate="print">
                      <a:extLst>
                        <a:ext uri="{28A0092B-C50C-407E-A947-70E740481C1C}">
                          <a14:useLocalDpi xmlns:a14="http://schemas.microsoft.com/office/drawing/2010/main" val="0"/>
                        </a:ext>
                      </a:extLst>
                    </a:blip>
                    <a:srcRect l="29364" t="48750" r="15944" b="29247"/>
                    <a:stretch>
                      <a:fillRect/>
                    </a:stretch>
                  </pic:blipFill>
                  <pic:spPr>
                    <a:xfrm>
                      <a:off x="0" y="0"/>
                      <a:ext cx="2768640" cy="500380"/>
                    </a:xfrm>
                    <a:prstGeom prst="rect">
                      <a:avLst/>
                    </a:prstGeom>
                    <a:noFill/>
                    <a:ln>
                      <a:noFill/>
                    </a:ln>
                  </pic:spPr>
                </pic:pic>
              </a:graphicData>
            </a:graphic>
          </wp:inline>
        </w:drawing>
      </w:r>
    </w:p>
    <w:p>
      <w:pPr>
        <w:spacing w:line="360" w:lineRule="auto"/>
        <w:jc w:val="center"/>
        <w:rPr>
          <w:sz w:val="24"/>
        </w:rPr>
      </w:pPr>
      <w:r>
        <w:rPr>
          <w:sz w:val="24"/>
        </w:rPr>
        <w:t>（c）插二跳一型</w:t>
      </w:r>
    </w:p>
    <w:p>
      <w:pPr>
        <w:spacing w:line="360" w:lineRule="auto"/>
        <w:jc w:val="center"/>
        <w:rPr>
          <w:b/>
          <w:sz w:val="24"/>
        </w:rPr>
      </w:pPr>
      <w:r>
        <w:rPr>
          <w:b/>
          <w:sz w:val="24"/>
        </w:rPr>
        <w:t>图5.9.4-1  内插型钢布置形式</w:t>
      </w:r>
    </w:p>
    <w:p>
      <w:pPr>
        <w:spacing w:line="360" w:lineRule="auto"/>
        <w:ind w:firstLine="720" w:firstLineChars="300"/>
        <w:rPr>
          <w:sz w:val="24"/>
        </w:rPr>
      </w:pPr>
      <w:r>
        <w:rPr>
          <w:sz w:val="24"/>
        </w:rPr>
        <w:t>2）当型钢</w:t>
      </w:r>
      <w:r>
        <w:rPr>
          <w:rFonts w:hint="eastAsia"/>
          <w:sz w:val="24"/>
        </w:rPr>
        <w:t>按</w:t>
      </w:r>
      <w:r>
        <w:rPr>
          <w:sz w:val="24"/>
        </w:rPr>
        <w:t>插一跳一和插二跳一设置时，按下式验算型钢与水泥土之间的错动剪切承载力</w:t>
      </w:r>
      <w:r>
        <w:rPr>
          <w:rFonts w:hint="eastAsia"/>
          <w:sz w:val="24"/>
        </w:rPr>
        <w:t>（图5.9.4-2，a）</w:t>
      </w:r>
      <w:r>
        <w:rPr>
          <w:sz w:val="24"/>
        </w:rPr>
        <w:t>：</w:t>
      </w:r>
    </w:p>
    <w:p>
      <w:pPr>
        <w:tabs>
          <w:tab w:val="left" w:pos="2406"/>
        </w:tabs>
        <w:wordWrap w:val="0"/>
        <w:spacing w:line="360" w:lineRule="auto"/>
        <w:jc w:val="right"/>
        <w:rPr>
          <w:sz w:val="24"/>
        </w:rPr>
      </w:pPr>
      <w:r>
        <w:rPr>
          <w:position w:val="-12"/>
          <w:sz w:val="24"/>
        </w:rPr>
        <w:object>
          <v:shape id="_x0000_i1106" o:spt="75" type="#_x0000_t75" style="height:19.15pt;width:29.1pt;" o:ole="t" filled="f" coordsize="21600,21600">
            <v:path/>
            <v:fill on="f" focussize="0,0"/>
            <v:stroke/>
            <v:imagedata r:id="rId204" o:title=""/>
            <o:lock v:ext="edit" aspectratio="t"/>
            <w10:wrap type="none"/>
            <w10:anchorlock/>
          </v:shape>
          <o:OLEObject Type="Embed" ProgID="Equation.DSMT4" ShapeID="_x0000_i1106" DrawAspect="Content" ObjectID="_1468075806" r:id="rId203">
            <o:LockedField>false</o:LockedField>
          </o:OLEObject>
        </w:object>
      </w:r>
      <w:r>
        <w:rPr>
          <w:position w:val="-30"/>
          <w:sz w:val="24"/>
        </w:rPr>
        <w:t xml:space="preserve">       </w:t>
      </w:r>
      <w:r>
        <w:rPr>
          <w:rFonts w:hint="eastAsia"/>
          <w:position w:val="-30"/>
          <w:sz w:val="24"/>
        </w:rPr>
        <w:t xml:space="preserve">      </w:t>
      </w:r>
      <w:r>
        <w:rPr>
          <w:position w:val="-30"/>
          <w:sz w:val="24"/>
        </w:rPr>
        <w:t xml:space="preserve">          </w:t>
      </w:r>
      <w:r>
        <w:rPr>
          <w:sz w:val="24"/>
        </w:rPr>
        <w:t>（5.9.4-3）</w:t>
      </w:r>
    </w:p>
    <w:p>
      <w:pPr>
        <w:tabs>
          <w:tab w:val="left" w:pos="2406"/>
        </w:tabs>
        <w:spacing w:line="360" w:lineRule="auto"/>
        <w:jc w:val="right"/>
        <w:rPr>
          <w:sz w:val="24"/>
        </w:rPr>
      </w:pPr>
      <w:r>
        <w:rPr>
          <w:position w:val="-30"/>
          <w:sz w:val="24"/>
        </w:rPr>
        <w:object>
          <v:shape id="_x0000_i1107" o:spt="75" type="#_x0000_t75" style="height:34.45pt;width:67pt;" o:ole="t" filled="f" coordsize="21600,21600">
            <v:path/>
            <v:fill on="f" focussize="0,0"/>
            <v:stroke/>
            <v:imagedata r:id="rId206" o:title=""/>
            <o:lock v:ext="edit" aspectratio="t"/>
            <w10:wrap type="none"/>
            <w10:anchorlock/>
          </v:shape>
          <o:OLEObject Type="Embed" ProgID="Equation.DSMT4" ShapeID="_x0000_i1107" DrawAspect="Content" ObjectID="_1468075807" r:id="rId205">
            <o:LockedField>false</o:LockedField>
          </o:OLEObject>
        </w:object>
      </w:r>
      <w:r>
        <w:rPr>
          <w:position w:val="-30"/>
          <w:sz w:val="24"/>
        </w:rPr>
        <w:t xml:space="preserve">                  </w:t>
      </w:r>
      <w:r>
        <w:rPr>
          <w:sz w:val="24"/>
        </w:rPr>
        <w:t>（5.9.4-</w:t>
      </w:r>
      <w:r>
        <w:rPr>
          <w:rFonts w:hint="eastAsia"/>
          <w:sz w:val="24"/>
        </w:rPr>
        <w:t>4</w:t>
      </w:r>
      <w:r>
        <w:rPr>
          <w:sz w:val="24"/>
        </w:rPr>
        <w:t>）</w:t>
      </w:r>
    </w:p>
    <w:p>
      <w:pPr>
        <w:tabs>
          <w:tab w:val="left" w:pos="2406"/>
        </w:tabs>
        <w:spacing w:line="360" w:lineRule="auto"/>
        <w:jc w:val="right"/>
        <w:rPr>
          <w:sz w:val="24"/>
        </w:rPr>
      </w:pPr>
      <w:r>
        <w:rPr>
          <w:position w:val="-24"/>
          <w:sz w:val="24"/>
        </w:rPr>
        <w:object>
          <v:shape id="_x0000_i1108" o:spt="75" type="#_x0000_t75" style="height:31.4pt;width:50.95pt;" o:ole="t" filled="f" coordsize="21600,21600">
            <v:path/>
            <v:fill on="f" focussize="0,0"/>
            <v:stroke/>
            <v:imagedata r:id="rId208" o:title=""/>
            <o:lock v:ext="edit" aspectratio="t"/>
            <w10:wrap type="none"/>
            <w10:anchorlock/>
          </v:shape>
          <o:OLEObject Type="Embed" ProgID="Equation.DSMT4" ShapeID="_x0000_i1108" DrawAspect="Content" ObjectID="_1468075808" r:id="rId207">
            <o:LockedField>false</o:LockedField>
          </o:OLEObject>
        </w:object>
      </w:r>
      <w:r>
        <w:rPr>
          <w:position w:val="-12"/>
          <w:sz w:val="24"/>
        </w:rPr>
        <w:t xml:space="preserve">                     </w:t>
      </w:r>
      <w:r>
        <w:rPr>
          <w:sz w:val="24"/>
        </w:rPr>
        <w:t>（5.9.4-</w:t>
      </w:r>
      <w:r>
        <w:rPr>
          <w:rFonts w:hint="eastAsia"/>
          <w:sz w:val="24"/>
        </w:rPr>
        <w:t>5</w:t>
      </w:r>
      <w:r>
        <w:rPr>
          <w:sz w:val="24"/>
        </w:rPr>
        <w:t>）</w:t>
      </w:r>
    </w:p>
    <w:p>
      <w:pPr>
        <w:tabs>
          <w:tab w:val="left" w:pos="2406"/>
        </w:tabs>
        <w:spacing w:line="360" w:lineRule="auto"/>
        <w:jc w:val="right"/>
        <w:rPr>
          <w:sz w:val="24"/>
        </w:rPr>
      </w:pPr>
      <w:r>
        <w:rPr>
          <w:position w:val="-24"/>
          <w:sz w:val="24"/>
        </w:rPr>
        <w:object>
          <v:shape id="_x0000_i1109" o:spt="75" type="#_x0000_t75" style="height:31.4pt;width:37.55pt;" o:ole="t" filled="f" coordsize="21600,21600">
            <v:path/>
            <v:fill on="f" focussize="0,0"/>
            <v:stroke/>
            <v:imagedata r:id="rId210" o:title=""/>
            <o:lock v:ext="edit" aspectratio="t"/>
            <w10:wrap type="none"/>
            <w10:anchorlock/>
          </v:shape>
          <o:OLEObject Type="Embed" ProgID="Equation.DSMT4" ShapeID="_x0000_i1109" DrawAspect="Content" ObjectID="_1468075809" r:id="rId209">
            <o:LockedField>false</o:LockedField>
          </o:OLEObject>
        </w:object>
      </w:r>
      <w:r>
        <w:rPr>
          <w:position w:val="-12"/>
          <w:sz w:val="24"/>
        </w:rPr>
        <w:t xml:space="preserve">                     </w:t>
      </w:r>
      <w:r>
        <w:rPr>
          <w:sz w:val="24"/>
        </w:rPr>
        <w:t>（5.9.4-</w:t>
      </w:r>
      <w:r>
        <w:rPr>
          <w:rFonts w:hint="eastAsia"/>
          <w:sz w:val="24"/>
        </w:rPr>
        <w:t>6</w:t>
      </w:r>
      <w:r>
        <w:rPr>
          <w:sz w:val="24"/>
        </w:rPr>
        <w:t>）</w:t>
      </w:r>
    </w:p>
    <w:p>
      <w:pPr>
        <w:tabs>
          <w:tab w:val="left" w:pos="2406"/>
        </w:tabs>
        <w:spacing w:line="360" w:lineRule="auto"/>
        <w:jc w:val="left"/>
        <w:rPr>
          <w:sz w:val="24"/>
        </w:rPr>
      </w:pPr>
      <w:r>
        <w:rPr>
          <w:sz w:val="24"/>
        </w:rPr>
        <w:t>式中：</w:t>
      </w:r>
      <w:r>
        <w:rPr>
          <w:i/>
          <w:sz w:val="24"/>
        </w:rPr>
        <w:t>τ</w:t>
      </w:r>
      <w:r>
        <w:rPr>
          <w:sz w:val="24"/>
          <w:vertAlign w:val="subscript"/>
        </w:rPr>
        <w:t>1</w:t>
      </w:r>
      <w:r>
        <w:rPr>
          <w:sz w:val="24"/>
        </w:rPr>
        <w:t>—型钢和水泥土之间的错动剪应力设计值（N/mm</w:t>
      </w:r>
      <w:r>
        <w:rPr>
          <w:sz w:val="24"/>
          <w:vertAlign w:val="superscript"/>
        </w:rPr>
        <w:t>2</w:t>
      </w:r>
      <w:r>
        <w:rPr>
          <w:sz w:val="24"/>
        </w:rPr>
        <w:t>）；</w:t>
      </w:r>
    </w:p>
    <w:p>
      <w:pPr>
        <w:tabs>
          <w:tab w:val="left" w:pos="2406"/>
        </w:tabs>
        <w:spacing w:line="360" w:lineRule="auto"/>
        <w:ind w:firstLine="600" w:firstLineChars="250"/>
        <w:jc w:val="left"/>
        <w:rPr>
          <w:sz w:val="24"/>
        </w:rPr>
      </w:pPr>
      <w:r>
        <w:rPr>
          <w:rFonts w:hint="eastAsia"/>
          <w:i/>
          <w:sz w:val="24"/>
        </w:rPr>
        <w:t>V</w:t>
      </w:r>
      <w:r>
        <w:rPr>
          <w:sz w:val="24"/>
          <w:vertAlign w:val="subscript"/>
        </w:rPr>
        <w:t>1</w:t>
      </w:r>
      <w:r>
        <w:rPr>
          <w:rFonts w:hint="eastAsia"/>
          <w:sz w:val="24"/>
          <w:vertAlign w:val="subscript"/>
        </w:rPr>
        <w:t>k</w:t>
      </w:r>
      <w:r>
        <w:rPr>
          <w:sz w:val="24"/>
        </w:rPr>
        <w:t>—</w:t>
      </w:r>
      <w:r>
        <w:rPr>
          <w:rFonts w:hint="eastAsia"/>
          <w:sz w:val="24"/>
        </w:rPr>
        <w:t>作用于</w:t>
      </w:r>
      <w:r>
        <w:rPr>
          <w:sz w:val="24"/>
        </w:rPr>
        <w:t>型钢与水泥土之间单位深度范围内的错动剪力标准值（N/mm）；</w:t>
      </w:r>
    </w:p>
    <w:p>
      <w:pPr>
        <w:tabs>
          <w:tab w:val="left" w:pos="2406"/>
        </w:tabs>
        <w:spacing w:line="360" w:lineRule="auto"/>
        <w:ind w:firstLine="600" w:firstLineChars="250"/>
        <w:jc w:val="left"/>
        <w:rPr>
          <w:sz w:val="24"/>
        </w:rPr>
      </w:pPr>
      <w:r>
        <w:rPr>
          <w:i/>
          <w:sz w:val="24"/>
        </w:rPr>
        <w:t>q</w:t>
      </w:r>
      <w:r>
        <w:rPr>
          <w:sz w:val="24"/>
          <w:vertAlign w:val="subscript"/>
        </w:rPr>
        <w:t>k</w:t>
      </w:r>
      <w:r>
        <w:rPr>
          <w:sz w:val="24"/>
        </w:rPr>
        <w:t>—</w:t>
      </w:r>
      <w:r>
        <w:rPr>
          <w:rFonts w:hint="eastAsia"/>
          <w:sz w:val="24"/>
        </w:rPr>
        <w:t>作用于</w:t>
      </w:r>
      <w:r>
        <w:rPr>
          <w:sz w:val="24"/>
        </w:rPr>
        <w:t>型钢</w:t>
      </w:r>
      <w:r>
        <w:rPr>
          <w:rFonts w:hint="eastAsia"/>
          <w:sz w:val="24"/>
        </w:rPr>
        <w:t>水泥土搅拦墙计算截面处的侧压力强度</w:t>
      </w:r>
      <w:r>
        <w:rPr>
          <w:sz w:val="24"/>
        </w:rPr>
        <w:t>标准值（N/mm</w:t>
      </w:r>
      <w:r>
        <w:rPr>
          <w:sz w:val="24"/>
          <w:vertAlign w:val="superscript"/>
        </w:rPr>
        <w:t>2</w:t>
      </w:r>
      <w:r>
        <w:rPr>
          <w:sz w:val="24"/>
        </w:rPr>
        <w:t xml:space="preserve">）； </w:t>
      </w:r>
    </w:p>
    <w:p>
      <w:pPr>
        <w:tabs>
          <w:tab w:val="left" w:pos="2406"/>
        </w:tabs>
        <w:spacing w:line="360" w:lineRule="auto"/>
        <w:ind w:firstLine="600" w:firstLineChars="250"/>
        <w:jc w:val="left"/>
        <w:rPr>
          <w:sz w:val="24"/>
        </w:rPr>
      </w:pPr>
      <w:r>
        <w:rPr>
          <w:i/>
          <w:sz w:val="24"/>
        </w:rPr>
        <w:t>L</w:t>
      </w:r>
      <w:r>
        <w:rPr>
          <w:sz w:val="24"/>
          <w:vertAlign w:val="subscript"/>
        </w:rPr>
        <w:t>1</w:t>
      </w:r>
      <w:r>
        <w:rPr>
          <w:sz w:val="24"/>
        </w:rPr>
        <w:t>—型钢翼缘之间的净距（mm）；</w:t>
      </w:r>
    </w:p>
    <w:p>
      <w:pPr>
        <w:tabs>
          <w:tab w:val="left" w:pos="2406"/>
        </w:tabs>
        <w:spacing w:line="360" w:lineRule="auto"/>
        <w:ind w:firstLine="480" w:firstLineChars="200"/>
        <w:jc w:val="left"/>
        <w:rPr>
          <w:sz w:val="24"/>
        </w:rPr>
      </w:pPr>
      <w:r>
        <w:rPr>
          <w:i/>
          <w:sz w:val="24"/>
        </w:rPr>
        <w:t>d</w:t>
      </w:r>
      <w:r>
        <w:rPr>
          <w:sz w:val="24"/>
          <w:vertAlign w:val="subscript"/>
        </w:rPr>
        <w:t>e1</w:t>
      </w:r>
      <w:r>
        <w:rPr>
          <w:sz w:val="24"/>
        </w:rPr>
        <w:t>—型钢翼缘处水泥土墙体的有效厚度（mm）；</w:t>
      </w:r>
    </w:p>
    <w:p>
      <w:pPr>
        <w:tabs>
          <w:tab w:val="left" w:pos="2406"/>
        </w:tabs>
        <w:spacing w:line="360" w:lineRule="auto"/>
        <w:ind w:firstLine="600" w:firstLineChars="250"/>
        <w:jc w:val="left"/>
        <w:rPr>
          <w:sz w:val="24"/>
        </w:rPr>
      </w:pPr>
      <w:r>
        <w:rPr>
          <w:i/>
          <w:sz w:val="24"/>
        </w:rPr>
        <w:t>τ</w:t>
      </w:r>
      <w:r>
        <w:rPr>
          <w:sz w:val="24"/>
        </w:rPr>
        <w:t>—水泥土抗剪强度设计值（N/mm</w:t>
      </w:r>
      <w:r>
        <w:rPr>
          <w:sz w:val="24"/>
          <w:vertAlign w:val="superscript"/>
        </w:rPr>
        <w:t>2</w:t>
      </w:r>
      <w:r>
        <w:rPr>
          <w:sz w:val="24"/>
        </w:rPr>
        <w:t>）；</w:t>
      </w:r>
    </w:p>
    <w:p>
      <w:pPr>
        <w:tabs>
          <w:tab w:val="left" w:pos="2406"/>
        </w:tabs>
        <w:spacing w:line="360" w:lineRule="auto"/>
        <w:ind w:left="951" w:leftChars="229" w:hanging="470" w:hangingChars="196"/>
        <w:jc w:val="left"/>
        <w:rPr>
          <w:sz w:val="24"/>
        </w:rPr>
      </w:pPr>
      <w:r>
        <w:rPr>
          <w:i/>
          <w:sz w:val="24"/>
        </w:rPr>
        <w:t>τ</w:t>
      </w:r>
      <w:r>
        <w:rPr>
          <w:i/>
          <w:sz w:val="24"/>
          <w:vertAlign w:val="subscript"/>
        </w:rPr>
        <w:t>ck</w:t>
      </w:r>
      <w:r>
        <w:rPr>
          <w:sz w:val="24"/>
        </w:rPr>
        <w:t>—水泥土抗剪强度标准值（N/mm</w:t>
      </w:r>
      <w:r>
        <w:rPr>
          <w:sz w:val="24"/>
          <w:vertAlign w:val="superscript"/>
        </w:rPr>
        <w:t>2</w:t>
      </w:r>
      <w:r>
        <w:rPr>
          <w:sz w:val="24"/>
        </w:rPr>
        <w:t>），可取搅拌桩28天龄期无侧限抗压强度的1/3。</w:t>
      </w:r>
    </w:p>
    <w:p>
      <w:pPr>
        <w:tabs>
          <w:tab w:val="left" w:pos="2406"/>
        </w:tabs>
        <w:spacing w:line="360" w:lineRule="auto"/>
        <w:ind w:firstLine="720" w:firstLineChars="300"/>
        <w:jc w:val="left"/>
        <w:rPr>
          <w:sz w:val="24"/>
        </w:rPr>
      </w:pPr>
      <w:r>
        <w:rPr>
          <w:sz w:val="24"/>
        </w:rPr>
        <w:t>3）当型钢</w:t>
      </w:r>
      <w:r>
        <w:rPr>
          <w:rFonts w:hint="eastAsia"/>
          <w:sz w:val="24"/>
        </w:rPr>
        <w:t>按</w:t>
      </w:r>
      <w:r>
        <w:rPr>
          <w:sz w:val="24"/>
        </w:rPr>
        <w:t>插一跳一和插二跳一设置时，按下式对水泥土搅拌桩进行最薄弱断面的局部抗剪验算</w:t>
      </w:r>
      <w:r>
        <w:rPr>
          <w:rFonts w:hint="eastAsia"/>
          <w:sz w:val="24"/>
        </w:rPr>
        <w:t>（图5.9.4-2，b）</w:t>
      </w:r>
      <w:r>
        <w:rPr>
          <w:sz w:val="24"/>
        </w:rPr>
        <w:t>：</w:t>
      </w:r>
    </w:p>
    <w:p>
      <w:pPr>
        <w:tabs>
          <w:tab w:val="left" w:pos="2406"/>
        </w:tabs>
        <w:wordWrap w:val="0"/>
        <w:spacing w:line="360" w:lineRule="auto"/>
        <w:jc w:val="right"/>
        <w:rPr>
          <w:sz w:val="24"/>
        </w:rPr>
      </w:pPr>
      <w:r>
        <w:rPr>
          <w:position w:val="-12"/>
          <w:sz w:val="24"/>
        </w:rPr>
        <w:object>
          <v:shape id="_x0000_i1110" o:spt="75" type="#_x0000_t75" style="height:19.15pt;width:30.65pt;" o:ole="t" filled="f" coordsize="21600,21600">
            <v:path/>
            <v:fill on="f" focussize="0,0"/>
            <v:stroke/>
            <v:imagedata r:id="rId212" o:title=""/>
            <o:lock v:ext="edit" aspectratio="t"/>
            <w10:wrap type="none"/>
            <w10:anchorlock/>
          </v:shape>
          <o:OLEObject Type="Embed" ProgID="Equation.DSMT4" ShapeID="_x0000_i1110" DrawAspect="Content" ObjectID="_1468075810" r:id="rId211">
            <o:LockedField>false</o:LockedField>
          </o:OLEObject>
        </w:object>
      </w:r>
      <w:r>
        <w:rPr>
          <w:position w:val="-30"/>
          <w:sz w:val="24"/>
        </w:rPr>
        <w:t xml:space="preserve">       </w:t>
      </w:r>
      <w:r>
        <w:rPr>
          <w:rFonts w:hint="eastAsia"/>
          <w:position w:val="-30"/>
          <w:sz w:val="24"/>
        </w:rPr>
        <w:t xml:space="preserve">      </w:t>
      </w:r>
      <w:r>
        <w:rPr>
          <w:position w:val="-30"/>
          <w:sz w:val="24"/>
        </w:rPr>
        <w:t xml:space="preserve">          </w:t>
      </w:r>
      <w:r>
        <w:rPr>
          <w:sz w:val="24"/>
        </w:rPr>
        <w:t>（5.9.4-</w:t>
      </w:r>
      <w:r>
        <w:rPr>
          <w:rFonts w:hint="eastAsia"/>
          <w:sz w:val="24"/>
        </w:rPr>
        <w:t>7</w:t>
      </w:r>
      <w:r>
        <w:rPr>
          <w:sz w:val="24"/>
        </w:rPr>
        <w:t>）</w:t>
      </w:r>
    </w:p>
    <w:p>
      <w:pPr>
        <w:tabs>
          <w:tab w:val="left" w:pos="2406"/>
        </w:tabs>
        <w:spacing w:line="360" w:lineRule="auto"/>
        <w:jc w:val="right"/>
        <w:rPr>
          <w:sz w:val="24"/>
        </w:rPr>
      </w:pPr>
      <w:r>
        <w:rPr>
          <w:position w:val="-30"/>
          <w:sz w:val="24"/>
        </w:rPr>
        <w:object>
          <v:shape id="_x0000_i1111" o:spt="75" type="#_x0000_t75" style="height:34.45pt;width:72pt;" o:ole="t" filled="f" coordsize="21600,21600">
            <v:path/>
            <v:fill on="f" focussize="0,0"/>
            <v:stroke/>
            <v:imagedata r:id="rId214" o:title=""/>
            <o:lock v:ext="edit" aspectratio="t"/>
            <w10:wrap type="none"/>
            <w10:anchorlock/>
          </v:shape>
          <o:OLEObject Type="Embed" ProgID="Equation.DSMT4" ShapeID="_x0000_i1111" DrawAspect="Content" ObjectID="_1468075811" r:id="rId213">
            <o:LockedField>false</o:LockedField>
          </o:OLEObject>
        </w:object>
      </w:r>
      <w:r>
        <w:rPr>
          <w:position w:val="-30"/>
          <w:sz w:val="24"/>
        </w:rPr>
        <w:t xml:space="preserve">                  </w:t>
      </w:r>
      <w:r>
        <w:rPr>
          <w:sz w:val="24"/>
        </w:rPr>
        <w:t>（5.9.4-</w:t>
      </w:r>
      <w:r>
        <w:rPr>
          <w:rFonts w:hint="eastAsia"/>
          <w:sz w:val="24"/>
        </w:rPr>
        <w:t>8</w:t>
      </w:r>
      <w:r>
        <w:rPr>
          <w:sz w:val="24"/>
        </w:rPr>
        <w:t>）</w:t>
      </w:r>
    </w:p>
    <w:p>
      <w:pPr>
        <w:tabs>
          <w:tab w:val="left" w:pos="2406"/>
        </w:tabs>
        <w:spacing w:line="360" w:lineRule="auto"/>
        <w:jc w:val="right"/>
        <w:rPr>
          <w:sz w:val="24"/>
        </w:rPr>
      </w:pPr>
      <w:r>
        <w:rPr>
          <w:position w:val="-24"/>
          <w:sz w:val="24"/>
        </w:rPr>
        <w:object>
          <v:shape id="_x0000_i1112" o:spt="75" type="#_x0000_t75" style="height:31.4pt;width:54.75pt;" o:ole="t" filled="f" coordsize="21600,21600">
            <v:path/>
            <v:fill on="f" focussize="0,0"/>
            <v:stroke/>
            <v:imagedata r:id="rId216" o:title=""/>
            <o:lock v:ext="edit" aspectratio="t"/>
            <w10:wrap type="none"/>
            <w10:anchorlock/>
          </v:shape>
          <o:OLEObject Type="Embed" ProgID="Equation.DSMT4" ShapeID="_x0000_i1112" DrawAspect="Content" ObjectID="_1468075812" r:id="rId215">
            <o:LockedField>false</o:LockedField>
          </o:OLEObject>
        </w:object>
      </w:r>
      <w:r>
        <w:rPr>
          <w:position w:val="-12"/>
          <w:sz w:val="24"/>
        </w:rPr>
        <w:t xml:space="preserve">                   </w:t>
      </w:r>
      <w:r>
        <w:rPr>
          <w:sz w:val="24"/>
        </w:rPr>
        <w:t>（5.9.4-</w:t>
      </w:r>
      <w:r>
        <w:rPr>
          <w:rFonts w:hint="eastAsia"/>
          <w:sz w:val="24"/>
        </w:rPr>
        <w:t>9</w:t>
      </w:r>
      <w:r>
        <w:rPr>
          <w:sz w:val="24"/>
        </w:rPr>
        <w:t>）</w:t>
      </w:r>
    </w:p>
    <w:p>
      <w:pPr>
        <w:tabs>
          <w:tab w:val="left" w:pos="2406"/>
        </w:tabs>
        <w:spacing w:line="360" w:lineRule="auto"/>
        <w:jc w:val="left"/>
        <w:rPr>
          <w:sz w:val="24"/>
        </w:rPr>
      </w:pPr>
      <w:r>
        <w:rPr>
          <w:sz w:val="24"/>
        </w:rPr>
        <w:t>式中：</w:t>
      </w:r>
      <w:r>
        <w:rPr>
          <w:i/>
          <w:sz w:val="24"/>
        </w:rPr>
        <w:t>τ</w:t>
      </w:r>
      <w:r>
        <w:rPr>
          <w:sz w:val="24"/>
          <w:vertAlign w:val="subscript"/>
        </w:rPr>
        <w:t>2</w:t>
      </w:r>
      <w:r>
        <w:rPr>
          <w:sz w:val="24"/>
        </w:rPr>
        <w:t>—</w:t>
      </w:r>
      <w:r>
        <w:rPr>
          <w:rFonts w:hint="eastAsia"/>
          <w:sz w:val="24"/>
        </w:rPr>
        <w:t>作用于</w:t>
      </w:r>
      <w:r>
        <w:rPr>
          <w:sz w:val="24"/>
        </w:rPr>
        <w:t>水泥土最薄弱截面处的局部剪应力设计值（N/mm</w:t>
      </w:r>
      <w:r>
        <w:rPr>
          <w:sz w:val="24"/>
          <w:vertAlign w:val="superscript"/>
        </w:rPr>
        <w:t>2</w:t>
      </w:r>
      <w:r>
        <w:rPr>
          <w:sz w:val="24"/>
        </w:rPr>
        <w:t xml:space="preserve">）； </w:t>
      </w:r>
    </w:p>
    <w:p>
      <w:pPr>
        <w:tabs>
          <w:tab w:val="left" w:pos="2406"/>
        </w:tabs>
        <w:spacing w:line="360" w:lineRule="auto"/>
        <w:ind w:firstLine="720" w:firstLineChars="300"/>
        <w:jc w:val="left"/>
        <w:rPr>
          <w:sz w:val="24"/>
        </w:rPr>
      </w:pPr>
      <w:r>
        <w:rPr>
          <w:rFonts w:hint="eastAsia"/>
          <w:i/>
          <w:sz w:val="24"/>
        </w:rPr>
        <w:t>V</w:t>
      </w:r>
      <w:r>
        <w:rPr>
          <w:sz w:val="24"/>
          <w:vertAlign w:val="subscript"/>
        </w:rPr>
        <w:t>2</w:t>
      </w:r>
      <w:r>
        <w:rPr>
          <w:rFonts w:hint="eastAsia"/>
          <w:sz w:val="24"/>
          <w:vertAlign w:val="subscript"/>
        </w:rPr>
        <w:t>k</w:t>
      </w:r>
      <w:r>
        <w:rPr>
          <w:sz w:val="24"/>
        </w:rPr>
        <w:t>—</w:t>
      </w:r>
      <w:r>
        <w:rPr>
          <w:rFonts w:hint="eastAsia"/>
          <w:sz w:val="24"/>
        </w:rPr>
        <w:t>作用于</w:t>
      </w:r>
      <w:r>
        <w:rPr>
          <w:sz w:val="24"/>
        </w:rPr>
        <w:t>水泥土最薄弱截面处单位深度范围内的剪力标准值（N/mm）；</w:t>
      </w:r>
    </w:p>
    <w:p>
      <w:pPr>
        <w:tabs>
          <w:tab w:val="left" w:pos="2406"/>
        </w:tabs>
        <w:spacing w:line="360" w:lineRule="auto"/>
        <w:ind w:firstLine="720" w:firstLineChars="300"/>
        <w:jc w:val="left"/>
        <w:rPr>
          <w:sz w:val="24"/>
        </w:rPr>
      </w:pPr>
      <w:r>
        <w:rPr>
          <w:i/>
          <w:sz w:val="24"/>
        </w:rPr>
        <w:t>L</w:t>
      </w:r>
      <w:r>
        <w:rPr>
          <w:sz w:val="24"/>
          <w:vertAlign w:val="subscript"/>
        </w:rPr>
        <w:t>2</w:t>
      </w:r>
      <w:r>
        <w:rPr>
          <w:sz w:val="24"/>
        </w:rPr>
        <w:t>—水泥土相邻最薄弱截面的净距（mm）；</w:t>
      </w:r>
    </w:p>
    <w:p>
      <w:pPr>
        <w:tabs>
          <w:tab w:val="left" w:pos="2406"/>
        </w:tabs>
        <w:spacing w:line="360" w:lineRule="auto"/>
        <w:ind w:firstLine="720" w:firstLineChars="300"/>
        <w:jc w:val="left"/>
        <w:rPr>
          <w:sz w:val="24"/>
        </w:rPr>
      </w:pPr>
      <w:r>
        <w:rPr>
          <w:i/>
          <w:sz w:val="24"/>
        </w:rPr>
        <w:t>d</w:t>
      </w:r>
      <w:r>
        <w:rPr>
          <w:sz w:val="24"/>
          <w:vertAlign w:val="subscript"/>
        </w:rPr>
        <w:t>e2</w:t>
      </w:r>
      <w:r>
        <w:rPr>
          <w:sz w:val="24"/>
        </w:rPr>
        <w:t>—水泥土最薄弱截面处墙体的有效厚度（mm）。</w:t>
      </w:r>
    </w:p>
    <w:p>
      <w:pPr>
        <w:tabs>
          <w:tab w:val="left" w:pos="2406"/>
        </w:tabs>
        <w:spacing w:line="360" w:lineRule="auto"/>
        <w:jc w:val="center"/>
        <w:rPr>
          <w:sz w:val="24"/>
        </w:rPr>
      </w:pPr>
      <w:r>
        <w:rPr>
          <w:b/>
          <w:sz w:val="24"/>
        </w:rPr>
        <w:drawing>
          <wp:inline distT="0" distB="0" distL="0" distR="0">
            <wp:extent cx="2002790" cy="924560"/>
            <wp:effectExtent l="0" t="0" r="0" b="8890"/>
            <wp:docPr id="37" name="图片 37" descr="E:\G规范编制\昆明地区基坑规范编制\2019.6第二次审查修改\插图\图5.9.4-2  搅拌桩局部局部抗剪计算示意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G规范编制\昆明地区基坑规范编制\2019.6第二次审查修改\插图\图5.9.4-2  搅拌桩局部局部抗剪计算示意图1.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a:xfrm>
                      <a:off x="0" y="0"/>
                      <a:ext cx="2002790" cy="924560"/>
                    </a:xfrm>
                    <a:prstGeom prst="rect">
                      <a:avLst/>
                    </a:prstGeom>
                    <a:noFill/>
                    <a:ln>
                      <a:noFill/>
                    </a:ln>
                  </pic:spPr>
                </pic:pic>
              </a:graphicData>
            </a:graphic>
          </wp:inline>
        </w:drawing>
      </w:r>
    </w:p>
    <w:p>
      <w:pPr>
        <w:tabs>
          <w:tab w:val="left" w:pos="2406"/>
        </w:tabs>
        <w:spacing w:line="360" w:lineRule="auto"/>
        <w:jc w:val="center"/>
        <w:rPr>
          <w:szCs w:val="21"/>
        </w:rPr>
      </w:pPr>
      <w:r>
        <w:rPr>
          <w:szCs w:val="21"/>
        </w:rPr>
        <w:t>(a)型钢与水泥土间错动剪切破坏验算图</w:t>
      </w:r>
    </w:p>
    <w:p>
      <w:pPr>
        <w:tabs>
          <w:tab w:val="left" w:pos="2406"/>
        </w:tabs>
        <w:spacing w:line="360" w:lineRule="auto"/>
        <w:jc w:val="center"/>
        <w:rPr>
          <w:szCs w:val="21"/>
        </w:rPr>
      </w:pPr>
      <w:r>
        <w:rPr>
          <w:sz w:val="24"/>
        </w:rPr>
        <w:drawing>
          <wp:inline distT="0" distB="0" distL="0" distR="0">
            <wp:extent cx="2012950" cy="924560"/>
            <wp:effectExtent l="0" t="0" r="6350" b="8890"/>
            <wp:docPr id="39" name="图片 39" descr="E:\G规范编制\昆明地区基坑规范编制\2019.6第二次审查修改\插图\图5.9.4-2  搅拌桩局部局部抗剪计算示意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G规范编制\昆明地区基坑规范编制\2019.6第二次审查修改\插图\图5.9.4-2  搅拌桩局部局部抗剪计算示意图2.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a:xfrm>
                      <a:off x="0" y="0"/>
                      <a:ext cx="2012950" cy="924560"/>
                    </a:xfrm>
                    <a:prstGeom prst="rect">
                      <a:avLst/>
                    </a:prstGeom>
                    <a:noFill/>
                    <a:ln>
                      <a:noFill/>
                    </a:ln>
                  </pic:spPr>
                </pic:pic>
              </a:graphicData>
            </a:graphic>
          </wp:inline>
        </w:drawing>
      </w:r>
    </w:p>
    <w:p>
      <w:pPr>
        <w:tabs>
          <w:tab w:val="left" w:pos="2406"/>
        </w:tabs>
        <w:spacing w:line="360" w:lineRule="auto"/>
        <w:jc w:val="center"/>
        <w:rPr>
          <w:szCs w:val="21"/>
        </w:rPr>
      </w:pPr>
      <w:r>
        <w:rPr>
          <w:szCs w:val="21"/>
        </w:rPr>
        <w:t>（b）最薄弱截面剪切破坏验算图</w:t>
      </w:r>
    </w:p>
    <w:p>
      <w:pPr>
        <w:tabs>
          <w:tab w:val="left" w:pos="2406"/>
        </w:tabs>
        <w:spacing w:line="360" w:lineRule="auto"/>
        <w:jc w:val="center"/>
        <w:rPr>
          <w:b/>
          <w:sz w:val="24"/>
        </w:rPr>
      </w:pPr>
      <w:r>
        <w:rPr>
          <w:b/>
          <w:sz w:val="24"/>
        </w:rPr>
        <w:t>图5.9.4-2  搅拌桩局部抗剪计算示意图</w:t>
      </w:r>
    </w:p>
    <w:p>
      <w:pPr>
        <w:spacing w:line="360" w:lineRule="auto"/>
        <w:rPr>
          <w:sz w:val="24"/>
        </w:rPr>
      </w:pPr>
      <w:r>
        <w:rPr>
          <w:b/>
          <w:sz w:val="24"/>
        </w:rPr>
        <w:t>5.9.</w:t>
      </w:r>
      <w:r>
        <w:rPr>
          <w:rFonts w:hint="eastAsia"/>
          <w:b/>
          <w:sz w:val="24"/>
        </w:rPr>
        <w:t>4</w:t>
      </w:r>
      <w:r>
        <w:rPr>
          <w:b/>
          <w:sz w:val="24"/>
        </w:rPr>
        <w:t xml:space="preserve">  </w:t>
      </w:r>
      <w:r>
        <w:rPr>
          <w:sz w:val="24"/>
        </w:rPr>
        <w:t>水泥土</w:t>
      </w:r>
      <w:r>
        <w:rPr>
          <w:rFonts w:hint="eastAsia"/>
          <w:sz w:val="24"/>
        </w:rPr>
        <w:t>90天龄期</w:t>
      </w:r>
      <w:r>
        <w:rPr>
          <w:sz w:val="24"/>
        </w:rPr>
        <w:t>无侧限抗压强度应不小于0.5MPa。</w:t>
      </w:r>
    </w:p>
    <w:p>
      <w:pPr>
        <w:spacing w:line="360" w:lineRule="auto"/>
        <w:rPr>
          <w:sz w:val="24"/>
        </w:rPr>
      </w:pPr>
      <w:r>
        <w:rPr>
          <w:b/>
          <w:sz w:val="24"/>
        </w:rPr>
        <w:t>5.9.</w:t>
      </w:r>
      <w:r>
        <w:rPr>
          <w:rFonts w:hint="eastAsia"/>
          <w:b/>
          <w:sz w:val="24"/>
        </w:rPr>
        <w:t>5</w:t>
      </w:r>
      <w:r>
        <w:rPr>
          <w:sz w:val="24"/>
        </w:rPr>
        <w:t xml:space="preserve">  型钢起拔</w:t>
      </w:r>
      <w:r>
        <w:rPr>
          <w:rFonts w:hint="eastAsia"/>
          <w:sz w:val="24"/>
        </w:rPr>
        <w:t>力</w:t>
      </w:r>
      <w:r>
        <w:rPr>
          <w:sz w:val="24"/>
        </w:rPr>
        <w:t>可按下式进行验算：</w:t>
      </w:r>
    </w:p>
    <w:p>
      <w:pPr>
        <w:spacing w:line="360" w:lineRule="auto"/>
        <w:jc w:val="right"/>
        <w:rPr>
          <w:sz w:val="24"/>
        </w:rPr>
      </w:pPr>
      <w:r>
        <w:rPr>
          <w:position w:val="-14"/>
          <w:sz w:val="24"/>
        </w:rPr>
        <w:object>
          <v:shape id="_x0000_i1113" o:spt="75" type="#_x0000_t75" style="height:19.15pt;width:83.5pt;" o:ole="t" filled="f" coordsize="21600,21600">
            <v:path/>
            <v:fill on="f" focussize="0,0"/>
            <v:stroke/>
            <v:imagedata r:id="rId220" o:title=""/>
            <o:lock v:ext="edit" aspectratio="t"/>
            <w10:wrap type="none"/>
            <w10:anchorlock/>
          </v:shape>
          <o:OLEObject Type="Embed" ProgID="Equation.DSMT4" ShapeID="_x0000_i1113" DrawAspect="Content" ObjectID="_1468075813" r:id="rId219">
            <o:LockedField>false</o:LockedField>
          </o:OLEObject>
        </w:object>
      </w:r>
      <w:r>
        <w:rPr>
          <w:position w:val="-14"/>
          <w:sz w:val="24"/>
        </w:rPr>
        <w:t xml:space="preserve">                     </w:t>
      </w:r>
      <w:r>
        <w:rPr>
          <w:sz w:val="24"/>
        </w:rPr>
        <w:t>（5.9.</w:t>
      </w:r>
      <w:r>
        <w:rPr>
          <w:rFonts w:hint="eastAsia"/>
          <w:sz w:val="24"/>
        </w:rPr>
        <w:t>5</w:t>
      </w:r>
      <w:r>
        <w:rPr>
          <w:sz w:val="24"/>
        </w:rPr>
        <w:t>）</w:t>
      </w:r>
    </w:p>
    <w:p>
      <w:pPr>
        <w:spacing w:line="360" w:lineRule="auto"/>
        <w:jc w:val="left"/>
        <w:rPr>
          <w:sz w:val="24"/>
        </w:rPr>
      </w:pPr>
      <w:r>
        <w:rPr>
          <w:sz w:val="24"/>
        </w:rPr>
        <w:t>式中：</w:t>
      </w:r>
      <w:r>
        <w:rPr>
          <w:i/>
          <w:sz w:val="24"/>
        </w:rPr>
        <w:t>P</w:t>
      </w:r>
      <w:r>
        <w:rPr>
          <w:i/>
          <w:sz w:val="24"/>
          <w:vertAlign w:val="subscript"/>
        </w:rPr>
        <w:t>m</w:t>
      </w:r>
      <w:r>
        <w:rPr>
          <w:sz w:val="24"/>
        </w:rPr>
        <w:t>—型钢的起拔力；</w:t>
      </w:r>
    </w:p>
    <w:p>
      <w:pPr>
        <w:spacing w:line="360" w:lineRule="auto"/>
        <w:ind w:firstLine="840" w:firstLineChars="350"/>
        <w:jc w:val="left"/>
        <w:rPr>
          <w:sz w:val="24"/>
        </w:rPr>
      </w:pPr>
      <w:r>
        <w:rPr>
          <w:i/>
          <w:sz w:val="24"/>
        </w:rPr>
        <w:t>P</w:t>
      </w:r>
      <w:r>
        <w:rPr>
          <w:i/>
          <w:sz w:val="24"/>
          <w:vertAlign w:val="subscript"/>
        </w:rPr>
        <w:t>f</w:t>
      </w:r>
      <w:r>
        <w:rPr>
          <w:sz w:val="24"/>
        </w:rPr>
        <w:t>—静摩擦阻力；</w:t>
      </w:r>
    </w:p>
    <w:p>
      <w:pPr>
        <w:spacing w:line="360" w:lineRule="auto"/>
        <w:ind w:firstLine="840" w:firstLineChars="350"/>
        <w:jc w:val="left"/>
        <w:rPr>
          <w:sz w:val="24"/>
        </w:rPr>
      </w:pPr>
      <w:r>
        <w:rPr>
          <w:i/>
          <w:sz w:val="24"/>
        </w:rPr>
        <w:t>P</w:t>
      </w:r>
      <w:r>
        <w:rPr>
          <w:i/>
          <w:sz w:val="24"/>
          <w:vertAlign w:val="subscript"/>
        </w:rPr>
        <w:t>d</w:t>
      </w:r>
      <w:r>
        <w:rPr>
          <w:sz w:val="24"/>
        </w:rPr>
        <w:t>—变形阻力；</w:t>
      </w:r>
    </w:p>
    <w:p>
      <w:pPr>
        <w:spacing w:line="360" w:lineRule="auto"/>
        <w:ind w:firstLine="840" w:firstLineChars="350"/>
        <w:jc w:val="left"/>
        <w:rPr>
          <w:sz w:val="24"/>
        </w:rPr>
      </w:pPr>
      <w:r>
        <w:rPr>
          <w:i/>
          <w:sz w:val="24"/>
        </w:rPr>
        <w:t>G</w:t>
      </w:r>
      <w:r>
        <w:rPr>
          <w:sz w:val="24"/>
        </w:rPr>
        <w:t>—自重。</w:t>
      </w:r>
    </w:p>
    <w:p>
      <w:pPr>
        <w:spacing w:line="360" w:lineRule="auto"/>
        <w:rPr>
          <w:sz w:val="24"/>
        </w:rPr>
      </w:pPr>
      <w:r>
        <w:rPr>
          <w:b/>
          <w:sz w:val="24"/>
        </w:rPr>
        <w:t>5.9.</w:t>
      </w:r>
      <w:r>
        <w:rPr>
          <w:rFonts w:hint="eastAsia"/>
          <w:b/>
          <w:sz w:val="24"/>
        </w:rPr>
        <w:t>6</w:t>
      </w:r>
      <w:r>
        <w:rPr>
          <w:sz w:val="24"/>
        </w:rPr>
        <w:t xml:space="preserve">  型钢水泥土</w:t>
      </w:r>
      <w:r>
        <w:rPr>
          <w:rFonts w:hint="eastAsia"/>
          <w:sz w:val="24"/>
        </w:rPr>
        <w:t>搅拌</w:t>
      </w:r>
      <w:r>
        <w:rPr>
          <w:sz w:val="24"/>
        </w:rPr>
        <w:t>墙的构造要求：</w:t>
      </w:r>
    </w:p>
    <w:p>
      <w:pPr>
        <w:spacing w:line="360" w:lineRule="auto"/>
        <w:ind w:firstLine="480" w:firstLineChars="200"/>
        <w:rPr>
          <w:sz w:val="24"/>
        </w:rPr>
      </w:pPr>
      <w:r>
        <w:rPr>
          <w:sz w:val="24"/>
        </w:rPr>
        <w:t>1</w:t>
      </w:r>
      <w:r>
        <w:rPr>
          <w:b/>
          <w:sz w:val="24"/>
        </w:rPr>
        <w:t xml:space="preserve">  </w:t>
      </w:r>
      <w:r>
        <w:rPr>
          <w:sz w:val="24"/>
        </w:rPr>
        <w:t>型钢</w:t>
      </w:r>
      <w:r>
        <w:rPr>
          <w:rFonts w:hint="eastAsia"/>
          <w:sz w:val="24"/>
        </w:rPr>
        <w:t>宜</w:t>
      </w:r>
      <w:r>
        <w:rPr>
          <w:sz w:val="24"/>
        </w:rPr>
        <w:t>高于冠梁顶部不少于50</w:t>
      </w:r>
      <w:r>
        <w:rPr>
          <w:rFonts w:hint="eastAsia"/>
          <w:sz w:val="24"/>
        </w:rPr>
        <w:t>0m</w:t>
      </w:r>
      <w:r>
        <w:rPr>
          <w:sz w:val="24"/>
        </w:rPr>
        <w:t>m；</w:t>
      </w:r>
    </w:p>
    <w:p>
      <w:pPr>
        <w:spacing w:line="360" w:lineRule="auto"/>
        <w:ind w:firstLine="480" w:firstLineChars="200"/>
        <w:rPr>
          <w:sz w:val="24"/>
        </w:rPr>
      </w:pPr>
      <w:r>
        <w:rPr>
          <w:sz w:val="24"/>
        </w:rPr>
        <w:t>2  型钢表面需涂刷减摩剂，冠梁和型钢之间需包裹材料隔离；</w:t>
      </w:r>
    </w:p>
    <w:p>
      <w:pPr>
        <w:spacing w:line="360" w:lineRule="auto"/>
        <w:ind w:firstLine="480" w:firstLineChars="200"/>
        <w:rPr>
          <w:sz w:val="24"/>
        </w:rPr>
      </w:pPr>
      <w:r>
        <w:rPr>
          <w:sz w:val="24"/>
        </w:rPr>
        <w:t>3  冠梁</w:t>
      </w:r>
      <w:r>
        <w:rPr>
          <w:rFonts w:hint="eastAsia"/>
          <w:sz w:val="24"/>
        </w:rPr>
        <w:t>、</w:t>
      </w:r>
      <w:r>
        <w:rPr>
          <w:sz w:val="24"/>
        </w:rPr>
        <w:t>冠梁与型钢连接点的构造要求如下：</w:t>
      </w:r>
    </w:p>
    <w:p>
      <w:pPr>
        <w:spacing w:line="360" w:lineRule="auto"/>
        <w:ind w:left="1095" w:leftChars="350" w:hanging="360" w:hangingChars="150"/>
        <w:rPr>
          <w:sz w:val="24"/>
        </w:rPr>
      </w:pPr>
      <w:r>
        <w:rPr>
          <w:sz w:val="24"/>
        </w:rPr>
        <w:t>1）冠梁截面高度不小于600mm。当搅拌桩直径为650mm、850mm、1000mm时，冠梁截面宽度分别不应小于1000mm、1200mm、1300mm；</w:t>
      </w:r>
    </w:p>
    <w:p>
      <w:pPr>
        <w:spacing w:line="360" w:lineRule="auto"/>
        <w:ind w:left="1095" w:leftChars="350" w:hanging="360" w:hangingChars="150"/>
        <w:rPr>
          <w:sz w:val="24"/>
        </w:rPr>
      </w:pPr>
      <w:r>
        <w:rPr>
          <w:sz w:val="24"/>
        </w:rPr>
        <w:t>2）冠梁的主筋应避开型钢设置。型钢与围檩间的隔离材料应采用不易压缩的硬质材料；</w:t>
      </w:r>
    </w:p>
    <w:p>
      <w:pPr>
        <w:spacing w:line="360" w:lineRule="auto"/>
        <w:ind w:left="1095" w:leftChars="350" w:hanging="360" w:hangingChars="150"/>
        <w:rPr>
          <w:sz w:val="24"/>
        </w:rPr>
      </w:pPr>
      <w:r>
        <w:rPr>
          <w:sz w:val="24"/>
        </w:rPr>
        <w:t>3）冠梁的箍筋宜采用四肢箍筋，直径不应小于8</w:t>
      </w:r>
      <w:r>
        <w:rPr>
          <w:rFonts w:hint="eastAsia"/>
          <w:sz w:val="24"/>
        </w:rPr>
        <w:t>mm</w:t>
      </w:r>
      <w:r>
        <w:rPr>
          <w:sz w:val="24"/>
        </w:rPr>
        <w:t>，间距不应大于200mm；在支撑节点位置，箍筋宜适当加密。由于内插型钢而未能设置的箍筋应在相邻区域内补足面积。</w:t>
      </w:r>
    </w:p>
    <w:p>
      <w:pPr>
        <w:spacing w:line="360" w:lineRule="auto"/>
        <w:ind w:firstLine="1084" w:firstLineChars="450"/>
        <w:jc w:val="center"/>
        <w:rPr>
          <w:b/>
          <w:sz w:val="24"/>
        </w:rPr>
      </w:pPr>
      <w:r>
        <w:rPr>
          <w:b/>
          <w:sz w:val="24"/>
        </w:rPr>
        <w:drawing>
          <wp:inline distT="0" distB="0" distL="0" distR="0">
            <wp:extent cx="3233420" cy="2528570"/>
            <wp:effectExtent l="0" t="0" r="5080" b="5080"/>
            <wp:docPr id="40" name="图片 40" descr="E:\G规范编制\昆明地区基坑规范编制\2019.6第二次审查修改\插图\图5.9.7  型钢与冠梁节点构造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G规范编制\昆明地区基坑规范编制\2019.6第二次审查修改\插图\图5.9.7  型钢与冠梁节点构造图.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a:xfrm>
                      <a:off x="0" y="0"/>
                      <a:ext cx="3233420" cy="2528570"/>
                    </a:xfrm>
                    <a:prstGeom prst="rect">
                      <a:avLst/>
                    </a:prstGeom>
                    <a:noFill/>
                    <a:ln>
                      <a:noFill/>
                    </a:ln>
                  </pic:spPr>
                </pic:pic>
              </a:graphicData>
            </a:graphic>
          </wp:inline>
        </w:drawing>
      </w:r>
    </w:p>
    <w:p>
      <w:pPr>
        <w:spacing w:line="360" w:lineRule="auto"/>
        <w:ind w:firstLine="1084" w:firstLineChars="450"/>
        <w:jc w:val="center"/>
        <w:rPr>
          <w:b/>
          <w:sz w:val="24"/>
        </w:rPr>
      </w:pPr>
      <w:r>
        <w:rPr>
          <w:b/>
          <w:sz w:val="24"/>
        </w:rPr>
        <w:t>图5.9.</w:t>
      </w:r>
      <w:r>
        <w:rPr>
          <w:rFonts w:hint="eastAsia"/>
          <w:b/>
          <w:sz w:val="24"/>
        </w:rPr>
        <w:t>6</w:t>
      </w:r>
      <w:r>
        <w:rPr>
          <w:b/>
          <w:sz w:val="24"/>
        </w:rPr>
        <w:t xml:space="preserve">  型钢与冠梁节点构造图</w:t>
      </w:r>
    </w:p>
    <w:p>
      <w:pPr>
        <w:spacing w:line="360" w:lineRule="auto"/>
        <w:ind w:firstLine="480" w:firstLineChars="200"/>
        <w:rPr>
          <w:sz w:val="24"/>
        </w:rPr>
      </w:pPr>
      <w:r>
        <w:rPr>
          <w:sz w:val="24"/>
        </w:rPr>
        <w:t>4</w:t>
      </w:r>
      <w:r>
        <w:rPr>
          <w:b/>
          <w:sz w:val="24"/>
        </w:rPr>
        <w:t xml:space="preserve">  </w:t>
      </w:r>
      <w:r>
        <w:rPr>
          <w:sz w:val="24"/>
        </w:rPr>
        <w:t>围檩可以采用钢筋混凝土围檩</w:t>
      </w:r>
      <w:r>
        <w:rPr>
          <w:rFonts w:hint="eastAsia"/>
          <w:sz w:val="24"/>
        </w:rPr>
        <w:t>或</w:t>
      </w:r>
      <w:r>
        <w:rPr>
          <w:sz w:val="24"/>
        </w:rPr>
        <w:t>钢围檩</w:t>
      </w:r>
      <w:r>
        <w:rPr>
          <w:rFonts w:hint="eastAsia"/>
          <w:sz w:val="24"/>
        </w:rPr>
        <w:t>；</w:t>
      </w:r>
    </w:p>
    <w:p>
      <w:pPr>
        <w:spacing w:line="360" w:lineRule="auto"/>
        <w:ind w:firstLine="480" w:firstLineChars="200"/>
        <w:rPr>
          <w:sz w:val="24"/>
        </w:rPr>
      </w:pPr>
      <w:r>
        <w:rPr>
          <w:sz w:val="24"/>
        </w:rPr>
        <w:t>5  型钢水泥土</w:t>
      </w:r>
      <w:r>
        <w:rPr>
          <w:rFonts w:hint="eastAsia"/>
          <w:sz w:val="24"/>
        </w:rPr>
        <w:t>搅拌</w:t>
      </w:r>
      <w:r>
        <w:rPr>
          <w:sz w:val="24"/>
        </w:rPr>
        <w:t>墙转角处宜采用</w:t>
      </w:r>
      <w:r>
        <w:rPr>
          <w:rFonts w:hint="eastAsia"/>
          <w:sz w:val="24"/>
        </w:rPr>
        <w:t>“</w:t>
      </w:r>
      <w:r>
        <w:rPr>
          <w:sz w:val="24"/>
        </w:rPr>
        <w:t>十</w:t>
      </w:r>
      <w:r>
        <w:rPr>
          <w:rFonts w:hint="eastAsia"/>
          <w:sz w:val="24"/>
        </w:rPr>
        <w:t>”</w:t>
      </w:r>
      <w:r>
        <w:rPr>
          <w:sz w:val="24"/>
        </w:rPr>
        <w:t>字接头形式</w:t>
      </w:r>
      <w:r>
        <w:rPr>
          <w:rFonts w:hint="eastAsia"/>
          <w:sz w:val="24"/>
        </w:rPr>
        <w:t>，</w:t>
      </w:r>
      <w:r>
        <w:rPr>
          <w:sz w:val="24"/>
        </w:rPr>
        <w:t>在接头处两边都多打半幅桩，同时宜在转角处增设一根斜插型钢。</w:t>
      </w:r>
    </w:p>
    <w:p>
      <w:pPr>
        <w:spacing w:line="360" w:lineRule="auto"/>
        <w:rPr>
          <w:sz w:val="24"/>
        </w:rPr>
      </w:pPr>
      <w:r>
        <w:rPr>
          <w:b/>
          <w:sz w:val="24"/>
        </w:rPr>
        <w:t>5.9.</w:t>
      </w:r>
      <w:r>
        <w:rPr>
          <w:rFonts w:hint="eastAsia"/>
          <w:b/>
          <w:sz w:val="24"/>
        </w:rPr>
        <w:t>7</w:t>
      </w:r>
      <w:r>
        <w:rPr>
          <w:sz w:val="24"/>
        </w:rPr>
        <w:t xml:space="preserve">  型钢水泥土</w:t>
      </w:r>
      <w:r>
        <w:rPr>
          <w:rFonts w:hint="eastAsia"/>
          <w:sz w:val="24"/>
        </w:rPr>
        <w:t>搅拌</w:t>
      </w:r>
      <w:r>
        <w:rPr>
          <w:sz w:val="24"/>
        </w:rPr>
        <w:t>墙施工控制要点：</w:t>
      </w:r>
    </w:p>
    <w:p>
      <w:pPr>
        <w:spacing w:line="360" w:lineRule="auto"/>
        <w:ind w:firstLine="480" w:firstLineChars="200"/>
        <w:rPr>
          <w:sz w:val="24"/>
        </w:rPr>
      </w:pPr>
      <w:r>
        <w:rPr>
          <w:sz w:val="24"/>
        </w:rPr>
        <w:t>1  施工前应进行</w:t>
      </w:r>
      <w:r>
        <w:rPr>
          <w:rFonts w:hint="eastAsia"/>
          <w:sz w:val="24"/>
        </w:rPr>
        <w:t>工艺性试验</w:t>
      </w:r>
      <w:r>
        <w:rPr>
          <w:sz w:val="24"/>
        </w:rPr>
        <w:t>，确定各项技术参数；</w:t>
      </w:r>
    </w:p>
    <w:p>
      <w:pPr>
        <w:spacing w:line="360" w:lineRule="auto"/>
        <w:ind w:firstLine="480" w:firstLineChars="200"/>
        <w:rPr>
          <w:sz w:val="24"/>
        </w:rPr>
      </w:pPr>
      <w:r>
        <w:rPr>
          <w:sz w:val="24"/>
        </w:rPr>
        <w:t>2  在有机质土、泥炭质土地层中应掺加外加剂，并通过现场试验验证三轴水泥土搅拌桩的成桩质量；</w:t>
      </w:r>
    </w:p>
    <w:p>
      <w:pPr>
        <w:spacing w:line="360" w:lineRule="auto"/>
        <w:ind w:firstLine="480" w:firstLineChars="200"/>
        <w:rPr>
          <w:sz w:val="24"/>
        </w:rPr>
      </w:pPr>
      <w:r>
        <w:rPr>
          <w:sz w:val="24"/>
        </w:rPr>
        <w:t>3  三轴水泥土搅拌桩应采用套接一孔施工；</w:t>
      </w:r>
    </w:p>
    <w:p>
      <w:pPr>
        <w:spacing w:line="360" w:lineRule="auto"/>
        <w:ind w:firstLine="480" w:firstLineChars="200"/>
        <w:rPr>
          <w:sz w:val="24"/>
        </w:rPr>
      </w:pPr>
      <w:r>
        <w:rPr>
          <w:sz w:val="24"/>
        </w:rPr>
        <w:t>4  为减少三轴搅拌桩对周边环境的影响，</w:t>
      </w:r>
      <w:r>
        <w:rPr>
          <w:rFonts w:hint="eastAsia"/>
          <w:sz w:val="24"/>
        </w:rPr>
        <w:t>宜</w:t>
      </w:r>
      <w:r>
        <w:rPr>
          <w:sz w:val="24"/>
        </w:rPr>
        <w:t>采取跳打施工；</w:t>
      </w:r>
    </w:p>
    <w:p>
      <w:pPr>
        <w:spacing w:line="360" w:lineRule="auto"/>
        <w:ind w:firstLine="480" w:firstLineChars="200"/>
        <w:rPr>
          <w:sz w:val="24"/>
        </w:rPr>
      </w:pPr>
      <w:r>
        <w:rPr>
          <w:sz w:val="24"/>
        </w:rPr>
        <w:t>5  三轴搅拌桩下沉速度应</w:t>
      </w:r>
      <w:r>
        <w:rPr>
          <w:rFonts w:hint="eastAsia"/>
          <w:sz w:val="24"/>
        </w:rPr>
        <w:t>控制</w:t>
      </w:r>
      <w:r>
        <w:rPr>
          <w:sz w:val="24"/>
        </w:rPr>
        <w:t>在0.5～1.0m/min，提升速度应</w:t>
      </w:r>
      <w:r>
        <w:rPr>
          <w:rFonts w:hint="eastAsia"/>
          <w:sz w:val="24"/>
        </w:rPr>
        <w:t>控制</w:t>
      </w:r>
      <w:r>
        <w:rPr>
          <w:sz w:val="24"/>
        </w:rPr>
        <w:t>在1.0～2.0m/min，并做到匀速下沉和匀速提升；</w:t>
      </w:r>
    </w:p>
    <w:p>
      <w:pPr>
        <w:spacing w:line="360" w:lineRule="auto"/>
        <w:ind w:firstLine="480" w:firstLineChars="200"/>
        <w:rPr>
          <w:sz w:val="24"/>
        </w:rPr>
      </w:pPr>
      <w:r>
        <w:rPr>
          <w:rFonts w:hint="eastAsia"/>
          <w:sz w:val="24"/>
        </w:rPr>
        <w:t>6</w:t>
      </w:r>
      <w:r>
        <w:rPr>
          <w:sz w:val="24"/>
        </w:rPr>
        <w:t xml:space="preserve">  型钢表面应进行清</w:t>
      </w:r>
      <w:r>
        <w:rPr>
          <w:rFonts w:hint="eastAsia"/>
          <w:sz w:val="24"/>
        </w:rPr>
        <w:t>污</w:t>
      </w:r>
      <w:r>
        <w:rPr>
          <w:sz w:val="24"/>
        </w:rPr>
        <w:t>除锈，并在干燥条件下涂抹减摩剂；</w:t>
      </w:r>
    </w:p>
    <w:p>
      <w:pPr>
        <w:spacing w:line="360" w:lineRule="auto"/>
        <w:ind w:firstLine="480" w:firstLineChars="200"/>
        <w:rPr>
          <w:sz w:val="24"/>
        </w:rPr>
      </w:pPr>
      <w:r>
        <w:rPr>
          <w:rFonts w:hint="eastAsia"/>
          <w:sz w:val="24"/>
        </w:rPr>
        <w:t>7</w:t>
      </w:r>
      <w:r>
        <w:rPr>
          <w:sz w:val="24"/>
        </w:rPr>
        <w:t xml:space="preserve">  型钢的插入宜在搅拌桩施工结束后30min内进行；</w:t>
      </w:r>
    </w:p>
    <w:p>
      <w:pPr>
        <w:spacing w:line="360" w:lineRule="auto"/>
        <w:ind w:firstLine="480" w:firstLineChars="200"/>
        <w:rPr>
          <w:sz w:val="24"/>
        </w:rPr>
      </w:pPr>
      <w:r>
        <w:rPr>
          <w:rFonts w:hint="eastAsia"/>
          <w:sz w:val="24"/>
        </w:rPr>
        <w:t>8</w:t>
      </w:r>
      <w:r>
        <w:rPr>
          <w:sz w:val="24"/>
        </w:rPr>
        <w:t xml:space="preserve">  型钢回收应在主体地下结构施工完成，</w:t>
      </w:r>
      <w:r>
        <w:rPr>
          <w:rFonts w:hint="eastAsia"/>
          <w:sz w:val="24"/>
        </w:rPr>
        <w:t>肥槽</w:t>
      </w:r>
      <w:r>
        <w:rPr>
          <w:sz w:val="24"/>
        </w:rPr>
        <w:t>回填后进行，拔出型钢后形成的空隙应及时注浆充填。</w:t>
      </w:r>
    </w:p>
    <w:p>
      <w:pPr>
        <w:spacing w:line="360" w:lineRule="auto"/>
        <w:ind w:firstLine="480" w:firstLineChars="200"/>
        <w:rPr>
          <w:sz w:val="24"/>
        </w:rPr>
      </w:pPr>
    </w:p>
    <w:p>
      <w:pPr>
        <w:spacing w:line="360" w:lineRule="auto"/>
        <w:jc w:val="center"/>
        <w:outlineLvl w:val="1"/>
        <w:rPr>
          <w:b/>
          <w:sz w:val="24"/>
        </w:rPr>
      </w:pPr>
      <w:bookmarkStart w:id="62" w:name="_Toc87018272"/>
      <w:bookmarkStart w:id="63" w:name="_Toc489863672"/>
      <w:bookmarkStart w:id="64" w:name="_Toc87018341"/>
      <w:r>
        <w:rPr>
          <w:b/>
          <w:sz w:val="24"/>
        </w:rPr>
        <w:t>5.</w:t>
      </w:r>
      <w:r>
        <w:rPr>
          <w:rFonts w:hint="eastAsia"/>
          <w:b/>
          <w:sz w:val="24"/>
        </w:rPr>
        <w:t xml:space="preserve">10  </w:t>
      </w:r>
      <w:r>
        <w:rPr>
          <w:b/>
          <w:sz w:val="24"/>
        </w:rPr>
        <w:t>钢板桩支护</w:t>
      </w:r>
      <w:bookmarkEnd w:id="62"/>
      <w:bookmarkEnd w:id="63"/>
      <w:bookmarkEnd w:id="64"/>
    </w:p>
    <w:p>
      <w:pPr>
        <w:spacing w:line="360" w:lineRule="auto"/>
        <w:rPr>
          <w:bCs/>
          <w:sz w:val="24"/>
        </w:rPr>
      </w:pPr>
      <w:r>
        <w:rPr>
          <w:b/>
          <w:bCs/>
          <w:sz w:val="24"/>
        </w:rPr>
        <w:t xml:space="preserve">5.10.1  </w:t>
      </w:r>
      <w:r>
        <w:rPr>
          <w:rFonts w:hint="eastAsia"/>
          <w:bCs/>
          <w:sz w:val="24"/>
        </w:rPr>
        <w:t>钢板桩的选型和适用范围：</w:t>
      </w:r>
    </w:p>
    <w:p>
      <w:pPr>
        <w:pStyle w:val="74"/>
        <w:spacing w:line="360" w:lineRule="auto"/>
        <w:ind w:firstLine="480" w:firstLineChars="200"/>
        <w:rPr>
          <w:rFonts w:ascii="Times New Roman" w:hAnsi="Times New Roman" w:cs="Times New Roman"/>
        </w:rPr>
      </w:pPr>
      <w:r>
        <w:rPr>
          <w:rFonts w:hint="eastAsia"/>
        </w:rPr>
        <w:t xml:space="preserve">1  </w:t>
      </w:r>
      <w:r>
        <w:rPr>
          <w:rFonts w:ascii="Times New Roman" w:hAnsi="Times New Roman" w:cs="Times New Roman"/>
        </w:rPr>
        <w:t>钢板桩支护结构</w:t>
      </w:r>
      <w:r>
        <w:rPr>
          <w:rFonts w:hint="eastAsia" w:ascii="Times New Roman" w:hAnsi="Times New Roman" w:cs="Times New Roman"/>
        </w:rPr>
        <w:t>型</w:t>
      </w:r>
      <w:r>
        <w:rPr>
          <w:rFonts w:ascii="Times New Roman" w:hAnsi="Times New Roman" w:cs="Times New Roman"/>
        </w:rPr>
        <w:t>式应</w:t>
      </w:r>
      <w:r>
        <w:rPr>
          <w:rFonts w:hint="eastAsia" w:ascii="Times New Roman" w:hAnsi="Times New Roman" w:cs="Times New Roman"/>
        </w:rPr>
        <w:t>根据基坑特征、</w:t>
      </w:r>
      <w:r>
        <w:rPr>
          <w:rFonts w:ascii="Times New Roman" w:hAnsi="Times New Roman" w:cs="Times New Roman"/>
        </w:rPr>
        <w:t>周边环境、地质条件</w:t>
      </w:r>
      <w:r>
        <w:rPr>
          <w:rFonts w:hint="eastAsia" w:ascii="Times New Roman" w:hAnsi="Times New Roman" w:cs="Times New Roman"/>
        </w:rPr>
        <w:t>、经济指标</w:t>
      </w:r>
      <w:r>
        <w:rPr>
          <w:rFonts w:ascii="Times New Roman" w:hAnsi="Times New Roman" w:cs="Times New Roman"/>
        </w:rPr>
        <w:t>等因素</w:t>
      </w:r>
      <w:r>
        <w:rPr>
          <w:rFonts w:hint="eastAsia" w:ascii="Times New Roman" w:hAnsi="Times New Roman" w:cs="Times New Roman"/>
        </w:rPr>
        <w:t>综合确定</w:t>
      </w:r>
      <w:r>
        <w:rPr>
          <w:rFonts w:ascii="Times New Roman" w:hAnsi="Times New Roman" w:cs="Times New Roman"/>
        </w:rPr>
        <w:t>；</w:t>
      </w:r>
    </w:p>
    <w:p>
      <w:pPr>
        <w:spacing w:line="360" w:lineRule="auto"/>
        <w:ind w:firstLine="480" w:firstLineChars="200"/>
        <w:rPr>
          <w:sz w:val="24"/>
        </w:rPr>
      </w:pPr>
      <w:r>
        <w:rPr>
          <w:rFonts w:hint="eastAsia"/>
          <w:sz w:val="24"/>
        </w:rPr>
        <w:t>2  适用的地层：</w:t>
      </w:r>
      <w:r>
        <w:rPr>
          <w:sz w:val="24"/>
        </w:rPr>
        <w:t>淤泥、淤泥质土、</w:t>
      </w:r>
      <w:r>
        <w:rPr>
          <w:rFonts w:hint="eastAsia"/>
          <w:sz w:val="24"/>
        </w:rPr>
        <w:t>泥炭、泥炭质土、</w:t>
      </w:r>
      <w:r>
        <w:rPr>
          <w:sz w:val="24"/>
        </w:rPr>
        <w:t>黏性土</w:t>
      </w:r>
      <w:r>
        <w:rPr>
          <w:rFonts w:hint="eastAsia"/>
          <w:sz w:val="24"/>
        </w:rPr>
        <w:t>、</w:t>
      </w:r>
      <w:r>
        <w:rPr>
          <w:sz w:val="24"/>
        </w:rPr>
        <w:t>砂性土</w:t>
      </w:r>
      <w:r>
        <w:rPr>
          <w:rFonts w:hint="eastAsia"/>
          <w:sz w:val="24"/>
        </w:rPr>
        <w:t>；</w:t>
      </w:r>
    </w:p>
    <w:p>
      <w:pPr>
        <w:pStyle w:val="74"/>
        <w:spacing w:line="360" w:lineRule="auto"/>
        <w:ind w:firstLine="480" w:firstLineChars="200"/>
      </w:pPr>
      <w:r>
        <w:rPr>
          <w:rFonts w:hint="eastAsia" w:ascii="Times New Roman" w:hAnsi="Times New Roman" w:cs="Times New Roman"/>
        </w:rPr>
        <w:t xml:space="preserve">3  </w:t>
      </w:r>
      <w:r>
        <w:rPr>
          <w:rFonts w:hint="eastAsia"/>
        </w:rPr>
        <w:t>钢板桩</w:t>
      </w:r>
      <w:r>
        <w:t>可单独</w:t>
      </w:r>
      <w:r>
        <w:rPr>
          <w:rFonts w:hint="eastAsia"/>
        </w:rPr>
        <w:t>使用</w:t>
      </w:r>
      <w:r>
        <w:t>，也可与锚</w:t>
      </w:r>
      <w:r>
        <w:rPr>
          <w:rFonts w:hint="eastAsia"/>
        </w:rPr>
        <w:t>杆</w:t>
      </w:r>
      <w:r>
        <w:t>、支撑体系</w:t>
      </w:r>
      <w:r>
        <w:rPr>
          <w:rFonts w:hint="eastAsia"/>
        </w:rPr>
        <w:t>等</w:t>
      </w:r>
      <w:r>
        <w:t>组合</w:t>
      </w:r>
      <w:r>
        <w:rPr>
          <w:rFonts w:hint="eastAsia"/>
        </w:rPr>
        <w:t>使用；</w:t>
      </w:r>
    </w:p>
    <w:p>
      <w:pPr>
        <w:pStyle w:val="74"/>
        <w:spacing w:line="360" w:lineRule="auto"/>
        <w:ind w:firstLine="480" w:firstLineChars="200"/>
        <w:rPr>
          <w:rFonts w:ascii="Times New Roman" w:hAnsi="Times New Roman" w:cs="Times New Roman"/>
        </w:rPr>
      </w:pPr>
      <w:r>
        <w:rPr>
          <w:rFonts w:hint="eastAsia" w:ascii="Times New Roman" w:hAnsi="Times New Roman" w:cs="Times New Roman"/>
        </w:rPr>
        <w:t xml:space="preserve">4 </w:t>
      </w:r>
      <w:r>
        <w:rPr>
          <w:rFonts w:ascii="Times New Roman" w:hAnsi="Times New Roman" w:cs="Times New Roman"/>
        </w:rPr>
        <w:t xml:space="preserve"> 常用的钢板桩按截面形式可分为Z型桩、U型桩、H型桩、直腹式桩等</w:t>
      </w:r>
      <w:r>
        <w:rPr>
          <w:rFonts w:hint="eastAsia" w:ascii="Times New Roman" w:hAnsi="Times New Roman" w:cs="Times New Roman"/>
        </w:rPr>
        <w:t>。</w:t>
      </w:r>
    </w:p>
    <w:p>
      <w:pPr>
        <w:spacing w:line="360" w:lineRule="auto"/>
        <w:rPr>
          <w:sz w:val="24"/>
        </w:rPr>
      </w:pPr>
      <w:r>
        <w:rPr>
          <w:b/>
          <w:bCs/>
          <w:sz w:val="24"/>
        </w:rPr>
        <w:t>5.10.</w:t>
      </w:r>
      <w:r>
        <w:rPr>
          <w:rFonts w:hint="eastAsia"/>
          <w:b/>
          <w:bCs/>
          <w:sz w:val="24"/>
        </w:rPr>
        <w:t>2</w:t>
      </w:r>
      <w:r>
        <w:rPr>
          <w:b/>
          <w:bCs/>
          <w:sz w:val="24"/>
        </w:rPr>
        <w:t xml:space="preserve">  </w:t>
      </w:r>
      <w:r>
        <w:rPr>
          <w:sz w:val="24"/>
        </w:rPr>
        <w:t>钢板桩支护结构的设计计算与验算</w:t>
      </w:r>
    </w:p>
    <w:p>
      <w:pPr>
        <w:tabs>
          <w:tab w:val="left" w:pos="672"/>
          <w:tab w:val="left" w:pos="1036"/>
          <w:tab w:val="left" w:pos="1620"/>
          <w:tab w:val="left" w:pos="2160"/>
          <w:tab w:val="left" w:pos="7020"/>
        </w:tabs>
        <w:spacing w:line="360" w:lineRule="auto"/>
        <w:ind w:firstLine="480" w:firstLineChars="200"/>
        <w:jc w:val="left"/>
        <w:rPr>
          <w:sz w:val="24"/>
        </w:rPr>
      </w:pPr>
      <w:r>
        <w:rPr>
          <w:sz w:val="24"/>
        </w:rPr>
        <w:t>1   钢板桩支护体系的稳定性验算应包括整体稳定性验算、抗倾覆稳定性验算、抗隆起稳定性验算</w:t>
      </w:r>
      <w:r>
        <w:rPr>
          <w:rFonts w:hint="eastAsia"/>
          <w:sz w:val="24"/>
        </w:rPr>
        <w:t>，当作为截水帷幕时，应进行流土</w:t>
      </w:r>
      <w:r>
        <w:rPr>
          <w:sz w:val="24"/>
        </w:rPr>
        <w:t>稳定性验算</w:t>
      </w:r>
      <w:r>
        <w:rPr>
          <w:rFonts w:hint="eastAsia"/>
          <w:sz w:val="24"/>
        </w:rPr>
        <w:t>；计算按本规程5.4节~5.7节的有关规定进行</w:t>
      </w:r>
      <w:r>
        <w:rPr>
          <w:sz w:val="24"/>
        </w:rPr>
        <w:t>；</w:t>
      </w:r>
    </w:p>
    <w:p>
      <w:pPr>
        <w:spacing w:line="360" w:lineRule="auto"/>
        <w:ind w:firstLine="480" w:firstLineChars="200"/>
        <w:rPr>
          <w:color w:val="FF0000"/>
          <w:kern w:val="0"/>
          <w:sz w:val="24"/>
        </w:rPr>
      </w:pPr>
      <w:r>
        <w:rPr>
          <w:rFonts w:hint="eastAsia"/>
          <w:kern w:val="0"/>
          <w:sz w:val="24"/>
        </w:rPr>
        <w:t>2  钢板桩在施工阶段应按偏心受压构件设计；</w:t>
      </w:r>
      <w:r>
        <w:rPr>
          <w:color w:val="FF0000"/>
          <w:kern w:val="0"/>
          <w:sz w:val="24"/>
        </w:rPr>
        <w:t xml:space="preserve"> </w:t>
      </w:r>
    </w:p>
    <w:p>
      <w:pPr>
        <w:spacing w:line="360" w:lineRule="auto"/>
        <w:ind w:firstLine="480" w:firstLineChars="200"/>
        <w:rPr>
          <w:color w:val="000000"/>
          <w:kern w:val="0"/>
          <w:sz w:val="24"/>
        </w:rPr>
      </w:pPr>
      <w:r>
        <w:rPr>
          <w:rFonts w:hint="eastAsia"/>
          <w:color w:val="000000"/>
          <w:kern w:val="0"/>
          <w:sz w:val="24"/>
        </w:rPr>
        <w:t>3</w:t>
      </w:r>
      <w:r>
        <w:rPr>
          <w:color w:val="000000"/>
          <w:kern w:val="0"/>
          <w:sz w:val="24"/>
        </w:rPr>
        <w:t xml:space="preserve"> </w:t>
      </w:r>
      <w:r>
        <w:rPr>
          <w:rFonts w:hint="eastAsia"/>
          <w:color w:val="000000"/>
          <w:kern w:val="0"/>
          <w:sz w:val="24"/>
        </w:rPr>
        <w:t xml:space="preserve"> </w:t>
      </w:r>
      <w:r>
        <w:rPr>
          <w:color w:val="000000"/>
          <w:kern w:val="0"/>
          <w:sz w:val="24"/>
        </w:rPr>
        <w:t>钢板桩和支撑构件或锚</w:t>
      </w:r>
      <w:r>
        <w:rPr>
          <w:rFonts w:hint="eastAsia"/>
          <w:color w:val="000000"/>
          <w:kern w:val="0"/>
          <w:sz w:val="24"/>
        </w:rPr>
        <w:t>杆</w:t>
      </w:r>
      <w:r>
        <w:rPr>
          <w:color w:val="000000"/>
          <w:kern w:val="0"/>
          <w:sz w:val="24"/>
        </w:rPr>
        <w:t>的强度和刚度应符合下列规定：</w:t>
      </w:r>
    </w:p>
    <w:p>
      <w:pPr>
        <w:spacing w:line="360" w:lineRule="auto"/>
        <w:ind w:firstLine="720" w:firstLineChars="300"/>
        <w:rPr>
          <w:color w:val="000000"/>
          <w:kern w:val="0"/>
          <w:sz w:val="24"/>
        </w:rPr>
      </w:pPr>
      <w:r>
        <w:rPr>
          <w:color w:val="000000"/>
          <w:kern w:val="0"/>
          <w:sz w:val="24"/>
        </w:rPr>
        <w:t>1）钢板桩对于所承受的侧向荷载，必须具有足够的强度和刚度；</w:t>
      </w:r>
    </w:p>
    <w:p>
      <w:pPr>
        <w:spacing w:line="360" w:lineRule="auto"/>
        <w:ind w:firstLine="720" w:firstLineChars="300"/>
        <w:rPr>
          <w:sz w:val="24"/>
        </w:rPr>
      </w:pPr>
      <w:r>
        <w:rPr>
          <w:sz w:val="24"/>
        </w:rPr>
        <w:t>2）钢板桩的</w:t>
      </w:r>
      <w:r>
        <w:rPr>
          <w:color w:val="000000"/>
          <w:kern w:val="0"/>
          <w:sz w:val="24"/>
        </w:rPr>
        <w:t>支撑体系</w:t>
      </w:r>
      <w:r>
        <w:rPr>
          <w:sz w:val="24"/>
        </w:rPr>
        <w:t>应合理布置，支撑构件应具有足够的强度和刚度。</w:t>
      </w:r>
    </w:p>
    <w:p>
      <w:pPr>
        <w:spacing w:line="360" w:lineRule="auto"/>
        <w:ind w:firstLine="480" w:firstLineChars="200"/>
        <w:rPr>
          <w:kern w:val="0"/>
          <w:sz w:val="24"/>
        </w:rPr>
      </w:pPr>
      <w:r>
        <w:rPr>
          <w:rFonts w:hint="eastAsia"/>
          <w:color w:val="000000"/>
          <w:kern w:val="0"/>
          <w:sz w:val="24"/>
        </w:rPr>
        <w:t>4 采用U型钢板桩时，非焊接组合的U型钢板桩的截面惯性矩和</w:t>
      </w:r>
      <w:r>
        <w:rPr>
          <w:rFonts w:hint="eastAsia"/>
          <w:kern w:val="0"/>
          <w:sz w:val="24"/>
        </w:rPr>
        <w:t>截面模量应</w:t>
      </w:r>
      <w:r>
        <w:rPr>
          <w:color w:val="000000"/>
          <w:kern w:val="0"/>
          <w:sz w:val="24"/>
        </w:rPr>
        <w:t>分</w:t>
      </w:r>
      <w:r>
        <w:rPr>
          <w:kern w:val="0"/>
          <w:sz w:val="24"/>
        </w:rPr>
        <w:t>别乘折减系数</w:t>
      </w:r>
      <w:r>
        <w:rPr>
          <w:rFonts w:hint="eastAsia"/>
          <w:kern w:val="0"/>
          <w:sz w:val="24"/>
        </w:rPr>
        <w:t>a</w:t>
      </w:r>
      <w:r>
        <w:rPr>
          <w:kern w:val="0"/>
          <w:sz w:val="24"/>
        </w:rPr>
        <w:t>和</w:t>
      </w:r>
      <w:r>
        <w:rPr>
          <w:rFonts w:hint="eastAsia"/>
          <w:kern w:val="0"/>
          <w:sz w:val="24"/>
        </w:rPr>
        <w:t>b。对上部设有钢筋混凝土冠梁的U型钢板桩支护结构，a可</w:t>
      </w:r>
      <w:r>
        <w:rPr>
          <w:kern w:val="0"/>
          <w:sz w:val="24"/>
        </w:rPr>
        <w:t>取</w:t>
      </w:r>
      <w:r>
        <w:rPr>
          <w:rFonts w:hint="eastAsia"/>
          <w:kern w:val="0"/>
          <w:sz w:val="24"/>
        </w:rPr>
        <w:t>0.9，b可</w:t>
      </w:r>
      <w:r>
        <w:rPr>
          <w:kern w:val="0"/>
          <w:sz w:val="24"/>
        </w:rPr>
        <w:t>取1.0</w:t>
      </w:r>
      <w:r>
        <w:rPr>
          <w:rFonts w:hint="eastAsia"/>
          <w:kern w:val="0"/>
          <w:sz w:val="24"/>
        </w:rPr>
        <w:t>；</w:t>
      </w:r>
      <w:r>
        <w:rPr>
          <w:kern w:val="0"/>
          <w:sz w:val="24"/>
        </w:rPr>
        <w:t>对其他形状钢板桩，折减值</w:t>
      </w:r>
      <w:r>
        <w:rPr>
          <w:rFonts w:hint="eastAsia"/>
          <w:kern w:val="0"/>
          <w:sz w:val="24"/>
        </w:rPr>
        <w:t>应</w:t>
      </w:r>
      <w:r>
        <w:rPr>
          <w:kern w:val="0"/>
          <w:sz w:val="24"/>
        </w:rPr>
        <w:t>通过试验确定</w:t>
      </w:r>
      <w:r>
        <w:rPr>
          <w:rFonts w:hint="eastAsia"/>
          <w:kern w:val="0"/>
          <w:sz w:val="24"/>
        </w:rPr>
        <w:t>；</w:t>
      </w:r>
    </w:p>
    <w:p>
      <w:pPr>
        <w:spacing w:line="360" w:lineRule="auto"/>
        <w:ind w:firstLine="480" w:firstLineChars="200"/>
        <w:rPr>
          <w:color w:val="000000"/>
          <w:kern w:val="0"/>
          <w:sz w:val="24"/>
        </w:rPr>
      </w:pPr>
      <w:r>
        <w:rPr>
          <w:rFonts w:hint="eastAsia"/>
          <w:color w:val="000000"/>
          <w:kern w:val="0"/>
          <w:sz w:val="24"/>
        </w:rPr>
        <w:t>5</w:t>
      </w:r>
      <w:r>
        <w:rPr>
          <w:color w:val="000000"/>
          <w:kern w:val="0"/>
          <w:sz w:val="24"/>
        </w:rPr>
        <w:t xml:space="preserve"> </w:t>
      </w:r>
      <w:r>
        <w:rPr>
          <w:rFonts w:hint="eastAsia"/>
          <w:color w:val="000000"/>
          <w:kern w:val="0"/>
          <w:sz w:val="24"/>
        </w:rPr>
        <w:t xml:space="preserve"> </w:t>
      </w:r>
      <w:r>
        <w:rPr>
          <w:color w:val="000000"/>
          <w:kern w:val="0"/>
          <w:sz w:val="24"/>
        </w:rPr>
        <w:t>钢板桩支护设计应满足整体结构体系</w:t>
      </w:r>
      <w:r>
        <w:rPr>
          <w:rFonts w:hint="eastAsia"/>
          <w:color w:val="000000"/>
          <w:kern w:val="0"/>
          <w:sz w:val="24"/>
        </w:rPr>
        <w:t>变形</w:t>
      </w:r>
      <w:r>
        <w:rPr>
          <w:color w:val="000000"/>
          <w:kern w:val="0"/>
          <w:sz w:val="24"/>
        </w:rPr>
        <w:t>协调的要求</w:t>
      </w:r>
      <w:r>
        <w:rPr>
          <w:rFonts w:hint="eastAsia"/>
          <w:color w:val="000000"/>
          <w:kern w:val="0"/>
          <w:sz w:val="24"/>
        </w:rPr>
        <w:t>；</w:t>
      </w:r>
    </w:p>
    <w:p>
      <w:pPr>
        <w:pStyle w:val="74"/>
        <w:spacing w:line="360" w:lineRule="auto"/>
        <w:ind w:firstLine="482" w:firstLineChars="200"/>
        <w:rPr>
          <w:rFonts w:ascii="Times New Roman" w:hAnsi="Times New Roman" w:cs="Times New Roman"/>
        </w:rPr>
      </w:pPr>
      <w:r>
        <w:rPr>
          <w:rFonts w:hint="eastAsia" w:ascii="Times New Roman" w:hAnsi="Times New Roman" w:cs="Times New Roman"/>
          <w:b/>
        </w:rPr>
        <w:t>6</w:t>
      </w:r>
      <w:r>
        <w:rPr>
          <w:rFonts w:ascii="Times New Roman" w:hAnsi="Times New Roman" w:cs="Times New Roman"/>
          <w:b/>
        </w:rPr>
        <w:t xml:space="preserve"> </w:t>
      </w:r>
      <w:r>
        <w:rPr>
          <w:rFonts w:hint="eastAsia" w:ascii="Times New Roman" w:hAnsi="Times New Roman" w:cs="Times New Roman"/>
          <w:b/>
        </w:rPr>
        <w:t xml:space="preserve"> </w:t>
      </w:r>
      <w:r>
        <w:rPr>
          <w:rFonts w:ascii="Times New Roman" w:hAnsi="Times New Roman" w:cs="Times New Roman"/>
        </w:rPr>
        <w:t>作用在钢板桩上的侧向荷载，可取每延长米或一个单元段作为计算单元</w:t>
      </w:r>
      <w:r>
        <w:rPr>
          <w:rFonts w:hint="eastAsia" w:ascii="Times New Roman" w:hAnsi="Times New Roman" w:cs="Times New Roman"/>
        </w:rPr>
        <w:t>；</w:t>
      </w:r>
    </w:p>
    <w:p>
      <w:pPr>
        <w:spacing w:line="360" w:lineRule="auto"/>
        <w:ind w:firstLine="480" w:firstLineChars="200"/>
        <w:jc w:val="left"/>
        <w:rPr>
          <w:sz w:val="24"/>
        </w:rPr>
      </w:pPr>
      <w:r>
        <w:rPr>
          <w:rFonts w:hint="eastAsia"/>
          <w:sz w:val="24"/>
        </w:rPr>
        <w:t xml:space="preserve">7  </w:t>
      </w:r>
      <w:r>
        <w:rPr>
          <w:sz w:val="24"/>
        </w:rPr>
        <w:t>钢板桩的单宽强度应满足式5.</w:t>
      </w:r>
      <w:r>
        <w:rPr>
          <w:rFonts w:hint="eastAsia"/>
          <w:sz w:val="24"/>
        </w:rPr>
        <w:t>10.3</w:t>
      </w:r>
      <w:r>
        <w:rPr>
          <w:sz w:val="24"/>
        </w:rPr>
        <w:t>的计算要求</w:t>
      </w:r>
      <w:r>
        <w:rPr>
          <w:rFonts w:hint="eastAsia"/>
          <w:sz w:val="24"/>
        </w:rPr>
        <w:t>。</w:t>
      </w:r>
    </w:p>
    <w:p>
      <w:pPr>
        <w:wordWrap w:val="0"/>
        <w:spacing w:line="360" w:lineRule="auto"/>
        <w:jc w:val="right"/>
        <w:rPr>
          <w:color w:val="FF0000"/>
          <w:sz w:val="24"/>
        </w:rPr>
      </w:pPr>
      <w:r>
        <w:rPr>
          <w:position w:val="-24"/>
        </w:rPr>
        <w:object>
          <v:shape id="_x0000_i1114" o:spt="75" type="#_x0000_t75" style="height:32.55pt;width:112.6pt;" o:ole="t" filled="f" coordsize="21600,21600">
            <v:path/>
            <v:fill on="f" focussize="0,0"/>
            <v:stroke/>
            <v:imagedata r:id="rId223" o:title=""/>
            <o:lock v:ext="edit" aspectratio="t"/>
            <w10:wrap type="none"/>
            <w10:anchorlock/>
          </v:shape>
          <o:OLEObject Type="Embed" ProgID="Equation.DSMT4" ShapeID="_x0000_i1114" DrawAspect="Content" ObjectID="_1468075814" r:id="rId222">
            <o:LockedField>false</o:LockedField>
          </o:OLEObject>
        </w:object>
      </w:r>
      <w:r>
        <w:rPr>
          <w:rFonts w:hint="eastAsia"/>
        </w:rPr>
        <w:t xml:space="preserve">                      </w:t>
      </w:r>
      <w:r>
        <w:rPr>
          <w:sz w:val="24"/>
        </w:rPr>
        <w:t>（5.</w:t>
      </w:r>
      <w:r>
        <w:rPr>
          <w:rFonts w:hint="eastAsia"/>
          <w:sz w:val="24"/>
        </w:rPr>
        <w:t>10.3-1</w:t>
      </w:r>
      <w:r>
        <w:rPr>
          <w:sz w:val="24"/>
        </w:rPr>
        <w:t>）</w:t>
      </w:r>
      <w:r>
        <w:rPr>
          <w:i/>
          <w:color w:val="FF0000"/>
          <w:sz w:val="24"/>
        </w:rPr>
        <w:t xml:space="preserve"> </w:t>
      </w:r>
    </w:p>
    <w:p>
      <w:pPr>
        <w:spacing w:line="360" w:lineRule="auto"/>
        <w:jc w:val="left"/>
        <w:rPr>
          <w:sz w:val="24"/>
        </w:rPr>
      </w:pPr>
      <w:r>
        <w:rPr>
          <w:sz w:val="24"/>
        </w:rPr>
        <w:t>式中：</w:t>
      </w:r>
      <w:r>
        <w:rPr>
          <w:i/>
          <w:kern w:val="0"/>
          <w:sz w:val="24"/>
        </w:rPr>
        <w:t>N</w:t>
      </w:r>
      <w:r>
        <w:rPr>
          <w:sz w:val="24"/>
        </w:rPr>
        <w:t>—</w:t>
      </w:r>
      <w:r>
        <w:rPr>
          <w:kern w:val="0"/>
          <w:sz w:val="24"/>
        </w:rPr>
        <w:t>作用在每米钢板桩上轴向力</w:t>
      </w:r>
      <w:r>
        <w:rPr>
          <w:rFonts w:hint="eastAsia"/>
          <w:kern w:val="0"/>
          <w:sz w:val="24"/>
        </w:rPr>
        <w:t>设计值</w:t>
      </w:r>
      <w:r>
        <w:rPr>
          <w:kern w:val="0"/>
          <w:sz w:val="24"/>
        </w:rPr>
        <w:t>（kN/m）；</w:t>
      </w:r>
    </w:p>
    <w:p>
      <w:pPr>
        <w:tabs>
          <w:tab w:val="left" w:pos="1274"/>
        </w:tabs>
        <w:spacing w:line="360" w:lineRule="auto"/>
        <w:ind w:left="1110" w:leftChars="300" w:hanging="480" w:hangingChars="200"/>
        <w:jc w:val="left"/>
        <w:rPr>
          <w:kern w:val="0"/>
          <w:sz w:val="24"/>
        </w:rPr>
      </w:pPr>
      <w:r>
        <w:rPr>
          <w:i/>
          <w:sz w:val="24"/>
        </w:rPr>
        <w:t>M</w:t>
      </w:r>
      <w:r>
        <w:rPr>
          <w:kern w:val="0"/>
          <w:sz w:val="24"/>
          <w:vertAlign w:val="subscript"/>
        </w:rPr>
        <w:t>max</w:t>
      </w:r>
      <w:r>
        <w:rPr>
          <w:sz w:val="24"/>
        </w:rPr>
        <w:t>—</w:t>
      </w:r>
      <w:r>
        <w:rPr>
          <w:kern w:val="0"/>
          <w:sz w:val="24"/>
        </w:rPr>
        <w:t>作用在每米钢板桩上最大弯矩</w:t>
      </w:r>
      <w:r>
        <w:rPr>
          <w:rFonts w:hint="eastAsia"/>
          <w:kern w:val="0"/>
          <w:sz w:val="24"/>
        </w:rPr>
        <w:t>设计</w:t>
      </w:r>
      <w:r>
        <w:rPr>
          <w:kern w:val="0"/>
          <w:sz w:val="24"/>
        </w:rPr>
        <w:t>值（</w:t>
      </w:r>
      <w:r>
        <w:rPr>
          <w:sz w:val="24"/>
        </w:rPr>
        <w:t>kN·m/m</w:t>
      </w:r>
      <w:r>
        <w:rPr>
          <w:kern w:val="0"/>
          <w:sz w:val="24"/>
        </w:rPr>
        <w:t>）；</w:t>
      </w:r>
    </w:p>
    <w:p>
      <w:pPr>
        <w:tabs>
          <w:tab w:val="left" w:pos="1274"/>
        </w:tabs>
        <w:spacing w:line="360" w:lineRule="auto"/>
        <w:ind w:left="1110" w:leftChars="300" w:hanging="480" w:hangingChars="200"/>
        <w:jc w:val="left"/>
        <w:rPr>
          <w:kern w:val="0"/>
          <w:sz w:val="24"/>
        </w:rPr>
      </w:pPr>
      <w:r>
        <w:rPr>
          <w:i/>
          <w:kern w:val="0"/>
          <w:sz w:val="24"/>
        </w:rPr>
        <w:t>A</w:t>
      </w:r>
      <w:r>
        <w:rPr>
          <w:sz w:val="24"/>
        </w:rPr>
        <w:t>—</w:t>
      </w:r>
      <w:r>
        <w:rPr>
          <w:kern w:val="0"/>
          <w:sz w:val="24"/>
        </w:rPr>
        <w:t>每延米钢板桩的截面面积（m</w:t>
      </w:r>
      <w:r>
        <w:rPr>
          <w:kern w:val="0"/>
          <w:sz w:val="24"/>
          <w:vertAlign w:val="superscript"/>
        </w:rPr>
        <w:t>2</w:t>
      </w:r>
      <w:r>
        <w:rPr>
          <w:kern w:val="0"/>
          <w:sz w:val="24"/>
        </w:rPr>
        <w:t>/m）；</w:t>
      </w:r>
    </w:p>
    <w:p>
      <w:pPr>
        <w:tabs>
          <w:tab w:val="left" w:pos="1274"/>
        </w:tabs>
        <w:spacing w:line="360" w:lineRule="auto"/>
        <w:ind w:left="1110" w:leftChars="300" w:hanging="480" w:hangingChars="200"/>
        <w:jc w:val="left"/>
        <w:rPr>
          <w:sz w:val="24"/>
        </w:rPr>
      </w:pPr>
      <w:r>
        <w:rPr>
          <w:i/>
          <w:kern w:val="0"/>
          <w:sz w:val="24"/>
        </w:rPr>
        <w:t>W</w:t>
      </w:r>
      <w:r>
        <w:rPr>
          <w:i/>
          <w:kern w:val="0"/>
          <w:sz w:val="24"/>
          <w:vertAlign w:val="subscript"/>
        </w:rPr>
        <w:t>z</w:t>
      </w:r>
      <w:r>
        <w:rPr>
          <w:sz w:val="24"/>
        </w:rPr>
        <w:t>—</w:t>
      </w:r>
      <w:r>
        <w:rPr>
          <w:rFonts w:hint="eastAsia"/>
          <w:sz w:val="24"/>
        </w:rPr>
        <w:t>与</w:t>
      </w:r>
      <w:r>
        <w:rPr>
          <w:i/>
          <w:sz w:val="24"/>
        </w:rPr>
        <w:t>M</w:t>
      </w:r>
      <w:r>
        <w:rPr>
          <w:kern w:val="0"/>
          <w:sz w:val="24"/>
          <w:vertAlign w:val="subscript"/>
        </w:rPr>
        <w:t>max</w:t>
      </w:r>
      <w:r>
        <w:rPr>
          <w:rFonts w:hint="eastAsia"/>
          <w:kern w:val="0"/>
          <w:sz w:val="24"/>
        </w:rPr>
        <w:t>相对应</w:t>
      </w:r>
      <w:r>
        <w:rPr>
          <w:kern w:val="0"/>
          <w:sz w:val="24"/>
        </w:rPr>
        <w:t>每延米钢板桩的</w:t>
      </w:r>
      <w:r>
        <w:rPr>
          <w:rFonts w:hint="eastAsia"/>
          <w:kern w:val="0"/>
          <w:sz w:val="24"/>
        </w:rPr>
        <w:t>截面模量</w:t>
      </w:r>
      <w:r>
        <w:rPr>
          <w:kern w:val="0"/>
          <w:sz w:val="24"/>
        </w:rPr>
        <w:t>（m</w:t>
      </w:r>
      <w:r>
        <w:rPr>
          <w:kern w:val="0"/>
          <w:sz w:val="24"/>
          <w:vertAlign w:val="superscript"/>
        </w:rPr>
        <w:t>3</w:t>
      </w:r>
      <w:r>
        <w:rPr>
          <w:kern w:val="0"/>
          <w:sz w:val="24"/>
        </w:rPr>
        <w:t>/m）；</w:t>
      </w:r>
    </w:p>
    <w:p>
      <w:pPr>
        <w:tabs>
          <w:tab w:val="left" w:pos="1274"/>
        </w:tabs>
        <w:spacing w:line="360" w:lineRule="auto"/>
        <w:ind w:left="1110" w:leftChars="300" w:hanging="480" w:hangingChars="200"/>
        <w:jc w:val="left"/>
        <w:rPr>
          <w:kern w:val="0"/>
          <w:sz w:val="24"/>
        </w:rPr>
      </w:pPr>
      <w:r>
        <w:rPr>
          <w:i/>
          <w:kern w:val="0"/>
          <w:sz w:val="24"/>
        </w:rPr>
        <w:t>f</w:t>
      </w:r>
      <w:r>
        <w:rPr>
          <w:kern w:val="0"/>
          <w:sz w:val="24"/>
        </w:rPr>
        <w:t>—钢材的强度设计值（N /mm</w:t>
      </w:r>
      <w:r>
        <w:rPr>
          <w:kern w:val="0"/>
          <w:sz w:val="24"/>
          <w:vertAlign w:val="superscript"/>
        </w:rPr>
        <w:t>2</w:t>
      </w:r>
      <w:r>
        <w:rPr>
          <w:kern w:val="0"/>
          <w:sz w:val="24"/>
        </w:rPr>
        <w:t>）；</w:t>
      </w:r>
    </w:p>
    <w:p>
      <w:pPr>
        <w:tabs>
          <w:tab w:val="left" w:pos="1274"/>
        </w:tabs>
        <w:spacing w:line="360" w:lineRule="auto"/>
        <w:ind w:left="1110" w:leftChars="300" w:hanging="480" w:hangingChars="200"/>
        <w:jc w:val="left"/>
        <w:rPr>
          <w:kern w:val="0"/>
          <w:sz w:val="24"/>
        </w:rPr>
      </w:pPr>
      <w:r>
        <w:rPr>
          <w:i/>
          <w:sz w:val="24"/>
        </w:rPr>
        <w:t>γ</w:t>
      </w:r>
      <w:r>
        <w:rPr>
          <w:sz w:val="24"/>
          <w:vertAlign w:val="subscript"/>
        </w:rPr>
        <w:t>F</w:t>
      </w:r>
      <w:r>
        <w:rPr>
          <w:kern w:val="0"/>
          <w:sz w:val="24"/>
        </w:rPr>
        <w:t>—综合分项系数，取1.25</w:t>
      </w:r>
      <w:r>
        <w:rPr>
          <w:rFonts w:hint="eastAsia"/>
          <w:kern w:val="0"/>
          <w:sz w:val="24"/>
        </w:rPr>
        <w:t>；</w:t>
      </w:r>
    </w:p>
    <w:p>
      <w:pPr>
        <w:tabs>
          <w:tab w:val="left" w:pos="1274"/>
        </w:tabs>
        <w:spacing w:line="360" w:lineRule="auto"/>
        <w:ind w:left="1110" w:leftChars="300" w:hanging="480" w:hangingChars="200"/>
        <w:jc w:val="left"/>
        <w:rPr>
          <w:sz w:val="24"/>
        </w:rPr>
      </w:pPr>
      <w:r>
        <w:rPr>
          <w:i/>
          <w:sz w:val="24"/>
        </w:rPr>
        <w:t>γ</w:t>
      </w:r>
      <w:r>
        <w:rPr>
          <w:rFonts w:hint="eastAsia"/>
          <w:sz w:val="24"/>
          <w:vertAlign w:val="subscript"/>
        </w:rPr>
        <w:t>0</w:t>
      </w:r>
      <w:r>
        <w:rPr>
          <w:kern w:val="0"/>
          <w:sz w:val="24"/>
        </w:rPr>
        <w:t>—</w:t>
      </w:r>
      <w:r>
        <w:rPr>
          <w:sz w:val="24"/>
        </w:rPr>
        <w:t>支护结构重要性系数</w:t>
      </w:r>
      <w:r>
        <w:rPr>
          <w:rFonts w:hint="eastAsia"/>
          <w:sz w:val="24"/>
        </w:rPr>
        <w:t>。</w:t>
      </w:r>
    </w:p>
    <w:p>
      <w:pPr>
        <w:tabs>
          <w:tab w:val="left" w:pos="1274"/>
        </w:tabs>
        <w:spacing w:line="360" w:lineRule="auto"/>
        <w:ind w:firstLine="602" w:firstLineChars="250"/>
        <w:jc w:val="left"/>
        <w:rPr>
          <w:sz w:val="24"/>
        </w:rPr>
      </w:pPr>
      <w:r>
        <w:rPr>
          <w:rFonts w:hint="eastAsia"/>
          <w:b/>
          <w:sz w:val="24"/>
        </w:rPr>
        <w:t xml:space="preserve">8  </w:t>
      </w:r>
      <w:r>
        <w:rPr>
          <w:kern w:val="0"/>
          <w:sz w:val="24"/>
        </w:rPr>
        <w:t>钢板桩腹板和翼缘厚度应满足公式</w:t>
      </w:r>
      <w:r>
        <w:rPr>
          <w:rFonts w:hAnsi="宋体"/>
          <w:sz w:val="24"/>
        </w:rPr>
        <w:t>（</w:t>
      </w:r>
      <w:r>
        <w:rPr>
          <w:rFonts w:hint="eastAsia"/>
          <w:sz w:val="24"/>
        </w:rPr>
        <w:t>5</w:t>
      </w:r>
      <w:r>
        <w:rPr>
          <w:sz w:val="24"/>
        </w:rPr>
        <w:t>.</w:t>
      </w:r>
      <w:r>
        <w:rPr>
          <w:rFonts w:hint="eastAsia"/>
          <w:sz w:val="24"/>
        </w:rPr>
        <w:t>8</w:t>
      </w:r>
      <w:r>
        <w:rPr>
          <w:sz w:val="24"/>
        </w:rPr>
        <w:t>.</w:t>
      </w:r>
      <w:r>
        <w:rPr>
          <w:rFonts w:hint="eastAsia"/>
          <w:sz w:val="24"/>
        </w:rPr>
        <w:t>3</w:t>
      </w:r>
      <w:r>
        <w:rPr>
          <w:rFonts w:hAnsi="宋体"/>
          <w:sz w:val="24"/>
        </w:rPr>
        <w:t>）的计算要求</w:t>
      </w:r>
      <w:r>
        <w:rPr>
          <w:rFonts w:hint="eastAsia" w:hAnsi="宋体"/>
          <w:bCs/>
          <w:sz w:val="24"/>
        </w:rPr>
        <w:t>。</w:t>
      </w:r>
    </w:p>
    <w:p>
      <w:pPr>
        <w:wordWrap w:val="0"/>
        <w:jc w:val="right"/>
        <w:rPr>
          <w:sz w:val="24"/>
        </w:rPr>
      </w:pPr>
      <w:r>
        <w:rPr>
          <w:position w:val="-12"/>
          <w:sz w:val="24"/>
        </w:rPr>
        <w:object>
          <v:shape id="_x0000_i1115" o:spt="75" type="#_x0000_t75" style="height:19.15pt;width:106.45pt;" o:ole="t" filled="f" coordsize="21600,21600">
            <v:path/>
            <v:fill on="f" focussize="0,0"/>
            <v:stroke/>
            <v:imagedata r:id="rId225" o:title=""/>
            <o:lock v:ext="edit" aspectratio="t"/>
            <w10:wrap type="none"/>
            <w10:anchorlock/>
          </v:shape>
          <o:OLEObject Type="Embed" ProgID="Equation.DSMT4" ShapeID="_x0000_i1115" DrawAspect="Content" ObjectID="_1468075815" r:id="rId224">
            <o:LockedField>false</o:LockedField>
          </o:OLEObject>
        </w:object>
      </w:r>
      <w:r>
        <w:rPr>
          <w:sz w:val="24"/>
        </w:rPr>
        <w:t xml:space="preserve">                       </w:t>
      </w:r>
      <w:r>
        <w:rPr>
          <w:rFonts w:hAnsi="宋体"/>
          <w:sz w:val="24"/>
        </w:rPr>
        <w:t>（</w:t>
      </w:r>
      <w:r>
        <w:rPr>
          <w:rFonts w:hint="eastAsia"/>
          <w:sz w:val="24"/>
        </w:rPr>
        <w:t>5</w:t>
      </w:r>
      <w:r>
        <w:rPr>
          <w:sz w:val="24"/>
        </w:rPr>
        <w:t>.</w:t>
      </w:r>
      <w:r>
        <w:rPr>
          <w:rFonts w:hint="eastAsia"/>
          <w:sz w:val="24"/>
        </w:rPr>
        <w:t>10</w:t>
      </w:r>
      <w:r>
        <w:rPr>
          <w:sz w:val="24"/>
        </w:rPr>
        <w:t>.</w:t>
      </w:r>
      <w:r>
        <w:rPr>
          <w:rFonts w:hint="eastAsia"/>
          <w:sz w:val="24"/>
        </w:rPr>
        <w:t>3-2</w:t>
      </w:r>
      <w:r>
        <w:rPr>
          <w:rFonts w:hAnsi="宋体"/>
          <w:sz w:val="24"/>
        </w:rPr>
        <w:t>）</w:t>
      </w:r>
    </w:p>
    <w:p>
      <w:pPr>
        <w:tabs>
          <w:tab w:val="left" w:pos="1274"/>
        </w:tabs>
        <w:spacing w:line="360" w:lineRule="auto"/>
        <w:jc w:val="left"/>
        <w:rPr>
          <w:sz w:val="24"/>
        </w:rPr>
      </w:pPr>
      <w:r>
        <w:rPr>
          <w:rFonts w:hAnsi="宋体"/>
          <w:sz w:val="24"/>
        </w:rPr>
        <w:t>式中：</w:t>
      </w:r>
      <w:r>
        <w:rPr>
          <w:i/>
          <w:kern w:val="0"/>
          <w:sz w:val="24"/>
        </w:rPr>
        <w:t>V</w:t>
      </w:r>
      <w:r>
        <w:rPr>
          <w:rFonts w:hint="eastAsia"/>
          <w:kern w:val="0"/>
          <w:sz w:val="24"/>
          <w:vertAlign w:val="subscript"/>
        </w:rPr>
        <w:t>D</w:t>
      </w:r>
      <w:r>
        <w:rPr>
          <w:sz w:val="24"/>
        </w:rPr>
        <w:t>—</w:t>
      </w:r>
      <w:r>
        <w:rPr>
          <w:kern w:val="0"/>
          <w:sz w:val="24"/>
        </w:rPr>
        <w:t>作用在每个钢板桩单元上的最大剪力标准值</w:t>
      </w:r>
      <w:r>
        <w:rPr>
          <w:rFonts w:hAnsi="宋体"/>
          <w:kern w:val="0"/>
          <w:sz w:val="24"/>
        </w:rPr>
        <w:t>（</w:t>
      </w:r>
      <w:r>
        <w:rPr>
          <w:sz w:val="24"/>
        </w:rPr>
        <w:t>kN</w:t>
      </w:r>
      <w:r>
        <w:rPr>
          <w:rFonts w:hAnsi="宋体"/>
          <w:kern w:val="0"/>
          <w:sz w:val="24"/>
        </w:rPr>
        <w:t>）；</w:t>
      </w:r>
    </w:p>
    <w:p>
      <w:pPr>
        <w:tabs>
          <w:tab w:val="left" w:pos="1274"/>
        </w:tabs>
        <w:spacing w:line="360" w:lineRule="auto"/>
        <w:ind w:left="1215" w:leftChars="350" w:hanging="480" w:hangingChars="200"/>
        <w:jc w:val="left"/>
        <w:rPr>
          <w:sz w:val="24"/>
        </w:rPr>
      </w:pPr>
      <w:r>
        <w:rPr>
          <w:i/>
          <w:kern w:val="0"/>
          <w:sz w:val="24"/>
        </w:rPr>
        <w:t>t</w:t>
      </w:r>
      <w:r>
        <w:rPr>
          <w:kern w:val="0"/>
          <w:sz w:val="24"/>
          <w:vertAlign w:val="subscript"/>
        </w:rPr>
        <w:t>w</w:t>
      </w:r>
      <w:r>
        <w:rPr>
          <w:sz w:val="24"/>
        </w:rPr>
        <w:t>—</w:t>
      </w:r>
      <w:r>
        <w:rPr>
          <w:kern w:val="0"/>
          <w:sz w:val="24"/>
        </w:rPr>
        <w:t>腹板最小厚度</w:t>
      </w:r>
      <w:r>
        <w:rPr>
          <w:rFonts w:hAnsi="宋体"/>
          <w:kern w:val="0"/>
          <w:sz w:val="24"/>
        </w:rPr>
        <w:t>（</w:t>
      </w:r>
      <w:r>
        <w:rPr>
          <w:kern w:val="0"/>
          <w:sz w:val="24"/>
        </w:rPr>
        <w:t>m</w:t>
      </w:r>
      <w:r>
        <w:rPr>
          <w:rFonts w:hAnsi="宋体"/>
          <w:kern w:val="0"/>
          <w:sz w:val="24"/>
        </w:rPr>
        <w:t>）；</w:t>
      </w:r>
    </w:p>
    <w:p>
      <w:pPr>
        <w:tabs>
          <w:tab w:val="left" w:pos="1274"/>
        </w:tabs>
        <w:spacing w:line="360" w:lineRule="auto"/>
        <w:ind w:left="1215" w:leftChars="350" w:hanging="480" w:hangingChars="200"/>
        <w:jc w:val="left"/>
        <w:rPr>
          <w:kern w:val="0"/>
          <w:sz w:val="24"/>
        </w:rPr>
      </w:pPr>
      <w:r>
        <w:rPr>
          <w:i/>
          <w:kern w:val="0"/>
          <w:sz w:val="24"/>
        </w:rPr>
        <w:t>t</w:t>
      </w:r>
      <w:r>
        <w:rPr>
          <w:kern w:val="0"/>
          <w:sz w:val="24"/>
          <w:vertAlign w:val="subscript"/>
        </w:rPr>
        <w:t>f</w:t>
      </w:r>
      <w:r>
        <w:rPr>
          <w:sz w:val="24"/>
        </w:rPr>
        <w:t>—</w:t>
      </w:r>
      <w:r>
        <w:rPr>
          <w:kern w:val="0"/>
          <w:sz w:val="24"/>
        </w:rPr>
        <w:t>翼缘最小厚度</w:t>
      </w:r>
      <w:r>
        <w:rPr>
          <w:rFonts w:hAnsi="宋体"/>
          <w:kern w:val="0"/>
          <w:sz w:val="24"/>
        </w:rPr>
        <w:t>（</w:t>
      </w:r>
      <w:r>
        <w:rPr>
          <w:kern w:val="0"/>
          <w:sz w:val="24"/>
        </w:rPr>
        <w:t>m</w:t>
      </w:r>
      <w:r>
        <w:rPr>
          <w:rFonts w:hAnsi="宋体"/>
          <w:kern w:val="0"/>
          <w:sz w:val="24"/>
        </w:rPr>
        <w:t>）；</w:t>
      </w:r>
    </w:p>
    <w:p>
      <w:pPr>
        <w:tabs>
          <w:tab w:val="left" w:pos="1274"/>
        </w:tabs>
        <w:spacing w:line="360" w:lineRule="auto"/>
        <w:ind w:left="1215" w:leftChars="350" w:hanging="480" w:hangingChars="200"/>
        <w:jc w:val="left"/>
        <w:rPr>
          <w:sz w:val="24"/>
        </w:rPr>
      </w:pPr>
      <w:r>
        <w:rPr>
          <w:i/>
          <w:kern w:val="0"/>
          <w:sz w:val="24"/>
        </w:rPr>
        <w:t>h</w:t>
      </w:r>
      <w:r>
        <w:rPr>
          <w:sz w:val="24"/>
        </w:rPr>
        <w:t>—</w:t>
      </w:r>
      <w:r>
        <w:rPr>
          <w:kern w:val="0"/>
          <w:sz w:val="24"/>
        </w:rPr>
        <w:t>钢板桩断面总高度</w:t>
      </w:r>
      <w:r>
        <w:rPr>
          <w:rFonts w:hAnsi="宋体"/>
          <w:kern w:val="0"/>
          <w:sz w:val="24"/>
        </w:rPr>
        <w:t>（</w:t>
      </w:r>
      <w:r>
        <w:rPr>
          <w:kern w:val="0"/>
          <w:sz w:val="24"/>
        </w:rPr>
        <w:t>m</w:t>
      </w:r>
      <w:r>
        <w:rPr>
          <w:rFonts w:hAnsi="宋体"/>
          <w:kern w:val="0"/>
          <w:sz w:val="24"/>
        </w:rPr>
        <w:t>）；</w:t>
      </w:r>
    </w:p>
    <w:p>
      <w:pPr>
        <w:tabs>
          <w:tab w:val="left" w:pos="1274"/>
        </w:tabs>
        <w:spacing w:line="360" w:lineRule="auto"/>
        <w:ind w:left="1215" w:leftChars="350" w:hanging="480" w:hangingChars="200"/>
        <w:jc w:val="left"/>
        <w:rPr>
          <w:sz w:val="24"/>
        </w:rPr>
      </w:pPr>
      <w:r>
        <w:rPr>
          <w:i/>
          <w:kern w:val="0"/>
          <w:sz w:val="24"/>
        </w:rPr>
        <w:t>f</w:t>
      </w:r>
      <w:r>
        <w:rPr>
          <w:kern w:val="0"/>
          <w:sz w:val="24"/>
          <w:vertAlign w:val="subscript"/>
        </w:rPr>
        <w:t>v</w:t>
      </w:r>
      <w:r>
        <w:rPr>
          <w:sz w:val="24"/>
        </w:rPr>
        <w:t>—</w:t>
      </w:r>
      <w:r>
        <w:rPr>
          <w:kern w:val="0"/>
          <w:sz w:val="24"/>
        </w:rPr>
        <w:t>钢材的抗剪强度设计值</w:t>
      </w:r>
      <w:r>
        <w:rPr>
          <w:rFonts w:hAnsi="宋体"/>
          <w:kern w:val="0"/>
          <w:sz w:val="24"/>
        </w:rPr>
        <w:t>（</w:t>
      </w:r>
      <w:r>
        <w:rPr>
          <w:kern w:val="0"/>
          <w:sz w:val="24"/>
        </w:rPr>
        <w:t>N /mm</w:t>
      </w:r>
      <w:r>
        <w:rPr>
          <w:kern w:val="0"/>
          <w:sz w:val="24"/>
          <w:vertAlign w:val="superscript"/>
        </w:rPr>
        <w:t>2</w:t>
      </w:r>
      <w:r>
        <w:rPr>
          <w:rFonts w:hAnsi="宋体"/>
          <w:kern w:val="0"/>
          <w:sz w:val="24"/>
        </w:rPr>
        <w:t>）；如采用国产钢板桩，按国家标准《钢结构设计规范》</w:t>
      </w:r>
      <w:r>
        <w:rPr>
          <w:kern w:val="0"/>
          <w:sz w:val="24"/>
        </w:rPr>
        <w:t>GB50017</w:t>
      </w:r>
      <w:r>
        <w:rPr>
          <w:rFonts w:hAnsi="宋体"/>
          <w:kern w:val="0"/>
          <w:sz w:val="24"/>
        </w:rPr>
        <w:t>中规定采用；如采用国外进口钢板桩，按其抗拉强度设计值乘</w:t>
      </w:r>
      <w:r>
        <w:rPr>
          <w:kern w:val="0"/>
          <w:sz w:val="24"/>
        </w:rPr>
        <w:t>0.56</w:t>
      </w:r>
      <w:r>
        <w:rPr>
          <w:rFonts w:hAnsi="宋体"/>
          <w:kern w:val="0"/>
          <w:sz w:val="24"/>
        </w:rPr>
        <w:t>后取用；</w:t>
      </w:r>
    </w:p>
    <w:p>
      <w:pPr>
        <w:tabs>
          <w:tab w:val="left" w:pos="1274"/>
        </w:tabs>
        <w:spacing w:line="360" w:lineRule="auto"/>
        <w:ind w:left="1215" w:leftChars="350" w:hanging="480" w:hangingChars="200"/>
        <w:jc w:val="left"/>
        <w:rPr>
          <w:kern w:val="0"/>
          <w:sz w:val="24"/>
        </w:rPr>
      </w:pPr>
      <w:r>
        <w:rPr>
          <w:i/>
          <w:sz w:val="24"/>
        </w:rPr>
        <w:t>γ</w:t>
      </w:r>
      <w:r>
        <w:rPr>
          <w:sz w:val="24"/>
          <w:vertAlign w:val="subscript"/>
        </w:rPr>
        <w:t>F</w:t>
      </w:r>
      <w:r>
        <w:rPr>
          <w:kern w:val="0"/>
          <w:sz w:val="24"/>
        </w:rPr>
        <w:t>—综合分项系数，取1.25</w:t>
      </w:r>
      <w:r>
        <w:rPr>
          <w:rFonts w:hint="eastAsia"/>
          <w:kern w:val="0"/>
          <w:sz w:val="24"/>
        </w:rPr>
        <w:t>；</w:t>
      </w:r>
    </w:p>
    <w:p>
      <w:pPr>
        <w:tabs>
          <w:tab w:val="left" w:pos="1274"/>
        </w:tabs>
        <w:spacing w:line="360" w:lineRule="auto"/>
        <w:ind w:left="1215" w:leftChars="350" w:hanging="480" w:hangingChars="200"/>
        <w:jc w:val="left"/>
        <w:rPr>
          <w:sz w:val="24"/>
        </w:rPr>
      </w:pPr>
      <w:r>
        <w:rPr>
          <w:i/>
          <w:sz w:val="24"/>
        </w:rPr>
        <w:t>γ</w:t>
      </w:r>
      <w:r>
        <w:rPr>
          <w:rFonts w:hint="eastAsia"/>
          <w:sz w:val="24"/>
          <w:vertAlign w:val="subscript"/>
        </w:rPr>
        <w:t>0</w:t>
      </w:r>
      <w:r>
        <w:rPr>
          <w:kern w:val="0"/>
          <w:sz w:val="24"/>
        </w:rPr>
        <w:t>—</w:t>
      </w:r>
      <w:r>
        <w:rPr>
          <w:sz w:val="24"/>
        </w:rPr>
        <w:t>支护结构重要性系数</w:t>
      </w:r>
      <w:r>
        <w:rPr>
          <w:rFonts w:hint="eastAsia"/>
          <w:sz w:val="24"/>
        </w:rPr>
        <w:t>。</w:t>
      </w:r>
    </w:p>
    <w:p>
      <w:pPr>
        <w:tabs>
          <w:tab w:val="left" w:pos="1274"/>
        </w:tabs>
        <w:spacing w:line="360" w:lineRule="auto"/>
        <w:ind w:left="1110" w:leftChars="300" w:hanging="480" w:hangingChars="200"/>
        <w:jc w:val="left"/>
        <w:rPr>
          <w:sz w:val="24"/>
        </w:rPr>
      </w:pPr>
      <w:r>
        <w:rPr>
          <w:rFonts w:hint="eastAsia"/>
          <w:sz w:val="24"/>
        </w:rPr>
        <w:t xml:space="preserve">9  </w:t>
      </w:r>
      <w:r>
        <w:rPr>
          <w:sz w:val="24"/>
        </w:rPr>
        <w:t>钢板桩</w:t>
      </w:r>
      <w:r>
        <w:rPr>
          <w:rFonts w:hint="eastAsia"/>
          <w:sz w:val="24"/>
        </w:rPr>
        <w:t>支护结构</w:t>
      </w:r>
      <w:r>
        <w:rPr>
          <w:sz w:val="24"/>
        </w:rPr>
        <w:t>钢导梁的抗弯承载力</w:t>
      </w:r>
      <w:r>
        <w:rPr>
          <w:rFonts w:hint="eastAsia"/>
          <w:sz w:val="24"/>
        </w:rPr>
        <w:t>按公式5.10.3-1计算。</w:t>
      </w:r>
    </w:p>
    <w:p>
      <w:pPr>
        <w:spacing w:line="360" w:lineRule="auto"/>
        <w:rPr>
          <w:sz w:val="24"/>
        </w:rPr>
      </w:pPr>
      <w:r>
        <w:rPr>
          <w:b/>
          <w:sz w:val="24"/>
        </w:rPr>
        <w:t>5.</w:t>
      </w:r>
      <w:r>
        <w:rPr>
          <w:rFonts w:hint="eastAsia"/>
          <w:b/>
          <w:sz w:val="24"/>
        </w:rPr>
        <w:t>10</w:t>
      </w:r>
      <w:r>
        <w:rPr>
          <w:b/>
          <w:sz w:val="24"/>
        </w:rPr>
        <w:t>.</w:t>
      </w:r>
      <w:r>
        <w:rPr>
          <w:rFonts w:hint="eastAsia"/>
          <w:b/>
          <w:sz w:val="24"/>
        </w:rPr>
        <w:t>3</w:t>
      </w:r>
      <w:r>
        <w:rPr>
          <w:b/>
          <w:sz w:val="24"/>
        </w:rPr>
        <w:t xml:space="preserve"> </w:t>
      </w:r>
      <w:r>
        <w:rPr>
          <w:rFonts w:hint="eastAsia"/>
          <w:b/>
          <w:sz w:val="24"/>
        </w:rPr>
        <w:t xml:space="preserve"> </w:t>
      </w:r>
      <w:r>
        <w:rPr>
          <w:sz w:val="24"/>
        </w:rPr>
        <w:t>钢板桩支护结构的构造要求</w:t>
      </w:r>
    </w:p>
    <w:p>
      <w:pPr>
        <w:spacing w:line="360" w:lineRule="auto"/>
        <w:ind w:firstLine="480" w:firstLineChars="200"/>
        <w:jc w:val="left"/>
        <w:rPr>
          <w:sz w:val="24"/>
        </w:rPr>
      </w:pPr>
      <w:r>
        <w:rPr>
          <w:rFonts w:hint="eastAsia"/>
          <w:sz w:val="24"/>
        </w:rPr>
        <w:t>1  钢板桩的平面布置可采用直线形、折线形和多边形等形状；</w:t>
      </w:r>
    </w:p>
    <w:p>
      <w:pPr>
        <w:spacing w:line="360" w:lineRule="auto"/>
        <w:ind w:firstLine="480" w:firstLineChars="200"/>
        <w:jc w:val="left"/>
        <w:rPr>
          <w:sz w:val="24"/>
        </w:rPr>
      </w:pPr>
      <w:r>
        <w:rPr>
          <w:rFonts w:hint="eastAsia"/>
          <w:sz w:val="24"/>
        </w:rPr>
        <w:t>2  钢板桩单元段的形状，应根据整体平面布置、受力特点、地质条件和施工要求等因素确定；</w:t>
      </w:r>
    </w:p>
    <w:p>
      <w:pPr>
        <w:spacing w:line="360" w:lineRule="auto"/>
        <w:ind w:firstLine="482" w:firstLineChars="200"/>
        <w:jc w:val="left"/>
        <w:rPr>
          <w:sz w:val="24"/>
        </w:rPr>
      </w:pPr>
      <w:r>
        <w:rPr>
          <w:rFonts w:hint="eastAsia"/>
          <w:b/>
          <w:sz w:val="24"/>
        </w:rPr>
        <w:t xml:space="preserve">3  </w:t>
      </w:r>
      <w:r>
        <w:rPr>
          <w:sz w:val="24"/>
        </w:rPr>
        <w:t>钢板桩</w:t>
      </w:r>
      <w:r>
        <w:rPr>
          <w:rFonts w:hint="eastAsia"/>
          <w:sz w:val="24"/>
        </w:rPr>
        <w:t>支护结构</w:t>
      </w:r>
      <w:r>
        <w:rPr>
          <w:sz w:val="24"/>
        </w:rPr>
        <w:t>钢导梁的分段长度不宜小于4倍的锚杆间距，并宜与</w:t>
      </w:r>
      <w:r>
        <w:rPr>
          <w:rFonts w:hint="eastAsia"/>
          <w:sz w:val="24"/>
        </w:rPr>
        <w:t>冠</w:t>
      </w:r>
      <w:r>
        <w:rPr>
          <w:sz w:val="24"/>
        </w:rPr>
        <w:t>梁或</w:t>
      </w:r>
      <w:r>
        <w:rPr>
          <w:rFonts w:hint="eastAsia"/>
          <w:sz w:val="24"/>
        </w:rPr>
        <w:t>围檩</w:t>
      </w:r>
      <w:r>
        <w:rPr>
          <w:sz w:val="24"/>
        </w:rPr>
        <w:t>的分段长度一致。导梁的接头位置应与</w:t>
      </w:r>
      <w:r>
        <w:rPr>
          <w:rFonts w:hint="eastAsia"/>
          <w:sz w:val="24"/>
        </w:rPr>
        <w:t>冠</w:t>
      </w:r>
      <w:r>
        <w:rPr>
          <w:sz w:val="24"/>
        </w:rPr>
        <w:t>梁或</w:t>
      </w:r>
      <w:r>
        <w:rPr>
          <w:rFonts w:hint="eastAsia"/>
          <w:sz w:val="24"/>
        </w:rPr>
        <w:t>围檩</w:t>
      </w:r>
      <w:r>
        <w:rPr>
          <w:sz w:val="24"/>
        </w:rPr>
        <w:t>的分缝位置相对应</w:t>
      </w:r>
      <w:r>
        <w:rPr>
          <w:rFonts w:hint="eastAsia"/>
          <w:sz w:val="24"/>
        </w:rPr>
        <w:t>；</w:t>
      </w:r>
    </w:p>
    <w:p>
      <w:pPr>
        <w:spacing w:line="360" w:lineRule="auto"/>
        <w:ind w:firstLine="482" w:firstLineChars="200"/>
        <w:jc w:val="left"/>
        <w:rPr>
          <w:sz w:val="24"/>
        </w:rPr>
      </w:pPr>
      <w:r>
        <w:rPr>
          <w:rFonts w:hint="eastAsia"/>
          <w:b/>
          <w:sz w:val="24"/>
        </w:rPr>
        <w:t>4</w:t>
      </w:r>
      <w:r>
        <w:rPr>
          <w:b/>
          <w:sz w:val="24"/>
        </w:rPr>
        <w:t xml:space="preserve"> </w:t>
      </w:r>
      <w:r>
        <w:rPr>
          <w:rFonts w:hint="eastAsia"/>
          <w:b/>
          <w:sz w:val="24"/>
        </w:rPr>
        <w:t xml:space="preserve"> </w:t>
      </w:r>
      <w:r>
        <w:rPr>
          <w:sz w:val="24"/>
        </w:rPr>
        <w:t>钢板桩桩顶一般不设置冠梁，若需要设置冠梁时，冠梁的高度应由设计计算确定，计算时应考虑钢板桩穿过对冠梁截面的削弱影响，同时应满足起拔钢板桩的需要</w:t>
      </w:r>
      <w:r>
        <w:rPr>
          <w:rFonts w:hint="eastAsia"/>
          <w:sz w:val="24"/>
        </w:rPr>
        <w:t>；</w:t>
      </w:r>
    </w:p>
    <w:p>
      <w:pPr>
        <w:spacing w:line="360" w:lineRule="auto"/>
        <w:ind w:firstLine="480" w:firstLineChars="200"/>
        <w:jc w:val="left"/>
        <w:rPr>
          <w:sz w:val="24"/>
        </w:rPr>
      </w:pPr>
      <w:r>
        <w:rPr>
          <w:rFonts w:hint="eastAsia"/>
          <w:sz w:val="24"/>
        </w:rPr>
        <w:t xml:space="preserve">5 </w:t>
      </w:r>
      <w:r>
        <w:rPr>
          <w:sz w:val="24"/>
        </w:rPr>
        <w:t>钢板桩支护</w:t>
      </w:r>
      <w:r>
        <w:rPr>
          <w:rFonts w:hint="eastAsia"/>
          <w:sz w:val="24"/>
        </w:rPr>
        <w:t>结构围檩</w:t>
      </w:r>
      <w:r>
        <w:rPr>
          <w:sz w:val="24"/>
        </w:rPr>
        <w:t>应符合下列要求：</w:t>
      </w:r>
    </w:p>
    <w:p>
      <w:pPr>
        <w:spacing w:line="360" w:lineRule="auto"/>
        <w:ind w:firstLine="720" w:firstLineChars="300"/>
        <w:jc w:val="left"/>
        <w:rPr>
          <w:sz w:val="24"/>
        </w:rPr>
      </w:pPr>
      <w:r>
        <w:rPr>
          <w:sz w:val="24"/>
        </w:rPr>
        <w:t>1）</w:t>
      </w:r>
      <w:r>
        <w:rPr>
          <w:rFonts w:hint="eastAsia"/>
          <w:sz w:val="24"/>
        </w:rPr>
        <w:t>宜</w:t>
      </w:r>
      <w:r>
        <w:rPr>
          <w:sz w:val="24"/>
        </w:rPr>
        <w:t>采用钢</w:t>
      </w:r>
      <w:r>
        <w:rPr>
          <w:rFonts w:hint="eastAsia"/>
          <w:sz w:val="24"/>
        </w:rPr>
        <w:t>围檩</w:t>
      </w:r>
      <w:r>
        <w:rPr>
          <w:sz w:val="24"/>
        </w:rPr>
        <w:t>，并结合内支撑或锚杆体系设置</w:t>
      </w:r>
      <w:r>
        <w:rPr>
          <w:rFonts w:hint="eastAsia"/>
          <w:sz w:val="24"/>
        </w:rPr>
        <w:t>；</w:t>
      </w:r>
    </w:p>
    <w:p>
      <w:pPr>
        <w:spacing w:line="360" w:lineRule="auto"/>
        <w:ind w:firstLine="720" w:firstLineChars="300"/>
        <w:jc w:val="left"/>
        <w:rPr>
          <w:sz w:val="24"/>
        </w:rPr>
      </w:pPr>
      <w:r>
        <w:rPr>
          <w:sz w:val="24"/>
        </w:rPr>
        <w:t>2）</w:t>
      </w:r>
      <w:r>
        <w:rPr>
          <w:rFonts w:hint="eastAsia"/>
          <w:sz w:val="24"/>
        </w:rPr>
        <w:t>围檩</w:t>
      </w:r>
      <w:r>
        <w:rPr>
          <w:sz w:val="24"/>
        </w:rPr>
        <w:t>应完整、封闭，并与支撑体系连成整体</w:t>
      </w:r>
      <w:r>
        <w:rPr>
          <w:rFonts w:hint="eastAsia"/>
          <w:sz w:val="24"/>
        </w:rPr>
        <w:t>；</w:t>
      </w:r>
    </w:p>
    <w:p>
      <w:pPr>
        <w:spacing w:line="360" w:lineRule="auto"/>
        <w:ind w:firstLine="720" w:firstLineChars="300"/>
        <w:jc w:val="left"/>
        <w:rPr>
          <w:sz w:val="24"/>
        </w:rPr>
      </w:pPr>
      <w:r>
        <w:rPr>
          <w:sz w:val="24"/>
        </w:rPr>
        <w:t>3）</w:t>
      </w:r>
      <w:r>
        <w:rPr>
          <w:rFonts w:hint="eastAsia"/>
          <w:sz w:val="24"/>
        </w:rPr>
        <w:t>围檩</w:t>
      </w:r>
      <w:r>
        <w:rPr>
          <w:sz w:val="24"/>
        </w:rPr>
        <w:t>应采用托架</w:t>
      </w:r>
      <w:r>
        <w:rPr>
          <w:rFonts w:hint="eastAsia"/>
          <w:sz w:val="24"/>
        </w:rPr>
        <w:t>、</w:t>
      </w:r>
      <w:r>
        <w:rPr>
          <w:sz w:val="24"/>
        </w:rPr>
        <w:t>吊筋与钢板桩连接，</w:t>
      </w:r>
      <w:r>
        <w:rPr>
          <w:rFonts w:hint="eastAsia"/>
          <w:sz w:val="24"/>
        </w:rPr>
        <w:t>围檩</w:t>
      </w:r>
      <w:r>
        <w:rPr>
          <w:sz w:val="24"/>
        </w:rPr>
        <w:t>与钢板桩间的空隙应用钢楔块或细石混凝土填实</w:t>
      </w:r>
      <w:r>
        <w:rPr>
          <w:rFonts w:hint="eastAsia"/>
          <w:sz w:val="24"/>
        </w:rPr>
        <w:t>；</w:t>
      </w:r>
    </w:p>
    <w:p>
      <w:pPr>
        <w:spacing w:line="360" w:lineRule="auto"/>
        <w:ind w:firstLine="480" w:firstLineChars="200"/>
        <w:jc w:val="left"/>
        <w:rPr>
          <w:sz w:val="24"/>
        </w:rPr>
      </w:pPr>
      <w:r>
        <w:rPr>
          <w:rFonts w:hint="eastAsia"/>
          <w:sz w:val="24"/>
        </w:rPr>
        <w:t>6  钢板桩宜采用整材，当需要分段焊接时，单根钢板桩焊接接头不宜超过两个，焊接方式应采用坡口焊等强度焊接，坡口形式及要求应符合国家行业标准《建筑钢结构焊接技术规程》JGJ 81 的相关规定；</w:t>
      </w:r>
    </w:p>
    <w:p>
      <w:pPr>
        <w:spacing w:line="360" w:lineRule="auto"/>
        <w:ind w:firstLine="480" w:firstLineChars="200"/>
        <w:jc w:val="left"/>
        <w:rPr>
          <w:color w:val="FF0000"/>
          <w:sz w:val="24"/>
        </w:rPr>
      </w:pPr>
      <w:r>
        <w:rPr>
          <w:rFonts w:hint="eastAsia"/>
          <w:sz w:val="24"/>
        </w:rPr>
        <w:t>7  钢板桩的竖向锁口处、钢板桩相接处等节点部位宜采取防水措施；</w:t>
      </w:r>
    </w:p>
    <w:p>
      <w:pPr>
        <w:spacing w:line="360" w:lineRule="auto"/>
        <w:rPr>
          <w:b/>
          <w:sz w:val="24"/>
        </w:rPr>
      </w:pPr>
      <w:r>
        <w:rPr>
          <w:b/>
          <w:sz w:val="24"/>
        </w:rPr>
        <w:t>5.</w:t>
      </w:r>
      <w:r>
        <w:rPr>
          <w:rFonts w:hint="eastAsia"/>
          <w:b/>
          <w:sz w:val="24"/>
        </w:rPr>
        <w:t>10</w:t>
      </w:r>
      <w:r>
        <w:rPr>
          <w:b/>
          <w:sz w:val="24"/>
        </w:rPr>
        <w:t>.</w:t>
      </w:r>
      <w:r>
        <w:rPr>
          <w:rFonts w:hint="eastAsia"/>
          <w:b/>
          <w:sz w:val="24"/>
        </w:rPr>
        <w:t>4</w:t>
      </w:r>
      <w:r>
        <w:rPr>
          <w:b/>
          <w:sz w:val="24"/>
        </w:rPr>
        <w:t xml:space="preserve"> </w:t>
      </w:r>
      <w:r>
        <w:rPr>
          <w:rFonts w:hint="eastAsia"/>
          <w:b/>
          <w:sz w:val="24"/>
        </w:rPr>
        <w:t xml:space="preserve"> </w:t>
      </w:r>
      <w:r>
        <w:rPr>
          <w:sz w:val="24"/>
        </w:rPr>
        <w:t>钢板桩支护施工控制要点</w:t>
      </w:r>
    </w:p>
    <w:p>
      <w:pPr>
        <w:pStyle w:val="74"/>
        <w:spacing w:line="360" w:lineRule="auto"/>
        <w:ind w:firstLine="482" w:firstLineChars="200"/>
        <w:rPr>
          <w:rFonts w:ascii="Times New Roman" w:hAnsi="Times New Roman" w:cs="Times New Roman"/>
          <w:color w:val="auto"/>
          <w:kern w:val="2"/>
        </w:rPr>
      </w:pPr>
      <w:r>
        <w:rPr>
          <w:rFonts w:ascii="Times New Roman" w:hAnsi="Times New Roman" w:cs="Times New Roman"/>
          <w:b/>
          <w:color w:val="auto"/>
          <w:kern w:val="2"/>
        </w:rPr>
        <w:t>1</w:t>
      </w:r>
      <w:r>
        <w:rPr>
          <w:rFonts w:hint="eastAsia" w:ascii="Times New Roman" w:hAnsi="Times New Roman" w:cs="Times New Roman"/>
          <w:b/>
          <w:color w:val="auto"/>
          <w:kern w:val="2"/>
        </w:rPr>
        <w:t xml:space="preserve">  </w:t>
      </w:r>
      <w:r>
        <w:rPr>
          <w:rFonts w:ascii="Times New Roman" w:hAnsi="Times New Roman" w:cs="Times New Roman"/>
          <w:color w:val="auto"/>
          <w:kern w:val="2"/>
        </w:rPr>
        <w:t>钢板桩施工应根据地质条件和周边环境条件、沉桩深度、钢板桩类型等选用不同的沉桩设备及沉桩工艺</w:t>
      </w:r>
      <w:r>
        <w:rPr>
          <w:rFonts w:hint="eastAsia" w:ascii="Times New Roman" w:hAnsi="Times New Roman" w:cs="Times New Roman"/>
          <w:color w:val="auto"/>
          <w:kern w:val="2"/>
        </w:rPr>
        <w:t>；</w:t>
      </w:r>
    </w:p>
    <w:p>
      <w:pPr>
        <w:pStyle w:val="74"/>
        <w:spacing w:line="360" w:lineRule="auto"/>
        <w:ind w:firstLine="482" w:firstLineChars="200"/>
        <w:rPr>
          <w:rFonts w:ascii="Times New Roman" w:hAnsi="Times New Roman" w:cs="Times New Roman"/>
          <w:color w:val="auto"/>
          <w:kern w:val="2"/>
        </w:rPr>
      </w:pPr>
      <w:r>
        <w:rPr>
          <w:rFonts w:ascii="Times New Roman" w:hAnsi="Times New Roman" w:cs="Times New Roman"/>
          <w:b/>
          <w:color w:val="auto"/>
          <w:kern w:val="2"/>
        </w:rPr>
        <w:t xml:space="preserve">2 </w:t>
      </w:r>
      <w:r>
        <w:rPr>
          <w:rFonts w:hint="eastAsia" w:ascii="Times New Roman" w:hAnsi="Times New Roman" w:cs="Times New Roman"/>
          <w:b/>
          <w:color w:val="auto"/>
          <w:kern w:val="2"/>
        </w:rPr>
        <w:t xml:space="preserve"> </w:t>
      </w:r>
      <w:r>
        <w:rPr>
          <w:rFonts w:ascii="Times New Roman" w:hAnsi="Times New Roman" w:cs="Times New Roman"/>
          <w:color w:val="auto"/>
          <w:kern w:val="2"/>
        </w:rPr>
        <w:t>钢板桩沉桩可采用锤击沉桩、振动沉桩和静压沉桩等工艺</w:t>
      </w:r>
      <w:r>
        <w:rPr>
          <w:rFonts w:hint="eastAsia" w:ascii="Times New Roman" w:hAnsi="Times New Roman" w:cs="Times New Roman"/>
          <w:color w:val="auto"/>
          <w:kern w:val="2"/>
        </w:rPr>
        <w:t>；</w:t>
      </w:r>
    </w:p>
    <w:p>
      <w:pPr>
        <w:pStyle w:val="74"/>
        <w:spacing w:line="360" w:lineRule="auto"/>
        <w:ind w:firstLine="482" w:firstLineChars="200"/>
        <w:rPr>
          <w:rFonts w:ascii="Times New Roman" w:hAnsi="Times New Roman" w:cs="Times New Roman"/>
          <w:color w:val="auto"/>
          <w:kern w:val="2"/>
        </w:rPr>
      </w:pPr>
      <w:r>
        <w:rPr>
          <w:rFonts w:ascii="Times New Roman" w:hAnsi="Times New Roman" w:cs="Times New Roman"/>
          <w:b/>
          <w:color w:val="auto"/>
          <w:kern w:val="2"/>
        </w:rPr>
        <w:t>3</w:t>
      </w:r>
      <w:r>
        <w:rPr>
          <w:rFonts w:hint="eastAsia" w:ascii="Times New Roman" w:hAnsi="Times New Roman" w:cs="Times New Roman"/>
          <w:b/>
          <w:color w:val="auto"/>
          <w:kern w:val="2"/>
        </w:rPr>
        <w:t xml:space="preserve">  </w:t>
      </w:r>
      <w:r>
        <w:rPr>
          <w:rFonts w:ascii="Times New Roman" w:hAnsi="Times New Roman" w:cs="Times New Roman"/>
          <w:color w:val="auto"/>
          <w:kern w:val="2"/>
        </w:rPr>
        <w:t>钢板桩插打应根据使用功能，选择地下水较大、对周边环境控制较严格的部位开始；合拢口位置应选择在地下水下游方向、周边环境简单的某个角点附近</w:t>
      </w:r>
      <w:r>
        <w:rPr>
          <w:rFonts w:hint="eastAsia" w:ascii="Times New Roman" w:hAnsi="Times New Roman" w:cs="Times New Roman"/>
          <w:color w:val="auto"/>
          <w:kern w:val="2"/>
        </w:rPr>
        <w:t>；</w:t>
      </w:r>
    </w:p>
    <w:p>
      <w:pPr>
        <w:pStyle w:val="74"/>
        <w:spacing w:line="360" w:lineRule="auto"/>
        <w:ind w:firstLine="482" w:firstLineChars="200"/>
        <w:rPr>
          <w:rFonts w:ascii="Times New Roman" w:hAnsi="Times New Roman" w:cs="Times New Roman"/>
          <w:color w:val="auto"/>
          <w:kern w:val="2"/>
        </w:rPr>
      </w:pPr>
      <w:r>
        <w:rPr>
          <w:rFonts w:ascii="Times New Roman" w:hAnsi="Times New Roman" w:cs="Times New Roman"/>
          <w:b/>
          <w:color w:val="auto"/>
          <w:kern w:val="2"/>
        </w:rPr>
        <w:t>4</w:t>
      </w:r>
      <w:r>
        <w:rPr>
          <w:rFonts w:hint="eastAsia" w:ascii="Times New Roman" w:hAnsi="Times New Roman" w:cs="Times New Roman"/>
          <w:b/>
          <w:color w:val="auto"/>
          <w:kern w:val="2"/>
        </w:rPr>
        <w:t xml:space="preserve">  </w:t>
      </w:r>
      <w:r>
        <w:rPr>
          <w:rFonts w:ascii="Times New Roman" w:hAnsi="Times New Roman" w:cs="Times New Roman"/>
          <w:color w:val="auto"/>
          <w:kern w:val="2"/>
        </w:rPr>
        <w:t>钢板桩沉桩应采用导向装置，导向装置应具有足够的强度和刚度。</w:t>
      </w:r>
    </w:p>
    <w:p>
      <w:pPr>
        <w:pStyle w:val="74"/>
        <w:spacing w:line="360" w:lineRule="auto"/>
        <w:ind w:firstLine="480" w:firstLineChars="200"/>
        <w:rPr>
          <w:rFonts w:ascii="Times New Roman" w:hAnsi="Times New Roman" w:cs="Times New Roman"/>
          <w:color w:val="auto"/>
          <w:kern w:val="2"/>
        </w:rPr>
      </w:pPr>
      <w:r>
        <w:rPr>
          <w:rFonts w:ascii="Times New Roman" w:hAnsi="Times New Roman" w:cs="Times New Roman"/>
          <w:color w:val="auto"/>
          <w:kern w:val="2"/>
        </w:rPr>
        <w:t>5</w:t>
      </w:r>
      <w:r>
        <w:rPr>
          <w:rFonts w:hint="eastAsia" w:ascii="Times New Roman" w:hAnsi="Times New Roman" w:cs="Times New Roman"/>
          <w:color w:val="auto"/>
          <w:kern w:val="2"/>
        </w:rPr>
        <w:t xml:space="preserve">  </w:t>
      </w:r>
      <w:r>
        <w:rPr>
          <w:rFonts w:ascii="Times New Roman" w:hAnsi="Times New Roman" w:cs="Times New Roman"/>
          <w:color w:val="auto"/>
          <w:kern w:val="2"/>
        </w:rPr>
        <w:t>钢板桩沿轴线方向的扇形倾斜率不宜超过3‰，在沉桩过程中应随时监测，当超过3‰时应采用沉设楔形板桩的方法进行调整</w:t>
      </w:r>
      <w:r>
        <w:rPr>
          <w:rFonts w:hint="eastAsia" w:ascii="Times New Roman" w:hAnsi="Times New Roman" w:cs="Times New Roman"/>
          <w:color w:val="auto"/>
          <w:kern w:val="2"/>
        </w:rPr>
        <w:t>；</w:t>
      </w:r>
    </w:p>
    <w:p>
      <w:pPr>
        <w:pStyle w:val="74"/>
        <w:spacing w:line="360" w:lineRule="auto"/>
        <w:ind w:firstLine="480" w:firstLineChars="200"/>
        <w:rPr>
          <w:rFonts w:ascii="Times New Roman" w:hAnsi="Times New Roman" w:cs="Times New Roman"/>
          <w:color w:val="auto"/>
          <w:kern w:val="2"/>
        </w:rPr>
      </w:pPr>
      <w:r>
        <w:rPr>
          <w:rFonts w:hint="eastAsia" w:ascii="Times New Roman" w:hAnsi="Times New Roman" w:cs="Times New Roman"/>
          <w:color w:val="auto"/>
          <w:kern w:val="2"/>
        </w:rPr>
        <w:t xml:space="preserve">6  </w:t>
      </w:r>
      <w:r>
        <w:rPr>
          <w:rFonts w:ascii="Times New Roman" w:hAnsi="Times New Roman" w:cs="Times New Roman"/>
          <w:color w:val="auto"/>
          <w:kern w:val="2"/>
        </w:rPr>
        <w:t>对于封闭式钢板桩</w:t>
      </w:r>
      <w:r>
        <w:rPr>
          <w:rFonts w:hint="eastAsia" w:ascii="Times New Roman" w:hAnsi="Times New Roman" w:cs="Times New Roman"/>
          <w:color w:val="auto"/>
          <w:kern w:val="2"/>
        </w:rPr>
        <w:t>支护结构</w:t>
      </w:r>
      <w:r>
        <w:rPr>
          <w:rFonts w:ascii="Times New Roman" w:hAnsi="Times New Roman" w:cs="Times New Roman"/>
          <w:color w:val="auto"/>
          <w:kern w:val="2"/>
        </w:rPr>
        <w:t>，拔桩的开始点</w:t>
      </w:r>
      <w:r>
        <w:rPr>
          <w:rFonts w:hint="eastAsia" w:ascii="Times New Roman" w:hAnsi="Times New Roman" w:cs="Times New Roman"/>
          <w:color w:val="auto"/>
          <w:kern w:val="2"/>
        </w:rPr>
        <w:t>宜</w:t>
      </w:r>
      <w:r>
        <w:rPr>
          <w:rFonts w:ascii="Times New Roman" w:hAnsi="Times New Roman" w:cs="Times New Roman"/>
          <w:color w:val="auto"/>
          <w:kern w:val="2"/>
        </w:rPr>
        <w:t>离</w:t>
      </w:r>
      <w:r>
        <w:rPr>
          <w:rFonts w:hint="eastAsia" w:ascii="Times New Roman" w:hAnsi="Times New Roman" w:cs="Times New Roman"/>
          <w:color w:val="auto"/>
          <w:kern w:val="2"/>
        </w:rPr>
        <w:t>转</w:t>
      </w:r>
      <w:r>
        <w:rPr>
          <w:rFonts w:ascii="Times New Roman" w:hAnsi="Times New Roman" w:cs="Times New Roman"/>
          <w:color w:val="auto"/>
          <w:kern w:val="2"/>
        </w:rPr>
        <w:t>角5根以上，宜通过沉桩时的施工记录资料查出沉桩的最小阻力来确定最佳拔桩点</w:t>
      </w:r>
      <w:r>
        <w:rPr>
          <w:rFonts w:hint="eastAsia" w:ascii="Times New Roman" w:hAnsi="Times New Roman" w:cs="Times New Roman"/>
          <w:color w:val="auto"/>
          <w:kern w:val="2"/>
        </w:rPr>
        <w:t>；</w:t>
      </w:r>
    </w:p>
    <w:p>
      <w:pPr>
        <w:spacing w:line="360" w:lineRule="auto"/>
        <w:ind w:firstLine="482" w:firstLineChars="200"/>
        <w:jc w:val="left"/>
        <w:rPr>
          <w:sz w:val="24"/>
        </w:rPr>
      </w:pPr>
      <w:r>
        <w:rPr>
          <w:rFonts w:hint="eastAsia"/>
          <w:b/>
          <w:sz w:val="24"/>
        </w:rPr>
        <w:t>7</w:t>
      </w:r>
      <w:r>
        <w:rPr>
          <w:b/>
          <w:sz w:val="24"/>
        </w:rPr>
        <w:t xml:space="preserve"> </w:t>
      </w:r>
      <w:r>
        <w:rPr>
          <w:rFonts w:hint="eastAsia"/>
          <w:b/>
          <w:sz w:val="24"/>
        </w:rPr>
        <w:t xml:space="preserve"> </w:t>
      </w:r>
      <w:r>
        <w:rPr>
          <w:sz w:val="24"/>
        </w:rPr>
        <w:t>在基坑开挖过程中，应及时设置支撑，防止钢板桩过量变形或丧失稳定。当钢板桩侧存在</w:t>
      </w:r>
      <w:r>
        <w:rPr>
          <w:rFonts w:hint="eastAsia"/>
          <w:sz w:val="24"/>
        </w:rPr>
        <w:t>软土时</w:t>
      </w:r>
      <w:r>
        <w:rPr>
          <w:sz w:val="24"/>
        </w:rPr>
        <w:t>，应加强支撑的刚度。</w:t>
      </w:r>
    </w:p>
    <w:p>
      <w:pPr>
        <w:spacing w:line="360" w:lineRule="auto"/>
        <w:jc w:val="center"/>
        <w:outlineLvl w:val="1"/>
        <w:rPr>
          <w:b/>
          <w:sz w:val="24"/>
        </w:rPr>
      </w:pPr>
      <w:bookmarkStart w:id="65" w:name="_Toc87018273"/>
      <w:bookmarkStart w:id="66" w:name="_Toc87018342"/>
      <w:r>
        <w:rPr>
          <w:b/>
          <w:sz w:val="24"/>
        </w:rPr>
        <w:t>5.11  地下连续墙</w:t>
      </w:r>
      <w:bookmarkEnd w:id="65"/>
      <w:bookmarkEnd w:id="66"/>
    </w:p>
    <w:p>
      <w:pPr>
        <w:spacing w:line="360" w:lineRule="auto"/>
        <w:rPr>
          <w:sz w:val="24"/>
        </w:rPr>
      </w:pPr>
      <w:r>
        <w:rPr>
          <w:b/>
          <w:sz w:val="24"/>
        </w:rPr>
        <w:t xml:space="preserve">5.11.1  </w:t>
      </w:r>
      <w:r>
        <w:rPr>
          <w:sz w:val="24"/>
        </w:rPr>
        <w:t>地下连续墙的选型和适用范围：</w:t>
      </w:r>
    </w:p>
    <w:p>
      <w:pPr>
        <w:spacing w:line="360" w:lineRule="auto"/>
        <w:ind w:firstLine="480" w:firstLineChars="200"/>
        <w:rPr>
          <w:sz w:val="24"/>
        </w:rPr>
      </w:pPr>
      <w:r>
        <w:rPr>
          <w:sz w:val="24"/>
        </w:rPr>
        <w:t>1  适用于周边环境复杂、对基坑变形要求严格和对基坑截水要求高的基坑工程；</w:t>
      </w:r>
    </w:p>
    <w:p>
      <w:pPr>
        <w:spacing w:line="360" w:lineRule="auto"/>
        <w:ind w:firstLine="480" w:firstLineChars="200"/>
        <w:rPr>
          <w:sz w:val="24"/>
        </w:rPr>
      </w:pPr>
      <w:r>
        <w:rPr>
          <w:sz w:val="24"/>
        </w:rPr>
        <w:t>2  地下连续墙</w:t>
      </w:r>
      <w:r>
        <w:rPr>
          <w:rFonts w:hint="eastAsia"/>
          <w:sz w:val="24"/>
        </w:rPr>
        <w:t>可单独使用，也</w:t>
      </w:r>
      <w:r>
        <w:rPr>
          <w:sz w:val="24"/>
        </w:rPr>
        <w:t>可</w:t>
      </w:r>
      <w:r>
        <w:rPr>
          <w:rFonts w:hint="eastAsia"/>
          <w:sz w:val="24"/>
        </w:rPr>
        <w:t>与</w:t>
      </w:r>
      <w:r>
        <w:rPr>
          <w:sz w:val="24"/>
        </w:rPr>
        <w:t>内支撑</w:t>
      </w:r>
      <w:r>
        <w:rPr>
          <w:rFonts w:hint="eastAsia"/>
          <w:sz w:val="24"/>
        </w:rPr>
        <w:t>、</w:t>
      </w:r>
      <w:r>
        <w:rPr>
          <w:sz w:val="24"/>
        </w:rPr>
        <w:t>锚</w:t>
      </w:r>
      <w:r>
        <w:rPr>
          <w:rFonts w:hint="eastAsia"/>
          <w:sz w:val="24"/>
        </w:rPr>
        <w:t>杆</w:t>
      </w:r>
      <w:r>
        <w:rPr>
          <w:sz w:val="24"/>
        </w:rPr>
        <w:t>等</w:t>
      </w:r>
      <w:r>
        <w:rPr>
          <w:rFonts w:hint="eastAsia"/>
          <w:sz w:val="24"/>
        </w:rPr>
        <w:t>组合使用</w:t>
      </w:r>
      <w:r>
        <w:rPr>
          <w:sz w:val="24"/>
        </w:rPr>
        <w:t>；</w:t>
      </w:r>
    </w:p>
    <w:p>
      <w:pPr>
        <w:spacing w:line="360" w:lineRule="auto"/>
        <w:ind w:firstLine="480" w:firstLineChars="200"/>
        <w:rPr>
          <w:sz w:val="24"/>
        </w:rPr>
      </w:pPr>
      <w:r>
        <w:rPr>
          <w:sz w:val="24"/>
        </w:rPr>
        <w:t>3  地下连续墙可兼作地下建筑物侧壁的一部分</w:t>
      </w:r>
      <w:r>
        <w:rPr>
          <w:rFonts w:hint="eastAsia"/>
          <w:sz w:val="24"/>
        </w:rPr>
        <w:t>。</w:t>
      </w:r>
    </w:p>
    <w:p>
      <w:pPr>
        <w:spacing w:line="360" w:lineRule="auto"/>
        <w:rPr>
          <w:sz w:val="24"/>
        </w:rPr>
      </w:pPr>
      <w:r>
        <w:rPr>
          <w:b/>
          <w:sz w:val="24"/>
        </w:rPr>
        <w:t xml:space="preserve">5.11.2  </w:t>
      </w:r>
      <w:r>
        <w:rPr>
          <w:sz w:val="24"/>
        </w:rPr>
        <w:t>地下连续墙内力、变形计算和稳定性验算应按</w:t>
      </w:r>
      <w:r>
        <w:rPr>
          <w:rFonts w:hint="eastAsia"/>
          <w:sz w:val="24"/>
        </w:rPr>
        <w:t>5.3、</w:t>
      </w:r>
      <w:r>
        <w:rPr>
          <w:sz w:val="24"/>
        </w:rPr>
        <w:t>5.</w:t>
      </w:r>
      <w:r>
        <w:rPr>
          <w:rFonts w:hint="eastAsia"/>
          <w:sz w:val="24"/>
        </w:rPr>
        <w:t>4</w:t>
      </w:r>
      <w:r>
        <w:rPr>
          <w:sz w:val="24"/>
        </w:rPr>
        <w:t>节规定进行。地下连续墙应按国家标准《混凝土结构设计规范》GB 50010验算墙截面的承载力；作为</w:t>
      </w:r>
      <w:r>
        <w:rPr>
          <w:rFonts w:hint="eastAsia"/>
          <w:sz w:val="24"/>
        </w:rPr>
        <w:t>永久</w:t>
      </w:r>
      <w:r>
        <w:rPr>
          <w:sz w:val="24"/>
        </w:rPr>
        <w:t>结构</w:t>
      </w:r>
      <w:r>
        <w:rPr>
          <w:rFonts w:hint="eastAsia"/>
          <w:sz w:val="24"/>
        </w:rPr>
        <w:t>时应进行</w:t>
      </w:r>
      <w:r>
        <w:rPr>
          <w:sz w:val="24"/>
        </w:rPr>
        <w:t>裂缝宽度验算</w:t>
      </w:r>
      <w:r>
        <w:rPr>
          <w:rFonts w:hint="eastAsia"/>
          <w:sz w:val="24"/>
        </w:rPr>
        <w:t>，作用在地下连续墙上的土压力宜采用静止土压力</w:t>
      </w:r>
      <w:r>
        <w:rPr>
          <w:sz w:val="24"/>
        </w:rPr>
        <w:t>。</w:t>
      </w:r>
    </w:p>
    <w:p>
      <w:pPr>
        <w:spacing w:line="360" w:lineRule="auto"/>
        <w:rPr>
          <w:sz w:val="24"/>
        </w:rPr>
      </w:pPr>
      <w:r>
        <w:rPr>
          <w:b/>
          <w:sz w:val="24"/>
        </w:rPr>
        <w:t xml:space="preserve">5.11.3  </w:t>
      </w:r>
      <w:r>
        <w:rPr>
          <w:sz w:val="24"/>
        </w:rPr>
        <w:t>地下连续墙作为地下室外墙或作为地下室外墙的一部分时，应满足主体结构设计要求</w:t>
      </w:r>
      <w:r>
        <w:rPr>
          <w:rFonts w:hint="eastAsia"/>
          <w:sz w:val="24"/>
        </w:rPr>
        <w:t>；</w:t>
      </w:r>
      <w:r>
        <w:rPr>
          <w:sz w:val="24"/>
        </w:rPr>
        <w:t>兼作承重结构时，尚应考虑上部建筑物等的竖向荷载。</w:t>
      </w:r>
    </w:p>
    <w:p>
      <w:pPr>
        <w:spacing w:line="360" w:lineRule="auto"/>
        <w:rPr>
          <w:sz w:val="24"/>
        </w:rPr>
      </w:pPr>
      <w:r>
        <w:rPr>
          <w:b/>
          <w:sz w:val="24"/>
        </w:rPr>
        <w:t xml:space="preserve">5.11.4  </w:t>
      </w:r>
      <w:r>
        <w:rPr>
          <w:sz w:val="24"/>
        </w:rPr>
        <w:t>地下连续墙的厚度应通过计算并结合成槽机械的规格确定，常用的墙体厚度为600</w:t>
      </w:r>
      <w:r>
        <w:rPr>
          <w:rFonts w:hint="eastAsia"/>
          <w:sz w:val="24"/>
        </w:rPr>
        <w:t>mm</w:t>
      </w:r>
      <w:r>
        <w:rPr>
          <w:sz w:val="24"/>
        </w:rPr>
        <w:t>～1200mm。</w:t>
      </w:r>
    </w:p>
    <w:p>
      <w:pPr>
        <w:spacing w:line="360" w:lineRule="auto"/>
        <w:rPr>
          <w:sz w:val="24"/>
        </w:rPr>
      </w:pPr>
      <w:r>
        <w:rPr>
          <w:b/>
          <w:sz w:val="24"/>
        </w:rPr>
        <w:t xml:space="preserve">5.11.5  </w:t>
      </w:r>
      <w:r>
        <w:rPr>
          <w:sz w:val="24"/>
        </w:rPr>
        <w:t>地下连续墙单元槽段的平面形状和槽段长度，应根据墙段的结构受力特性、槽壁稳定性、环境条件和施工条件等因素综合确定。单元槽段的平面形状有一字形、L形、T形等。一字形槽段长度不宜大于6m，L形、T形槽段各肢长度总和不宜大于6m。</w:t>
      </w:r>
    </w:p>
    <w:p>
      <w:pPr>
        <w:spacing w:line="360" w:lineRule="auto"/>
        <w:rPr>
          <w:sz w:val="24"/>
        </w:rPr>
      </w:pPr>
      <w:r>
        <w:rPr>
          <w:b/>
          <w:sz w:val="24"/>
        </w:rPr>
        <w:t xml:space="preserve">5.11.6  </w:t>
      </w:r>
      <w:r>
        <w:rPr>
          <w:sz w:val="24"/>
        </w:rPr>
        <w:t>地下连续墙槽段施工接头可</w:t>
      </w:r>
      <w:r>
        <w:rPr>
          <w:rFonts w:hint="eastAsia"/>
          <w:sz w:val="24"/>
        </w:rPr>
        <w:t>采用</w:t>
      </w:r>
      <w:r>
        <w:rPr>
          <w:sz w:val="24"/>
        </w:rPr>
        <w:t>柔性接头和刚性接头</w:t>
      </w:r>
      <w:r>
        <w:rPr>
          <w:rFonts w:hint="eastAsia"/>
          <w:sz w:val="24"/>
        </w:rPr>
        <w:t>。</w:t>
      </w:r>
      <w:r>
        <w:rPr>
          <w:sz w:val="24"/>
        </w:rPr>
        <w:t>当根据结构受力特性需形成整体时，槽段间宜采用刚性接头，并应根据实际受力状态验算槽段接头的承载力。</w:t>
      </w:r>
    </w:p>
    <w:p>
      <w:pPr>
        <w:spacing w:line="360" w:lineRule="auto"/>
        <w:rPr>
          <w:sz w:val="24"/>
        </w:rPr>
      </w:pPr>
      <w:r>
        <w:rPr>
          <w:b/>
          <w:sz w:val="24"/>
        </w:rPr>
        <w:t>5.11.</w:t>
      </w:r>
      <w:r>
        <w:rPr>
          <w:rFonts w:hint="eastAsia"/>
          <w:b/>
          <w:sz w:val="24"/>
        </w:rPr>
        <w:t xml:space="preserve">7  </w:t>
      </w:r>
      <w:r>
        <w:rPr>
          <w:sz w:val="24"/>
        </w:rPr>
        <w:t>地下连续墙顶部应设置钢筋混凝土冠梁。冠梁按构造设置时，宽度不宜小于地下连续墙厚度，高度不宜小于墙厚的0.6倍。冠梁钢筋</w:t>
      </w:r>
      <w:r>
        <w:rPr>
          <w:rFonts w:hint="eastAsia"/>
          <w:sz w:val="24"/>
        </w:rPr>
        <w:t>、</w:t>
      </w:r>
      <w:r>
        <w:rPr>
          <w:sz w:val="24"/>
        </w:rPr>
        <w:t>地下连续墙的竖向主筋</w:t>
      </w:r>
      <w:r>
        <w:rPr>
          <w:rFonts w:hint="eastAsia"/>
          <w:sz w:val="24"/>
        </w:rPr>
        <w:t>锚入冠梁内的长度应满足</w:t>
      </w:r>
      <w:r>
        <w:rPr>
          <w:sz w:val="24"/>
        </w:rPr>
        <w:t>《混凝土结构设计规范》GB 50010</w:t>
      </w:r>
      <w:r>
        <w:rPr>
          <w:rFonts w:hint="eastAsia"/>
          <w:sz w:val="24"/>
        </w:rPr>
        <w:t>的规定</w:t>
      </w:r>
      <w:r>
        <w:rPr>
          <w:sz w:val="24"/>
        </w:rPr>
        <w:t>。冠梁用作支撑或锚杆的传力构件或按空间结构设计时，尚应按受力构件进行截面设计。</w:t>
      </w:r>
    </w:p>
    <w:p>
      <w:pPr>
        <w:spacing w:line="360" w:lineRule="auto"/>
        <w:rPr>
          <w:sz w:val="24"/>
        </w:rPr>
      </w:pPr>
      <w:r>
        <w:rPr>
          <w:b/>
          <w:sz w:val="24"/>
        </w:rPr>
        <w:t>5.11.</w:t>
      </w:r>
      <w:r>
        <w:rPr>
          <w:rFonts w:hint="eastAsia"/>
          <w:b/>
          <w:sz w:val="24"/>
        </w:rPr>
        <w:t xml:space="preserve">8  </w:t>
      </w:r>
      <w:r>
        <w:rPr>
          <w:sz w:val="24"/>
        </w:rPr>
        <w:t>地下连续墙的构造应符合下列要求：</w:t>
      </w:r>
    </w:p>
    <w:p>
      <w:pPr>
        <w:spacing w:line="360" w:lineRule="auto"/>
        <w:ind w:firstLine="424" w:firstLineChars="177"/>
        <w:rPr>
          <w:sz w:val="24"/>
        </w:rPr>
      </w:pPr>
      <w:r>
        <w:rPr>
          <w:sz w:val="24"/>
        </w:rPr>
        <w:t>1  混凝土的强度等级不宜低于C30；水下浇筑时混凝土强度等级应按相关规范要求提高；</w:t>
      </w:r>
    </w:p>
    <w:p>
      <w:pPr>
        <w:spacing w:line="360" w:lineRule="auto"/>
        <w:ind w:firstLine="424" w:firstLineChars="177"/>
        <w:rPr>
          <w:sz w:val="24"/>
        </w:rPr>
      </w:pPr>
      <w:r>
        <w:rPr>
          <w:sz w:val="24"/>
        </w:rPr>
        <w:t>2  地下连续墙</w:t>
      </w:r>
      <w:r>
        <w:rPr>
          <w:rFonts w:hint="eastAsia"/>
          <w:sz w:val="24"/>
        </w:rPr>
        <w:t>用于截水时，墙体混凝土抗渗等级不宜小于P6。当地下连续墙同时作为主体地下结构构件时，墙体混凝土抗渗等级应满足国家标准《地下工程防水技术规范》GB 50108等相关标准的要求；</w:t>
      </w:r>
    </w:p>
    <w:p>
      <w:pPr>
        <w:spacing w:line="360" w:lineRule="auto"/>
        <w:rPr>
          <w:sz w:val="24"/>
        </w:rPr>
      </w:pPr>
      <w:r>
        <w:rPr>
          <w:sz w:val="24"/>
        </w:rPr>
        <w:t xml:space="preserve">    3  地下连续墙纵向钢筋应沿墙身每侧均匀配置，并可根据内力分布沿墙体深度分段配置，但应有一半以上纵向钢筋通长配置。纵向钢筋宜采用HRB</w:t>
      </w:r>
      <w:r>
        <w:rPr>
          <w:rFonts w:hint="eastAsia"/>
          <w:sz w:val="24"/>
        </w:rPr>
        <w:t>400</w:t>
      </w:r>
      <w:r>
        <w:rPr>
          <w:sz w:val="24"/>
        </w:rPr>
        <w:t>或HRB</w:t>
      </w:r>
      <w:r>
        <w:rPr>
          <w:rFonts w:hint="eastAsia"/>
          <w:sz w:val="24"/>
        </w:rPr>
        <w:t>5</w:t>
      </w:r>
      <w:r>
        <w:rPr>
          <w:sz w:val="24"/>
        </w:rPr>
        <w:t>00钢筋</w:t>
      </w:r>
      <w:r>
        <w:rPr>
          <w:rFonts w:hint="eastAsia"/>
          <w:sz w:val="24"/>
        </w:rPr>
        <w:t>，</w:t>
      </w:r>
      <w:r>
        <w:rPr>
          <w:sz w:val="24"/>
        </w:rPr>
        <w:t>直径不宜小于16mm</w:t>
      </w:r>
      <w:r>
        <w:rPr>
          <w:rFonts w:hint="eastAsia"/>
          <w:sz w:val="24"/>
        </w:rPr>
        <w:t>，</w:t>
      </w:r>
      <w:r>
        <w:rPr>
          <w:sz w:val="24"/>
        </w:rPr>
        <w:t>净距不宜小于75mm</w:t>
      </w:r>
      <w:r>
        <w:rPr>
          <w:rFonts w:hint="eastAsia"/>
          <w:sz w:val="24"/>
        </w:rPr>
        <w:t>；</w:t>
      </w:r>
      <w:r>
        <w:rPr>
          <w:sz w:val="24"/>
        </w:rPr>
        <w:t>水平钢筋宜采用HRB3</w:t>
      </w:r>
      <w:r>
        <w:rPr>
          <w:rFonts w:hint="eastAsia"/>
          <w:sz w:val="24"/>
        </w:rPr>
        <w:t>00</w:t>
      </w:r>
      <w:r>
        <w:rPr>
          <w:sz w:val="24"/>
        </w:rPr>
        <w:t>或HRB400钢筋</w:t>
      </w:r>
      <w:r>
        <w:rPr>
          <w:rFonts w:hint="eastAsia"/>
          <w:sz w:val="24"/>
        </w:rPr>
        <w:t>，</w:t>
      </w:r>
      <w:r>
        <w:rPr>
          <w:sz w:val="24"/>
        </w:rPr>
        <w:t>直径不宜小于12mm</w:t>
      </w:r>
      <w:r>
        <w:rPr>
          <w:rFonts w:hint="eastAsia"/>
          <w:sz w:val="24"/>
        </w:rPr>
        <w:t>，</w:t>
      </w:r>
      <w:r>
        <w:rPr>
          <w:sz w:val="24"/>
        </w:rPr>
        <w:t>间距宜为200mm～400mm；</w:t>
      </w:r>
    </w:p>
    <w:p>
      <w:pPr>
        <w:spacing w:line="360" w:lineRule="auto"/>
        <w:rPr>
          <w:sz w:val="24"/>
        </w:rPr>
      </w:pPr>
      <w:r>
        <w:rPr>
          <w:sz w:val="24"/>
        </w:rPr>
        <w:t xml:space="preserve">    4  地下连续墙中钢筋保护层厚度在迎土侧不宜小于70mm，背土侧不宜小于50mm；</w:t>
      </w:r>
    </w:p>
    <w:p>
      <w:pPr>
        <w:spacing w:line="360" w:lineRule="auto"/>
        <w:rPr>
          <w:sz w:val="24"/>
        </w:rPr>
      </w:pPr>
      <w:r>
        <w:rPr>
          <w:sz w:val="24"/>
        </w:rPr>
        <w:t xml:space="preserve">    5  地下连续墙钢筋笼封头钢筋形状应与施工接头相匹配。封头钢筋与水平钢筋宜采用焊接。钢筋笼两侧的端部与相邻墙段混凝土接头面之间的间隙应不大于150mm，钢筋笼下端500mm长度范围内宜按1</w:t>
      </w:r>
      <w:r>
        <w:rPr>
          <w:rFonts w:hint="eastAsia"/>
          <w:sz w:val="24"/>
        </w:rPr>
        <w:t>:</w:t>
      </w:r>
      <w:r>
        <w:rPr>
          <w:sz w:val="24"/>
        </w:rPr>
        <w:t>10收拢；钢筋笼的下端与槽底之间宜留有不小于500mm的间隙；单元槽段的钢筋笼宜装配成一个整体</w:t>
      </w:r>
      <w:r>
        <w:rPr>
          <w:rFonts w:hint="eastAsia"/>
          <w:sz w:val="24"/>
        </w:rPr>
        <w:t>。</w:t>
      </w:r>
    </w:p>
    <w:p>
      <w:pPr>
        <w:spacing w:line="360" w:lineRule="auto"/>
        <w:rPr>
          <w:sz w:val="24"/>
        </w:rPr>
      </w:pPr>
      <w:r>
        <w:rPr>
          <w:b/>
          <w:sz w:val="24"/>
        </w:rPr>
        <w:t>5.11.</w:t>
      </w:r>
      <w:r>
        <w:rPr>
          <w:rFonts w:hint="eastAsia"/>
          <w:b/>
          <w:sz w:val="24"/>
        </w:rPr>
        <w:t>9</w:t>
      </w:r>
      <w:r>
        <w:rPr>
          <w:b/>
          <w:sz w:val="24"/>
        </w:rPr>
        <w:t xml:space="preserve">  </w:t>
      </w:r>
      <w:r>
        <w:rPr>
          <w:sz w:val="24"/>
        </w:rPr>
        <w:t>L形槽段水平钢筋锚入对边墙体内应满足锚固长度要求，且宜与对边水平钢筋焊接，转角处宜设置斜向加强钢筋。</w:t>
      </w:r>
    </w:p>
    <w:p>
      <w:pPr>
        <w:spacing w:line="360" w:lineRule="auto"/>
        <w:rPr>
          <w:sz w:val="24"/>
        </w:rPr>
      </w:pPr>
      <w:r>
        <w:rPr>
          <w:b/>
          <w:sz w:val="24"/>
        </w:rPr>
        <w:t>5.11.1</w:t>
      </w:r>
      <w:r>
        <w:rPr>
          <w:rFonts w:hint="eastAsia"/>
          <w:b/>
          <w:sz w:val="24"/>
        </w:rPr>
        <w:t>0</w:t>
      </w:r>
      <w:r>
        <w:rPr>
          <w:b/>
          <w:sz w:val="24"/>
        </w:rPr>
        <w:t xml:space="preserve">  </w:t>
      </w:r>
      <w:r>
        <w:rPr>
          <w:sz w:val="24"/>
        </w:rPr>
        <w:t>T形槽段外伸腹板宜设置在迎土面一侧，外伸腹板长度不宜小于成槽设备最小成槽长度。外伸腹板与翼板之间宜设置加强</w:t>
      </w:r>
      <w:r>
        <w:rPr>
          <w:rFonts w:hint="eastAsia"/>
          <w:sz w:val="24"/>
        </w:rPr>
        <w:t>钢</w:t>
      </w:r>
      <w:r>
        <w:rPr>
          <w:sz w:val="24"/>
        </w:rPr>
        <w:t>筋。</w:t>
      </w:r>
    </w:p>
    <w:p>
      <w:pPr>
        <w:spacing w:line="360" w:lineRule="auto"/>
        <w:rPr>
          <w:sz w:val="24"/>
        </w:rPr>
      </w:pPr>
      <w:r>
        <w:rPr>
          <w:b/>
          <w:sz w:val="24"/>
        </w:rPr>
        <w:t>5.11.1</w:t>
      </w:r>
      <w:r>
        <w:rPr>
          <w:rFonts w:hint="eastAsia"/>
          <w:b/>
          <w:sz w:val="24"/>
        </w:rPr>
        <w:t>1</w:t>
      </w:r>
      <w:r>
        <w:rPr>
          <w:b/>
          <w:sz w:val="24"/>
        </w:rPr>
        <w:t xml:space="preserve">  </w:t>
      </w:r>
      <w:r>
        <w:rPr>
          <w:sz w:val="24"/>
        </w:rPr>
        <w:t>地下连续墙应根据钢筋笼吊装过程中的整体稳定性和钢筋笼骨架不产生塑性变形的要求，设置纵横向起吊桁架，并应根据实测导墙标高来确定钢筋笼吊筋的长度。桁架主筋宜采用HRB335或HRB400钢筋，直径不宜小于20mm。</w:t>
      </w:r>
    </w:p>
    <w:p>
      <w:pPr>
        <w:spacing w:line="360" w:lineRule="auto"/>
        <w:rPr>
          <w:sz w:val="24"/>
        </w:rPr>
      </w:pPr>
      <w:r>
        <w:rPr>
          <w:b/>
          <w:sz w:val="24"/>
        </w:rPr>
        <w:t>5.11.1</w:t>
      </w:r>
      <w:r>
        <w:rPr>
          <w:rFonts w:hint="eastAsia"/>
          <w:b/>
          <w:sz w:val="24"/>
        </w:rPr>
        <w:t>2</w:t>
      </w:r>
      <w:r>
        <w:rPr>
          <w:b/>
          <w:sz w:val="24"/>
        </w:rPr>
        <w:t xml:space="preserve">  </w:t>
      </w:r>
      <w:r>
        <w:rPr>
          <w:sz w:val="24"/>
        </w:rPr>
        <w:t>承受竖向荷载的地下连续墙，应验算其墙底地基承载力及沉降量。如不能满足设计要求，应增加地</w:t>
      </w:r>
      <w:r>
        <w:rPr>
          <w:rFonts w:hint="eastAsia"/>
          <w:sz w:val="24"/>
        </w:rPr>
        <w:t>下</w:t>
      </w:r>
      <w:r>
        <w:rPr>
          <w:sz w:val="24"/>
        </w:rPr>
        <w:t>连</w:t>
      </w:r>
      <w:r>
        <w:rPr>
          <w:rFonts w:hint="eastAsia"/>
          <w:sz w:val="24"/>
        </w:rPr>
        <w:t>续</w:t>
      </w:r>
      <w:r>
        <w:rPr>
          <w:sz w:val="24"/>
        </w:rPr>
        <w:t>墙的深度直至良</w:t>
      </w:r>
      <w:r>
        <w:rPr>
          <w:rFonts w:hint="eastAsia"/>
          <w:sz w:val="24"/>
        </w:rPr>
        <w:t>好</w:t>
      </w:r>
      <w:r>
        <w:rPr>
          <w:sz w:val="24"/>
        </w:rPr>
        <w:t>持力层，或采用墙底注浆方式加固。</w:t>
      </w:r>
    </w:p>
    <w:p>
      <w:pPr>
        <w:spacing w:line="360" w:lineRule="auto"/>
        <w:rPr>
          <w:sz w:val="24"/>
        </w:rPr>
      </w:pPr>
      <w:r>
        <w:rPr>
          <w:b/>
          <w:sz w:val="24"/>
        </w:rPr>
        <w:t>5.11.1</w:t>
      </w:r>
      <w:r>
        <w:rPr>
          <w:rFonts w:hint="eastAsia"/>
          <w:b/>
          <w:sz w:val="24"/>
        </w:rPr>
        <w:t>3</w:t>
      </w:r>
      <w:r>
        <w:rPr>
          <w:b/>
          <w:sz w:val="24"/>
        </w:rPr>
        <w:t xml:space="preserve">  </w:t>
      </w:r>
      <w:r>
        <w:rPr>
          <w:sz w:val="24"/>
        </w:rPr>
        <w:t>地下连续墙兼作主体结构时，地下连续墙与主体结构的连接处，应设连接装置。其形式可以在地下连续墙内预埋受拉、受剪钢筋、连接螺栓或连接钢板等，其强度应满足受力计算要求。</w:t>
      </w:r>
    </w:p>
    <w:p>
      <w:pPr>
        <w:spacing w:line="360" w:lineRule="auto"/>
        <w:rPr>
          <w:sz w:val="24"/>
        </w:rPr>
      </w:pPr>
      <w:r>
        <w:rPr>
          <w:b/>
          <w:sz w:val="24"/>
        </w:rPr>
        <w:t>5.11.1</w:t>
      </w:r>
      <w:r>
        <w:rPr>
          <w:rFonts w:hint="eastAsia"/>
          <w:b/>
          <w:sz w:val="24"/>
        </w:rPr>
        <w:t>4</w:t>
      </w:r>
      <w:r>
        <w:rPr>
          <w:b/>
          <w:sz w:val="24"/>
        </w:rPr>
        <w:t xml:space="preserve">  </w:t>
      </w:r>
      <w:r>
        <w:rPr>
          <w:sz w:val="24"/>
        </w:rPr>
        <w:t>地下连续墙施工应设置钢筋混凝土导墙，导墙施工应符合下列要求：</w:t>
      </w:r>
    </w:p>
    <w:p>
      <w:pPr>
        <w:spacing w:line="360" w:lineRule="auto"/>
        <w:ind w:firstLine="480" w:firstLineChars="200"/>
        <w:jc w:val="left"/>
        <w:rPr>
          <w:sz w:val="24"/>
        </w:rPr>
      </w:pPr>
      <w:r>
        <w:rPr>
          <w:sz w:val="24"/>
        </w:rPr>
        <w:t>1  导墙应采用现浇钢筋混凝土结构，导墙底部应置于原状土层，高度不应小于1.2m；导墙底标高宜低于地下连续墙设计顶标高，且不宜小于200mm；导墙外侧应采用黏性土填实；导墙应满足成槽设备及顶拔接头时的强度及稳定性要求；</w:t>
      </w:r>
    </w:p>
    <w:p>
      <w:pPr>
        <w:spacing w:line="360" w:lineRule="auto"/>
        <w:ind w:firstLine="480" w:firstLineChars="200"/>
        <w:jc w:val="left"/>
        <w:rPr>
          <w:sz w:val="24"/>
        </w:rPr>
      </w:pPr>
      <w:r>
        <w:rPr>
          <w:sz w:val="24"/>
        </w:rPr>
        <w:t>2  遇</w:t>
      </w:r>
      <w:r>
        <w:rPr>
          <w:rFonts w:hint="eastAsia"/>
          <w:sz w:val="24"/>
        </w:rPr>
        <w:t>较厚的软土及</w:t>
      </w:r>
      <w:r>
        <w:rPr>
          <w:sz w:val="24"/>
        </w:rPr>
        <w:t>松散填土层时应进行土体加固或做深导墙；</w:t>
      </w:r>
    </w:p>
    <w:p>
      <w:pPr>
        <w:spacing w:line="360" w:lineRule="auto"/>
        <w:ind w:firstLine="480" w:firstLineChars="200"/>
        <w:jc w:val="left"/>
        <w:rPr>
          <w:sz w:val="24"/>
        </w:rPr>
      </w:pPr>
      <w:r>
        <w:rPr>
          <w:sz w:val="24"/>
        </w:rPr>
        <w:t>3  导墙内侧墙面应垂直，两侧导墙之间的净距应比地下连续墙设计厚度增加40mm；</w:t>
      </w:r>
    </w:p>
    <w:p>
      <w:pPr>
        <w:spacing w:line="360" w:lineRule="auto"/>
        <w:ind w:firstLine="480" w:firstLineChars="200"/>
        <w:jc w:val="left"/>
        <w:rPr>
          <w:sz w:val="24"/>
        </w:rPr>
      </w:pPr>
      <w:r>
        <w:rPr>
          <w:sz w:val="24"/>
        </w:rPr>
        <w:t>4  导墙拆模后，应做好墙间支撑，并按要求控制导墙周围的施工荷载。</w:t>
      </w:r>
    </w:p>
    <w:p>
      <w:pPr>
        <w:spacing w:line="360" w:lineRule="auto"/>
        <w:rPr>
          <w:sz w:val="24"/>
        </w:rPr>
      </w:pPr>
      <w:r>
        <w:rPr>
          <w:b/>
          <w:sz w:val="24"/>
        </w:rPr>
        <w:t>5.11.1</w:t>
      </w:r>
      <w:r>
        <w:rPr>
          <w:rFonts w:hint="eastAsia"/>
          <w:b/>
          <w:sz w:val="24"/>
        </w:rPr>
        <w:t>5</w:t>
      </w:r>
      <w:r>
        <w:rPr>
          <w:b/>
          <w:sz w:val="24"/>
        </w:rPr>
        <w:t xml:space="preserve">  </w:t>
      </w:r>
      <w:r>
        <w:rPr>
          <w:sz w:val="24"/>
        </w:rPr>
        <w:t>地下连续墙施工前应通过试成槽</w:t>
      </w:r>
      <w:r>
        <w:rPr>
          <w:rFonts w:hint="eastAsia"/>
          <w:sz w:val="24"/>
        </w:rPr>
        <w:t>，</w:t>
      </w:r>
      <w:r>
        <w:rPr>
          <w:sz w:val="24"/>
        </w:rPr>
        <w:t>确定合适的成槽机械</w:t>
      </w:r>
      <w:r>
        <w:rPr>
          <w:rFonts w:hint="eastAsia"/>
          <w:sz w:val="24"/>
        </w:rPr>
        <w:t>及</w:t>
      </w:r>
      <w:r>
        <w:rPr>
          <w:sz w:val="24"/>
        </w:rPr>
        <w:t>护壁泥浆配比、施工工艺、槽壁稳定等技术参数。</w:t>
      </w:r>
    </w:p>
    <w:p>
      <w:pPr>
        <w:spacing w:line="360" w:lineRule="auto"/>
        <w:rPr>
          <w:sz w:val="24"/>
        </w:rPr>
      </w:pPr>
      <w:r>
        <w:rPr>
          <w:b/>
          <w:sz w:val="24"/>
        </w:rPr>
        <w:t>5.11.1</w:t>
      </w:r>
      <w:r>
        <w:rPr>
          <w:rFonts w:hint="eastAsia"/>
          <w:b/>
          <w:sz w:val="24"/>
        </w:rPr>
        <w:t>6</w:t>
      </w:r>
      <w:r>
        <w:rPr>
          <w:b/>
          <w:sz w:val="24"/>
        </w:rPr>
        <w:t xml:space="preserve">  </w:t>
      </w:r>
      <w:r>
        <w:rPr>
          <w:sz w:val="24"/>
        </w:rPr>
        <w:t>护壁泥浆使用前应根据材料和地质条件进行试配，并进行室内性能试验，泥浆配合比宜按现场试验确定。新拌制的泥浆应经充分水化，贮放时间不应少于24h；成槽时泥浆的供应及处理系统应满足泥浆使用量的要求；槽段开挖结束后及钢筋笼入槽前，应对槽底泥浆和沉淀物进行置换。</w:t>
      </w:r>
    </w:p>
    <w:p>
      <w:pPr>
        <w:spacing w:line="360" w:lineRule="auto"/>
        <w:rPr>
          <w:sz w:val="24"/>
        </w:rPr>
      </w:pPr>
      <w:r>
        <w:rPr>
          <w:b/>
          <w:sz w:val="24"/>
        </w:rPr>
        <w:t>5.11.1</w:t>
      </w:r>
      <w:r>
        <w:rPr>
          <w:rFonts w:hint="eastAsia"/>
          <w:b/>
          <w:sz w:val="24"/>
        </w:rPr>
        <w:t>7</w:t>
      </w:r>
      <w:r>
        <w:rPr>
          <w:b/>
          <w:sz w:val="24"/>
        </w:rPr>
        <w:t xml:space="preserve">  </w:t>
      </w:r>
      <w:r>
        <w:rPr>
          <w:sz w:val="24"/>
        </w:rPr>
        <w:t>护壁泥浆</w:t>
      </w:r>
      <w:r>
        <w:rPr>
          <w:rFonts w:hint="eastAsia"/>
          <w:sz w:val="24"/>
        </w:rPr>
        <w:t>指标</w:t>
      </w:r>
      <w:r>
        <w:rPr>
          <w:sz w:val="24"/>
        </w:rPr>
        <w:t>应采用仪器进行检测，施工过程中应经常检测泥浆指标；成槽期间槽内泥浆面应高于地下水位500mm以上，且不应低于导墙顶面300mrn。</w:t>
      </w:r>
    </w:p>
    <w:p>
      <w:pPr>
        <w:spacing w:line="360" w:lineRule="auto"/>
        <w:rPr>
          <w:sz w:val="24"/>
        </w:rPr>
      </w:pPr>
      <w:r>
        <w:rPr>
          <w:b/>
          <w:sz w:val="24"/>
        </w:rPr>
        <w:t>5.11.1</w:t>
      </w:r>
      <w:r>
        <w:rPr>
          <w:rFonts w:hint="eastAsia"/>
          <w:b/>
          <w:sz w:val="24"/>
        </w:rPr>
        <w:t>8</w:t>
      </w:r>
      <w:r>
        <w:rPr>
          <w:b/>
          <w:sz w:val="24"/>
        </w:rPr>
        <w:t xml:space="preserve">  </w:t>
      </w:r>
      <w:r>
        <w:rPr>
          <w:sz w:val="24"/>
        </w:rPr>
        <w:t>基坑开挖深度范围内</w:t>
      </w:r>
      <w:r>
        <w:rPr>
          <w:rFonts w:hint="eastAsia"/>
          <w:sz w:val="24"/>
        </w:rPr>
        <w:t>软土、</w:t>
      </w:r>
      <w:r>
        <w:rPr>
          <w:sz w:val="24"/>
        </w:rPr>
        <w:t>粉土或砂土较厚时，宜采取调整泥浆配合比、槽壁预加固、预降水等措施提高槽壁稳定性。</w:t>
      </w:r>
    </w:p>
    <w:p>
      <w:pPr>
        <w:spacing w:line="360" w:lineRule="auto"/>
        <w:rPr>
          <w:sz w:val="24"/>
        </w:rPr>
      </w:pPr>
      <w:r>
        <w:rPr>
          <w:b/>
          <w:sz w:val="24"/>
        </w:rPr>
        <w:t>5.11.</w:t>
      </w:r>
      <w:r>
        <w:rPr>
          <w:rFonts w:hint="eastAsia"/>
          <w:b/>
          <w:sz w:val="24"/>
        </w:rPr>
        <w:t>19</w:t>
      </w:r>
      <w:r>
        <w:rPr>
          <w:b/>
          <w:sz w:val="24"/>
        </w:rPr>
        <w:t xml:space="preserve">  </w:t>
      </w:r>
      <w:r>
        <w:rPr>
          <w:sz w:val="24"/>
        </w:rPr>
        <w:t>地下连续墙成槽施工应符合下列要求:</w:t>
      </w:r>
    </w:p>
    <w:p>
      <w:pPr>
        <w:spacing w:line="360" w:lineRule="auto"/>
        <w:ind w:firstLine="480" w:firstLineChars="200"/>
        <w:jc w:val="left"/>
        <w:rPr>
          <w:sz w:val="24"/>
        </w:rPr>
      </w:pPr>
      <w:r>
        <w:rPr>
          <w:sz w:val="24"/>
        </w:rPr>
        <w:t>1  单元槽段长度应根据施工现场地质条件、成槽设备、槽壁稳定等因素确定，长度宜为4m～6m；</w:t>
      </w:r>
    </w:p>
    <w:p>
      <w:pPr>
        <w:spacing w:line="360" w:lineRule="auto"/>
        <w:ind w:firstLine="480" w:firstLineChars="200"/>
        <w:jc w:val="left"/>
        <w:rPr>
          <w:sz w:val="24"/>
        </w:rPr>
      </w:pPr>
      <w:r>
        <w:rPr>
          <w:sz w:val="24"/>
        </w:rPr>
        <w:t>2  单元槽段宜采用跳槽间隔施工顺序；</w:t>
      </w:r>
    </w:p>
    <w:p>
      <w:pPr>
        <w:spacing w:line="360" w:lineRule="auto"/>
        <w:ind w:firstLine="480" w:firstLineChars="200"/>
        <w:jc w:val="left"/>
        <w:rPr>
          <w:sz w:val="24"/>
        </w:rPr>
      </w:pPr>
      <w:r>
        <w:rPr>
          <w:sz w:val="24"/>
        </w:rPr>
        <w:t>3  每个单元槽段的挖槽分段不宜超过3个。</w:t>
      </w:r>
    </w:p>
    <w:p>
      <w:pPr>
        <w:spacing w:line="360" w:lineRule="auto"/>
        <w:rPr>
          <w:sz w:val="24"/>
        </w:rPr>
      </w:pPr>
      <w:r>
        <w:rPr>
          <w:b/>
          <w:sz w:val="24"/>
        </w:rPr>
        <w:t>5.11.2</w:t>
      </w:r>
      <w:r>
        <w:rPr>
          <w:rFonts w:hint="eastAsia"/>
          <w:b/>
          <w:sz w:val="24"/>
        </w:rPr>
        <w:t>0</w:t>
      </w:r>
      <w:r>
        <w:rPr>
          <w:b/>
          <w:sz w:val="24"/>
        </w:rPr>
        <w:t xml:space="preserve">  </w:t>
      </w:r>
      <w:r>
        <w:rPr>
          <w:sz w:val="24"/>
        </w:rPr>
        <w:t>槽段接头施工应符合下列要求：</w:t>
      </w:r>
    </w:p>
    <w:p>
      <w:pPr>
        <w:spacing w:line="360" w:lineRule="auto"/>
        <w:ind w:firstLine="480" w:firstLineChars="200"/>
        <w:jc w:val="left"/>
        <w:rPr>
          <w:sz w:val="24"/>
        </w:rPr>
      </w:pPr>
      <w:r>
        <w:rPr>
          <w:sz w:val="24"/>
        </w:rPr>
        <w:t>1  接头应满足混凝土浇筑时的强度、刚度和变形要求；</w:t>
      </w:r>
    </w:p>
    <w:p>
      <w:pPr>
        <w:spacing w:line="360" w:lineRule="auto"/>
        <w:ind w:firstLine="480" w:firstLineChars="200"/>
        <w:jc w:val="left"/>
        <w:rPr>
          <w:sz w:val="24"/>
        </w:rPr>
      </w:pPr>
      <w:r>
        <w:rPr>
          <w:sz w:val="24"/>
        </w:rPr>
        <w:t>2  混凝土槽段接头应在钢筋笼入槽前进行刷壁，清刷后的接头不得夹泥；接头安装时，应贴紧槽段垂直缓慢沉放至槽底；</w:t>
      </w:r>
    </w:p>
    <w:p>
      <w:pPr>
        <w:spacing w:line="360" w:lineRule="auto"/>
        <w:ind w:firstLine="480" w:firstLineChars="200"/>
        <w:jc w:val="left"/>
        <w:rPr>
          <w:sz w:val="24"/>
        </w:rPr>
      </w:pPr>
      <w:r>
        <w:rPr>
          <w:sz w:val="24"/>
        </w:rPr>
        <w:t>3  接头应在混凝土初凝至终凝过程中微量提动，并应根据初凝、终凝时间确定允许起拔时间和高度，按时限量起拔。</w:t>
      </w:r>
    </w:p>
    <w:p>
      <w:pPr>
        <w:spacing w:line="360" w:lineRule="auto"/>
        <w:rPr>
          <w:sz w:val="24"/>
        </w:rPr>
      </w:pPr>
      <w:r>
        <w:rPr>
          <w:b/>
          <w:sz w:val="24"/>
        </w:rPr>
        <w:t xml:space="preserve"> 5.11.2</w:t>
      </w:r>
      <w:r>
        <w:rPr>
          <w:rFonts w:hint="eastAsia"/>
          <w:b/>
          <w:sz w:val="24"/>
        </w:rPr>
        <w:t>1</w:t>
      </w:r>
      <w:r>
        <w:rPr>
          <w:b/>
          <w:sz w:val="24"/>
        </w:rPr>
        <w:t xml:space="preserve">  </w:t>
      </w:r>
      <w:r>
        <w:rPr>
          <w:sz w:val="24"/>
        </w:rPr>
        <w:t>钢筋笼制作和吊放应符合下列要求：</w:t>
      </w:r>
    </w:p>
    <w:p>
      <w:pPr>
        <w:spacing w:line="360" w:lineRule="auto"/>
        <w:ind w:firstLine="480" w:firstLineChars="200"/>
        <w:jc w:val="left"/>
        <w:rPr>
          <w:sz w:val="24"/>
        </w:rPr>
      </w:pPr>
      <w:r>
        <w:rPr>
          <w:sz w:val="24"/>
        </w:rPr>
        <w:t>1  钢筋笼制作场地应平整，平面尺寸应满足制作和拼装要求；</w:t>
      </w:r>
    </w:p>
    <w:p>
      <w:pPr>
        <w:spacing w:line="360" w:lineRule="auto"/>
        <w:ind w:firstLine="480" w:firstLineChars="200"/>
        <w:jc w:val="left"/>
        <w:rPr>
          <w:sz w:val="24"/>
        </w:rPr>
      </w:pPr>
      <w:r>
        <w:rPr>
          <w:sz w:val="24"/>
        </w:rPr>
        <w:t>2  采用分节吊放的钢筋笼应在制作场地进行预拼装成型；</w:t>
      </w:r>
    </w:p>
    <w:p>
      <w:pPr>
        <w:spacing w:line="360" w:lineRule="auto"/>
        <w:ind w:firstLine="480" w:firstLineChars="200"/>
        <w:jc w:val="left"/>
        <w:rPr>
          <w:sz w:val="24"/>
        </w:rPr>
      </w:pPr>
      <w:r>
        <w:rPr>
          <w:sz w:val="24"/>
        </w:rPr>
        <w:t>3  应设置纵横向桁架、剪刀撑等加强钢筋笼整体刚度的构造措施，钢筋笼整体吊放应进行安全验算；</w:t>
      </w:r>
    </w:p>
    <w:p>
      <w:pPr>
        <w:spacing w:line="360" w:lineRule="auto"/>
        <w:ind w:firstLine="480" w:firstLineChars="200"/>
        <w:jc w:val="left"/>
        <w:rPr>
          <w:sz w:val="24"/>
        </w:rPr>
      </w:pPr>
      <w:r>
        <w:rPr>
          <w:sz w:val="24"/>
        </w:rPr>
        <w:t>4  应对钢筋笼吊放的机具进行安全验算；</w:t>
      </w:r>
    </w:p>
    <w:p>
      <w:pPr>
        <w:spacing w:line="360" w:lineRule="auto"/>
        <w:ind w:firstLine="480" w:firstLineChars="200"/>
        <w:jc w:val="left"/>
        <w:rPr>
          <w:sz w:val="24"/>
        </w:rPr>
      </w:pPr>
      <w:r>
        <w:rPr>
          <w:sz w:val="24"/>
        </w:rPr>
        <w:t>5  钢筋笼吊筋的长度宜根据导墙标高确定；</w:t>
      </w:r>
    </w:p>
    <w:p>
      <w:pPr>
        <w:spacing w:line="360" w:lineRule="auto"/>
        <w:ind w:firstLine="480" w:firstLineChars="200"/>
        <w:jc w:val="left"/>
        <w:rPr>
          <w:sz w:val="24"/>
        </w:rPr>
      </w:pPr>
      <w:r>
        <w:rPr>
          <w:sz w:val="24"/>
        </w:rPr>
        <w:t>6  钢筋笼应设置保护层垫块，钢筋笼应在刷壁、清槽、泥浆置换完成后及时入槽。</w:t>
      </w:r>
    </w:p>
    <w:p>
      <w:pPr>
        <w:spacing w:line="360" w:lineRule="auto"/>
        <w:rPr>
          <w:sz w:val="24"/>
        </w:rPr>
      </w:pPr>
      <w:r>
        <w:rPr>
          <w:b/>
          <w:sz w:val="24"/>
        </w:rPr>
        <w:t>5.11.2</w:t>
      </w:r>
      <w:r>
        <w:rPr>
          <w:rFonts w:hint="eastAsia"/>
          <w:b/>
          <w:sz w:val="24"/>
        </w:rPr>
        <w:t>2</w:t>
      </w:r>
      <w:r>
        <w:rPr>
          <w:b/>
          <w:sz w:val="24"/>
        </w:rPr>
        <w:t xml:space="preserve">  </w:t>
      </w:r>
      <w:r>
        <w:rPr>
          <w:sz w:val="24"/>
        </w:rPr>
        <w:t>地下连续墙混凝土应采用导管法连续浇筑，并应符合下列要求：</w:t>
      </w:r>
    </w:p>
    <w:p>
      <w:pPr>
        <w:spacing w:line="360" w:lineRule="auto"/>
        <w:ind w:firstLine="480" w:firstLineChars="200"/>
        <w:jc w:val="left"/>
        <w:rPr>
          <w:sz w:val="24"/>
        </w:rPr>
      </w:pPr>
      <w:r>
        <w:rPr>
          <w:sz w:val="24"/>
        </w:rPr>
        <w:t>1  施工前导管接缝宜进行水密性试验，导管内应设置隔水栓；</w:t>
      </w:r>
    </w:p>
    <w:p>
      <w:pPr>
        <w:spacing w:line="360" w:lineRule="auto"/>
        <w:ind w:firstLine="480" w:firstLineChars="200"/>
        <w:jc w:val="left"/>
        <w:rPr>
          <w:sz w:val="24"/>
        </w:rPr>
      </w:pPr>
      <w:r>
        <w:rPr>
          <w:sz w:val="24"/>
        </w:rPr>
        <w:t>2  混凝土浇筑过程中导管埋入混凝土液面以下的深度宜为2m～4m；</w:t>
      </w:r>
    </w:p>
    <w:p>
      <w:pPr>
        <w:spacing w:line="360" w:lineRule="auto"/>
        <w:ind w:firstLine="480" w:firstLineChars="200"/>
        <w:jc w:val="left"/>
        <w:rPr>
          <w:sz w:val="24"/>
        </w:rPr>
      </w:pPr>
      <w:r>
        <w:rPr>
          <w:sz w:val="24"/>
        </w:rPr>
        <w:t>3  每根导管分担的浇筑面积宜均等，导管距槽段两侧端部不宜大于1.5m；</w:t>
      </w:r>
    </w:p>
    <w:p>
      <w:pPr>
        <w:spacing w:line="360" w:lineRule="auto"/>
        <w:ind w:firstLine="480" w:firstLineChars="200"/>
        <w:jc w:val="left"/>
        <w:rPr>
          <w:sz w:val="24"/>
        </w:rPr>
      </w:pPr>
      <w:r>
        <w:rPr>
          <w:sz w:val="24"/>
        </w:rPr>
        <w:t>4  浇筑上升速度不宜小于3m/h。</w:t>
      </w:r>
    </w:p>
    <w:p>
      <w:pPr>
        <w:spacing w:line="360" w:lineRule="auto"/>
        <w:rPr>
          <w:sz w:val="24"/>
        </w:rPr>
      </w:pPr>
      <w:r>
        <w:rPr>
          <w:b/>
          <w:sz w:val="24"/>
        </w:rPr>
        <w:t>5.11.2</w:t>
      </w:r>
      <w:r>
        <w:rPr>
          <w:rFonts w:hint="eastAsia"/>
          <w:b/>
          <w:sz w:val="24"/>
        </w:rPr>
        <w:t>3</w:t>
      </w:r>
      <w:r>
        <w:rPr>
          <w:b/>
          <w:sz w:val="24"/>
        </w:rPr>
        <w:t xml:space="preserve">  </w:t>
      </w:r>
      <w:r>
        <w:rPr>
          <w:sz w:val="24"/>
        </w:rPr>
        <w:t>地下连续墙的混凝土浇筑面宜高出设计标高500mm</w:t>
      </w:r>
      <w:r>
        <w:rPr>
          <w:rFonts w:hint="eastAsia"/>
          <w:sz w:val="24"/>
        </w:rPr>
        <w:t>，</w:t>
      </w:r>
      <w:r>
        <w:rPr>
          <w:sz w:val="24"/>
        </w:rPr>
        <w:t>凿去浮浆后的墙顶混凝土强度应满足设计要求</w:t>
      </w:r>
      <w:r>
        <w:rPr>
          <w:rFonts w:hint="eastAsia"/>
          <w:sz w:val="24"/>
        </w:rPr>
        <w:t>；</w:t>
      </w:r>
      <w:r>
        <w:rPr>
          <w:sz w:val="24"/>
        </w:rPr>
        <w:t>混凝土坍落度宜为180mm～220mm，初凝时间不宜小于8</w:t>
      </w:r>
      <w:r>
        <w:rPr>
          <w:rFonts w:hint="eastAsia"/>
          <w:sz w:val="24"/>
        </w:rPr>
        <w:t>小时；</w:t>
      </w:r>
      <w:r>
        <w:rPr>
          <w:sz w:val="24"/>
        </w:rPr>
        <w:t>混凝土强度应比设计墙身强度提高</w:t>
      </w:r>
      <w:r>
        <w:rPr>
          <w:rFonts w:hint="eastAsia"/>
          <w:sz w:val="24"/>
        </w:rPr>
        <w:t>一个强度</w:t>
      </w:r>
      <w:r>
        <w:rPr>
          <w:sz w:val="24"/>
        </w:rPr>
        <w:t>等级进行配制。</w:t>
      </w:r>
    </w:p>
    <w:p>
      <w:pPr>
        <w:spacing w:line="360" w:lineRule="auto"/>
        <w:rPr>
          <w:sz w:val="24"/>
        </w:rPr>
      </w:pPr>
      <w:r>
        <w:rPr>
          <w:b/>
          <w:sz w:val="24"/>
        </w:rPr>
        <w:t>5.11.2</w:t>
      </w:r>
      <w:r>
        <w:rPr>
          <w:rFonts w:hint="eastAsia"/>
          <w:b/>
          <w:sz w:val="24"/>
        </w:rPr>
        <w:t>4</w:t>
      </w:r>
      <w:r>
        <w:rPr>
          <w:b/>
          <w:sz w:val="24"/>
        </w:rPr>
        <w:t xml:space="preserve">  </w:t>
      </w:r>
      <w:r>
        <w:rPr>
          <w:sz w:val="24"/>
        </w:rPr>
        <w:t>采用墙底注浆时，应符合行业标准《建筑桩基</w:t>
      </w:r>
      <w:r>
        <w:rPr>
          <w:rFonts w:hint="eastAsia"/>
          <w:sz w:val="24"/>
        </w:rPr>
        <w:t>技术</w:t>
      </w:r>
      <w:r>
        <w:rPr>
          <w:sz w:val="24"/>
        </w:rPr>
        <w:t>规范》JGJ94中关于灌注桩后注浆的要求。</w:t>
      </w:r>
    </w:p>
    <w:p>
      <w:pPr>
        <w:spacing w:line="360" w:lineRule="auto"/>
        <w:jc w:val="center"/>
        <w:outlineLvl w:val="1"/>
        <w:rPr>
          <w:b/>
          <w:sz w:val="24"/>
        </w:rPr>
      </w:pPr>
      <w:bookmarkStart w:id="67" w:name="_Toc87018274"/>
      <w:bookmarkStart w:id="68" w:name="_Toc87018343"/>
      <w:r>
        <w:rPr>
          <w:b/>
          <w:sz w:val="24"/>
        </w:rPr>
        <w:t>5.12  坡率法</w:t>
      </w:r>
      <w:bookmarkEnd w:id="67"/>
      <w:bookmarkEnd w:id="68"/>
    </w:p>
    <w:p>
      <w:pPr>
        <w:spacing w:line="360" w:lineRule="auto"/>
        <w:jc w:val="left"/>
        <w:rPr>
          <w:sz w:val="24"/>
        </w:rPr>
      </w:pPr>
      <w:r>
        <w:rPr>
          <w:b/>
          <w:sz w:val="24"/>
        </w:rPr>
        <w:t xml:space="preserve">5.12.1  </w:t>
      </w:r>
      <w:r>
        <w:rPr>
          <w:sz w:val="24"/>
        </w:rPr>
        <w:t>坡率法适用范围</w:t>
      </w:r>
    </w:p>
    <w:p>
      <w:pPr>
        <w:spacing w:line="360" w:lineRule="auto"/>
        <w:ind w:firstLine="480" w:firstLineChars="200"/>
        <w:jc w:val="left"/>
        <w:rPr>
          <w:sz w:val="24"/>
        </w:rPr>
      </w:pPr>
      <w:r>
        <w:rPr>
          <w:sz w:val="24"/>
        </w:rPr>
        <w:t xml:space="preserve">1  </w:t>
      </w:r>
      <w:r>
        <w:rPr>
          <w:rFonts w:hint="eastAsia"/>
          <w:sz w:val="24"/>
        </w:rPr>
        <w:t>场地具备</w:t>
      </w:r>
      <w:r>
        <w:rPr>
          <w:sz w:val="24"/>
        </w:rPr>
        <w:t>放坡条件且能保证周边环境</w:t>
      </w:r>
      <w:r>
        <w:rPr>
          <w:rFonts w:hint="eastAsia"/>
          <w:sz w:val="24"/>
        </w:rPr>
        <w:t>安全</w:t>
      </w:r>
      <w:r>
        <w:rPr>
          <w:sz w:val="24"/>
        </w:rPr>
        <w:t>；</w:t>
      </w:r>
    </w:p>
    <w:p>
      <w:pPr>
        <w:spacing w:line="360" w:lineRule="auto"/>
        <w:ind w:firstLine="480" w:firstLineChars="200"/>
        <w:jc w:val="left"/>
        <w:rPr>
          <w:sz w:val="24"/>
        </w:rPr>
      </w:pPr>
      <w:r>
        <w:rPr>
          <w:sz w:val="24"/>
        </w:rPr>
        <w:t>2  开挖面以上无地下水或采取措施</w:t>
      </w:r>
      <w:r>
        <w:rPr>
          <w:rFonts w:hint="eastAsia"/>
          <w:sz w:val="24"/>
        </w:rPr>
        <w:t>可控制地下水的影响</w:t>
      </w:r>
      <w:r>
        <w:rPr>
          <w:sz w:val="24"/>
        </w:rPr>
        <w:t>；</w:t>
      </w:r>
    </w:p>
    <w:p>
      <w:pPr>
        <w:spacing w:line="360" w:lineRule="auto"/>
        <w:ind w:firstLine="480" w:firstLineChars="200"/>
        <w:jc w:val="left"/>
        <w:rPr>
          <w:sz w:val="24"/>
        </w:rPr>
      </w:pPr>
      <w:r>
        <w:rPr>
          <w:sz w:val="24"/>
        </w:rPr>
        <w:t>3  对淤泥</w:t>
      </w:r>
      <w:r>
        <w:rPr>
          <w:rFonts w:hint="eastAsia"/>
          <w:sz w:val="24"/>
        </w:rPr>
        <w:t>、</w:t>
      </w:r>
      <w:r>
        <w:rPr>
          <w:sz w:val="24"/>
        </w:rPr>
        <w:t>淤泥质土</w:t>
      </w:r>
      <w:r>
        <w:rPr>
          <w:rFonts w:hint="eastAsia"/>
          <w:sz w:val="24"/>
        </w:rPr>
        <w:t>、泥炭、泥炭质土</w:t>
      </w:r>
      <w:r>
        <w:rPr>
          <w:sz w:val="24"/>
        </w:rPr>
        <w:t>等软土场地，不宜采用坡率法；</w:t>
      </w:r>
    </w:p>
    <w:p>
      <w:pPr>
        <w:spacing w:line="360" w:lineRule="auto"/>
        <w:ind w:firstLine="480" w:firstLineChars="200"/>
        <w:jc w:val="left"/>
        <w:rPr>
          <w:sz w:val="24"/>
        </w:rPr>
      </w:pPr>
      <w:r>
        <w:rPr>
          <w:sz w:val="24"/>
        </w:rPr>
        <w:t xml:space="preserve">4  </w:t>
      </w:r>
      <w:r>
        <w:rPr>
          <w:rFonts w:hint="eastAsia"/>
          <w:sz w:val="24"/>
        </w:rPr>
        <w:t>放坡可单独使用，也</w:t>
      </w:r>
      <w:r>
        <w:rPr>
          <w:sz w:val="24"/>
        </w:rPr>
        <w:t>可</w:t>
      </w:r>
      <w:r>
        <w:rPr>
          <w:rFonts w:hint="eastAsia"/>
          <w:sz w:val="24"/>
        </w:rPr>
        <w:t>和</w:t>
      </w:r>
      <w:r>
        <w:rPr>
          <w:sz w:val="24"/>
        </w:rPr>
        <w:t>其它支护</w:t>
      </w:r>
      <w:r>
        <w:rPr>
          <w:rFonts w:hint="eastAsia"/>
          <w:sz w:val="24"/>
        </w:rPr>
        <w:t>型式</w:t>
      </w:r>
      <w:r>
        <w:rPr>
          <w:sz w:val="24"/>
        </w:rPr>
        <w:t>联合使用。</w:t>
      </w:r>
    </w:p>
    <w:p>
      <w:pPr>
        <w:spacing w:line="360" w:lineRule="auto"/>
        <w:jc w:val="left"/>
        <w:rPr>
          <w:b/>
          <w:sz w:val="24"/>
        </w:rPr>
      </w:pPr>
      <w:r>
        <w:rPr>
          <w:b/>
          <w:sz w:val="24"/>
        </w:rPr>
        <w:t xml:space="preserve">5.12.2  </w:t>
      </w:r>
      <w:r>
        <w:rPr>
          <w:sz w:val="24"/>
        </w:rPr>
        <w:t>坡率法的设计计算与验算</w:t>
      </w:r>
    </w:p>
    <w:p>
      <w:pPr>
        <w:spacing w:line="360" w:lineRule="auto"/>
        <w:ind w:firstLine="588"/>
        <w:jc w:val="left"/>
        <w:rPr>
          <w:sz w:val="24"/>
        </w:rPr>
      </w:pPr>
      <w:r>
        <w:rPr>
          <w:sz w:val="24"/>
        </w:rPr>
        <w:t>1  坡率法开挖的基坑应验算边坡的整体稳定性</w:t>
      </w:r>
      <w:r>
        <w:rPr>
          <w:rFonts w:hint="eastAsia"/>
          <w:sz w:val="24"/>
        </w:rPr>
        <w:t>、</w:t>
      </w:r>
      <w:r>
        <w:rPr>
          <w:sz w:val="24"/>
        </w:rPr>
        <w:t>抗隆起稳定性，对多级边坡尚应验算各级边坡的稳定性；</w:t>
      </w:r>
    </w:p>
    <w:p>
      <w:pPr>
        <w:spacing w:line="360" w:lineRule="auto"/>
        <w:ind w:firstLine="480" w:firstLineChars="200"/>
        <w:jc w:val="left"/>
        <w:rPr>
          <w:sz w:val="24"/>
        </w:rPr>
      </w:pPr>
      <w:r>
        <w:rPr>
          <w:sz w:val="24"/>
        </w:rPr>
        <w:t>2  土质边坡宜按圆弧滑动条分法验算，稳定安全系数不应小于1.25；</w:t>
      </w:r>
    </w:p>
    <w:p>
      <w:pPr>
        <w:spacing w:line="360" w:lineRule="auto"/>
        <w:ind w:firstLine="480" w:firstLineChars="200"/>
        <w:jc w:val="left"/>
        <w:rPr>
          <w:sz w:val="24"/>
        </w:rPr>
      </w:pPr>
      <w:r>
        <w:rPr>
          <w:sz w:val="24"/>
        </w:rPr>
        <w:t xml:space="preserve">3  </w:t>
      </w:r>
      <w:r>
        <w:rPr>
          <w:rFonts w:hint="eastAsia"/>
          <w:sz w:val="24"/>
        </w:rPr>
        <w:t>抗</w:t>
      </w:r>
      <w:r>
        <w:rPr>
          <w:sz w:val="24"/>
        </w:rPr>
        <w:t>隆起稳定性验算，可参照本规程第5.4.</w:t>
      </w:r>
      <w:r>
        <w:rPr>
          <w:rFonts w:hint="eastAsia"/>
          <w:sz w:val="24"/>
        </w:rPr>
        <w:t>3</w:t>
      </w:r>
      <w:r>
        <w:rPr>
          <w:sz w:val="24"/>
        </w:rPr>
        <w:t>条，安全系数不应小于1.4；</w:t>
      </w:r>
    </w:p>
    <w:p>
      <w:pPr>
        <w:spacing w:line="360" w:lineRule="auto"/>
        <w:ind w:firstLine="480" w:firstLineChars="200"/>
        <w:jc w:val="left"/>
        <w:rPr>
          <w:sz w:val="24"/>
        </w:rPr>
      </w:pPr>
      <w:r>
        <w:rPr>
          <w:sz w:val="24"/>
        </w:rPr>
        <w:t>4  坡率值</w:t>
      </w:r>
      <w:r>
        <w:rPr>
          <w:rFonts w:hint="eastAsia"/>
          <w:sz w:val="24"/>
        </w:rPr>
        <w:t>也可</w:t>
      </w:r>
      <w:r>
        <w:rPr>
          <w:sz w:val="24"/>
        </w:rPr>
        <w:t>按工程类比的原则，结合邻近已有类似工程稳定坡率值分析确定</w:t>
      </w:r>
      <w:r>
        <w:rPr>
          <w:rFonts w:hint="eastAsia"/>
          <w:sz w:val="24"/>
        </w:rPr>
        <w:t>。</w:t>
      </w:r>
    </w:p>
    <w:p>
      <w:pPr>
        <w:spacing w:line="360" w:lineRule="auto"/>
        <w:jc w:val="left"/>
        <w:rPr>
          <w:sz w:val="24"/>
        </w:rPr>
      </w:pPr>
      <w:r>
        <w:rPr>
          <w:b/>
          <w:sz w:val="24"/>
        </w:rPr>
        <w:t xml:space="preserve">5.12.3  </w:t>
      </w:r>
      <w:r>
        <w:rPr>
          <w:sz w:val="24"/>
        </w:rPr>
        <w:t>坡率法的边坡构造要求：</w:t>
      </w:r>
    </w:p>
    <w:p>
      <w:pPr>
        <w:spacing w:line="360" w:lineRule="auto"/>
        <w:rPr>
          <w:sz w:val="24"/>
        </w:rPr>
      </w:pPr>
      <w:r>
        <w:rPr>
          <w:sz w:val="24"/>
        </w:rPr>
        <w:t xml:space="preserve">    1  当土质边坡高度超过4m、岩</w:t>
      </w:r>
      <w:r>
        <w:rPr>
          <w:rFonts w:hint="eastAsia"/>
          <w:sz w:val="24"/>
        </w:rPr>
        <w:t>质</w:t>
      </w:r>
      <w:r>
        <w:rPr>
          <w:sz w:val="24"/>
        </w:rPr>
        <w:t>边坡高度超过8m时，宜采用分级坡率法；各级边坡之间应设置过渡平台，土质边坡过渡平台宽度不宜小于1.5m，岩质边坡过渡平台宽度不宜小于1.0m；</w:t>
      </w:r>
    </w:p>
    <w:p>
      <w:pPr>
        <w:spacing w:line="360" w:lineRule="auto"/>
        <w:ind w:firstLine="600"/>
        <w:rPr>
          <w:sz w:val="24"/>
        </w:rPr>
      </w:pPr>
      <w:r>
        <w:rPr>
          <w:sz w:val="24"/>
        </w:rPr>
        <w:t>2  对土质边坡或</w:t>
      </w:r>
      <w:r>
        <w:rPr>
          <w:rFonts w:hint="eastAsia"/>
          <w:sz w:val="24"/>
        </w:rPr>
        <w:t>遇水易</w:t>
      </w:r>
      <w:r>
        <w:rPr>
          <w:sz w:val="24"/>
        </w:rPr>
        <w:t>软化的岩质边坡，坡顶</w:t>
      </w:r>
      <w:r>
        <w:rPr>
          <w:rFonts w:hint="eastAsia"/>
          <w:sz w:val="24"/>
        </w:rPr>
        <w:t>宜</w:t>
      </w:r>
      <w:r>
        <w:rPr>
          <w:sz w:val="24"/>
        </w:rPr>
        <w:t>做成向外倾斜的地面，</w:t>
      </w:r>
      <w:r>
        <w:rPr>
          <w:rFonts w:hint="eastAsia"/>
          <w:sz w:val="24"/>
        </w:rPr>
        <w:t>宽</w:t>
      </w:r>
      <w:r>
        <w:rPr>
          <w:sz w:val="24"/>
        </w:rPr>
        <w:t>度不小于1m；坡面、坡顶可采用水泥砂浆抹面或挂网喷射混凝土</w:t>
      </w:r>
      <w:r>
        <w:rPr>
          <w:rFonts w:hint="eastAsia"/>
          <w:sz w:val="24"/>
        </w:rPr>
        <w:t>护面</w:t>
      </w:r>
      <w:r>
        <w:rPr>
          <w:sz w:val="24"/>
        </w:rPr>
        <w:t>等措施；</w:t>
      </w:r>
    </w:p>
    <w:p>
      <w:pPr>
        <w:spacing w:line="360" w:lineRule="auto"/>
        <w:ind w:firstLine="600"/>
        <w:rPr>
          <w:sz w:val="24"/>
        </w:rPr>
      </w:pPr>
      <w:r>
        <w:rPr>
          <w:sz w:val="24"/>
        </w:rPr>
        <w:t>3  边坡坡顶应设置截</w:t>
      </w:r>
      <w:r>
        <w:rPr>
          <w:rFonts w:hint="eastAsia"/>
          <w:sz w:val="24"/>
        </w:rPr>
        <w:t>、排</w:t>
      </w:r>
      <w:r>
        <w:rPr>
          <w:sz w:val="24"/>
        </w:rPr>
        <w:t>水沟，坡面应设置泄水孔，泄水孔直径</w:t>
      </w:r>
      <w:r>
        <w:rPr>
          <w:rFonts w:hint="eastAsia"/>
          <w:sz w:val="24"/>
        </w:rPr>
        <w:t>不小于</w:t>
      </w:r>
      <w:r>
        <w:rPr>
          <w:sz w:val="24"/>
        </w:rPr>
        <w:t>50</w:t>
      </w:r>
      <w:r>
        <w:rPr>
          <w:rFonts w:hint="eastAsia"/>
          <w:sz w:val="24"/>
        </w:rPr>
        <w:t>mm</w:t>
      </w:r>
      <w:r>
        <w:rPr>
          <w:sz w:val="24"/>
        </w:rPr>
        <w:t>，间距</w:t>
      </w:r>
      <w:r>
        <w:rPr>
          <w:rFonts w:hint="eastAsia"/>
          <w:sz w:val="24"/>
        </w:rPr>
        <w:t>不宜大于</w:t>
      </w:r>
      <w:r>
        <w:rPr>
          <w:sz w:val="24"/>
        </w:rPr>
        <w:t>2.5 m×2.5m，基坑底应设置排水沟和集水井；</w:t>
      </w:r>
    </w:p>
    <w:p>
      <w:pPr>
        <w:spacing w:line="360" w:lineRule="auto"/>
        <w:ind w:firstLine="600"/>
        <w:rPr>
          <w:sz w:val="24"/>
        </w:rPr>
      </w:pPr>
      <w:r>
        <w:rPr>
          <w:sz w:val="24"/>
        </w:rPr>
        <w:t xml:space="preserve">4  </w:t>
      </w:r>
      <w:r>
        <w:rPr>
          <w:rFonts w:hint="eastAsia"/>
          <w:sz w:val="24"/>
        </w:rPr>
        <w:t>面层构造要求：</w:t>
      </w:r>
    </w:p>
    <w:p>
      <w:pPr>
        <w:spacing w:line="360" w:lineRule="auto"/>
        <w:ind w:left="1095" w:leftChars="350" w:hanging="360" w:hangingChars="150"/>
        <w:rPr>
          <w:sz w:val="24"/>
        </w:rPr>
      </w:pPr>
      <w:r>
        <w:rPr>
          <w:sz w:val="24"/>
        </w:rPr>
        <w:t>1）水泥砂浆面层厚度</w:t>
      </w:r>
      <w:r>
        <w:rPr>
          <w:rFonts w:hint="eastAsia"/>
          <w:sz w:val="24"/>
        </w:rPr>
        <w:t>50</w:t>
      </w:r>
      <w:r>
        <w:rPr>
          <w:sz w:val="24"/>
        </w:rPr>
        <w:t>mm～</w:t>
      </w:r>
      <w:r>
        <w:rPr>
          <w:rFonts w:hint="eastAsia"/>
          <w:sz w:val="24"/>
        </w:rPr>
        <w:t>6</w:t>
      </w:r>
      <w:r>
        <w:rPr>
          <w:sz w:val="24"/>
        </w:rPr>
        <w:t>0mm</w:t>
      </w:r>
      <w:r>
        <w:rPr>
          <w:rFonts w:hint="eastAsia"/>
          <w:sz w:val="24"/>
        </w:rPr>
        <w:t>，</w:t>
      </w:r>
      <w:r>
        <w:rPr>
          <w:sz w:val="24"/>
        </w:rPr>
        <w:t>喷射混凝土面层厚度50～80mm；</w:t>
      </w:r>
    </w:p>
    <w:p>
      <w:pPr>
        <w:spacing w:line="360" w:lineRule="auto"/>
        <w:ind w:left="1095" w:leftChars="350" w:hanging="360" w:hangingChars="150"/>
        <w:rPr>
          <w:sz w:val="24"/>
        </w:rPr>
      </w:pPr>
      <w:r>
        <w:rPr>
          <w:rFonts w:hint="eastAsia"/>
          <w:sz w:val="24"/>
        </w:rPr>
        <w:t>2</w:t>
      </w:r>
      <w:r>
        <w:rPr>
          <w:sz w:val="24"/>
        </w:rPr>
        <w:t>）水泥砂浆强度等级不宜低于M25</w:t>
      </w:r>
      <w:r>
        <w:rPr>
          <w:rFonts w:hint="eastAsia"/>
          <w:sz w:val="24"/>
        </w:rPr>
        <w:t>，</w:t>
      </w:r>
      <w:r>
        <w:rPr>
          <w:sz w:val="24"/>
        </w:rPr>
        <w:t>喷射混凝</w:t>
      </w:r>
      <w:r>
        <w:rPr>
          <w:rFonts w:hint="eastAsia"/>
          <w:sz w:val="24"/>
        </w:rPr>
        <w:t>土</w:t>
      </w:r>
      <w:r>
        <w:rPr>
          <w:sz w:val="24"/>
        </w:rPr>
        <w:t>强度等级不宜低于C20；</w:t>
      </w:r>
    </w:p>
    <w:p>
      <w:pPr>
        <w:spacing w:line="360" w:lineRule="auto"/>
        <w:ind w:left="1095" w:leftChars="350" w:hanging="360" w:hangingChars="150"/>
        <w:jc w:val="left"/>
        <w:rPr>
          <w:sz w:val="24"/>
        </w:rPr>
      </w:pPr>
      <w:r>
        <w:rPr>
          <w:sz w:val="24"/>
        </w:rPr>
        <w:t>3）</w:t>
      </w:r>
      <w:r>
        <w:rPr>
          <w:rFonts w:hint="eastAsia"/>
          <w:sz w:val="24"/>
        </w:rPr>
        <w:t>挂网时</w:t>
      </w:r>
      <w:r>
        <w:rPr>
          <w:sz w:val="24"/>
        </w:rPr>
        <w:t>钢</w:t>
      </w:r>
      <w:r>
        <w:rPr>
          <w:rFonts w:hint="eastAsia"/>
          <w:sz w:val="24"/>
        </w:rPr>
        <w:t>筋</w:t>
      </w:r>
      <w:r>
        <w:rPr>
          <w:sz w:val="24"/>
        </w:rPr>
        <w:t>或钢丝网网孔</w:t>
      </w:r>
      <w:r>
        <w:rPr>
          <w:rFonts w:hint="eastAsia"/>
          <w:sz w:val="24"/>
        </w:rPr>
        <w:t>间距20</w:t>
      </w:r>
      <w:r>
        <w:rPr>
          <w:sz w:val="24"/>
        </w:rPr>
        <w:t>0mm～2</w:t>
      </w:r>
      <w:r>
        <w:rPr>
          <w:rFonts w:hint="eastAsia"/>
          <w:sz w:val="24"/>
        </w:rPr>
        <w:t>5</w:t>
      </w:r>
      <w:r>
        <w:rPr>
          <w:sz w:val="24"/>
        </w:rPr>
        <w:t>0mm</w:t>
      </w:r>
      <w:r>
        <w:rPr>
          <w:rFonts w:hint="eastAsia"/>
          <w:sz w:val="24"/>
        </w:rPr>
        <w:t>，</w:t>
      </w:r>
      <w:r>
        <w:rPr>
          <w:sz w:val="24"/>
        </w:rPr>
        <w:t>用</w:t>
      </w:r>
      <w:r>
        <w:rPr>
          <w:rFonts w:hint="eastAsia"/>
          <w:sz w:val="24"/>
        </w:rPr>
        <w:t>长度</w:t>
      </w:r>
      <w:r>
        <w:rPr>
          <w:sz w:val="24"/>
        </w:rPr>
        <w:t>0.5m～1.0m</w:t>
      </w:r>
      <w:r>
        <w:rPr>
          <w:rFonts w:hint="eastAsia"/>
          <w:sz w:val="24"/>
        </w:rPr>
        <w:t>钢筋钉</w:t>
      </w:r>
      <w:r>
        <w:rPr>
          <w:sz w:val="24"/>
        </w:rPr>
        <w:t>固定。</w:t>
      </w:r>
    </w:p>
    <w:p>
      <w:pPr>
        <w:spacing w:line="360" w:lineRule="auto"/>
        <w:jc w:val="left"/>
        <w:rPr>
          <w:sz w:val="24"/>
        </w:rPr>
      </w:pPr>
      <w:r>
        <w:rPr>
          <w:b/>
          <w:sz w:val="24"/>
        </w:rPr>
        <w:t xml:space="preserve">5.12.4  </w:t>
      </w:r>
      <w:r>
        <w:rPr>
          <w:sz w:val="24"/>
        </w:rPr>
        <w:t>坡率法施工控制要点：</w:t>
      </w:r>
    </w:p>
    <w:p>
      <w:pPr>
        <w:spacing w:line="360" w:lineRule="auto"/>
        <w:ind w:firstLine="480" w:firstLineChars="200"/>
        <w:jc w:val="left"/>
        <w:rPr>
          <w:sz w:val="24"/>
        </w:rPr>
      </w:pPr>
      <w:r>
        <w:rPr>
          <w:sz w:val="24"/>
        </w:rPr>
        <w:t>1  基坑开挖过程中，应注意坡体</w:t>
      </w:r>
      <w:r>
        <w:rPr>
          <w:rFonts w:hint="eastAsia"/>
          <w:sz w:val="24"/>
        </w:rPr>
        <w:t>地层</w:t>
      </w:r>
      <w:r>
        <w:rPr>
          <w:sz w:val="24"/>
        </w:rPr>
        <w:t>的变化，并根据实际</w:t>
      </w:r>
      <w:r>
        <w:rPr>
          <w:rFonts w:hint="eastAsia"/>
          <w:sz w:val="24"/>
        </w:rPr>
        <w:t>地层</w:t>
      </w:r>
      <w:r>
        <w:rPr>
          <w:sz w:val="24"/>
        </w:rPr>
        <w:t>情况及时调整设计；</w:t>
      </w:r>
    </w:p>
    <w:p>
      <w:pPr>
        <w:spacing w:line="360" w:lineRule="auto"/>
        <w:ind w:firstLine="480" w:firstLineChars="200"/>
        <w:jc w:val="left"/>
        <w:rPr>
          <w:sz w:val="24"/>
        </w:rPr>
      </w:pPr>
      <w:r>
        <w:rPr>
          <w:rFonts w:hint="eastAsia"/>
          <w:sz w:val="24"/>
        </w:rPr>
        <w:t>2</w:t>
      </w:r>
      <w:r>
        <w:rPr>
          <w:sz w:val="24"/>
        </w:rPr>
        <w:t xml:space="preserve">  基坑开挖后，应及时修整坡面并做好护面和坡面泄水孔</w:t>
      </w:r>
      <w:r>
        <w:rPr>
          <w:rFonts w:hint="eastAsia"/>
          <w:sz w:val="24"/>
        </w:rPr>
        <w:t>；</w:t>
      </w:r>
    </w:p>
    <w:p>
      <w:pPr>
        <w:spacing w:line="360" w:lineRule="auto"/>
        <w:ind w:firstLine="480" w:firstLineChars="200"/>
        <w:jc w:val="left"/>
        <w:rPr>
          <w:sz w:val="24"/>
        </w:rPr>
      </w:pPr>
      <w:r>
        <w:rPr>
          <w:rFonts w:hint="eastAsia"/>
          <w:sz w:val="24"/>
        </w:rPr>
        <w:t>3</w:t>
      </w:r>
      <w:r>
        <w:rPr>
          <w:sz w:val="24"/>
        </w:rPr>
        <w:t xml:space="preserve">  喷射混凝土面层</w:t>
      </w:r>
      <w:r>
        <w:rPr>
          <w:rFonts w:hint="eastAsia"/>
          <w:sz w:val="24"/>
        </w:rPr>
        <w:t>施工应按本规程5.8.4条规定执行。</w:t>
      </w:r>
    </w:p>
    <w:p>
      <w:pPr>
        <w:spacing w:line="360" w:lineRule="auto"/>
        <w:jc w:val="center"/>
        <w:outlineLvl w:val="1"/>
        <w:rPr>
          <w:b/>
          <w:sz w:val="24"/>
        </w:rPr>
      </w:pPr>
      <w:bookmarkStart w:id="69" w:name="_Toc87018344"/>
      <w:bookmarkStart w:id="70" w:name="_Toc87018275"/>
      <w:r>
        <w:rPr>
          <w:b/>
          <w:sz w:val="24"/>
        </w:rPr>
        <w:t>5.13  逆作法</w:t>
      </w:r>
      <w:bookmarkEnd w:id="69"/>
      <w:bookmarkEnd w:id="70"/>
    </w:p>
    <w:p>
      <w:pPr>
        <w:pStyle w:val="79"/>
        <w:widowControl/>
        <w:tabs>
          <w:tab w:val="left" w:pos="0"/>
        </w:tabs>
        <w:spacing w:line="360" w:lineRule="auto"/>
        <w:ind w:firstLine="0" w:firstLineChars="0"/>
        <w:jc w:val="left"/>
        <w:rPr>
          <w:rStyle w:val="36"/>
          <w:rFonts w:ascii="Times New Roman" w:hAnsi="Times New Roman"/>
          <w:sz w:val="24"/>
        </w:rPr>
      </w:pPr>
      <w:bookmarkStart w:id="71" w:name="OLE_LINK4"/>
      <w:r>
        <w:rPr>
          <w:rFonts w:ascii="Times New Roman" w:hAnsi="Times New Roman"/>
          <w:b/>
          <w:bCs/>
          <w:sz w:val="24"/>
        </w:rPr>
        <w:t xml:space="preserve">5.13.1  </w:t>
      </w:r>
      <w:r>
        <w:rPr>
          <w:rStyle w:val="36"/>
          <w:rFonts w:ascii="Times New Roman" w:hAnsi="Times New Roman"/>
          <w:sz w:val="24"/>
        </w:rPr>
        <w:t>逆作法的适用范围：</w:t>
      </w:r>
    </w:p>
    <w:bookmarkEnd w:id="71"/>
    <w:p>
      <w:pPr>
        <w:tabs>
          <w:tab w:val="left" w:pos="0"/>
          <w:tab w:val="left" w:pos="420"/>
        </w:tabs>
        <w:spacing w:line="360" w:lineRule="auto"/>
        <w:ind w:firstLine="480" w:firstLineChars="200"/>
        <w:jc w:val="left"/>
        <w:rPr>
          <w:sz w:val="24"/>
        </w:rPr>
      </w:pPr>
      <w:r>
        <w:rPr>
          <w:sz w:val="24"/>
        </w:rPr>
        <w:t>1</w:t>
      </w:r>
      <w:r>
        <w:rPr>
          <w:rFonts w:hint="eastAsia"/>
          <w:sz w:val="24"/>
        </w:rPr>
        <w:t xml:space="preserve">  </w:t>
      </w:r>
      <w:r>
        <w:rPr>
          <w:sz w:val="24"/>
        </w:rPr>
        <w:t>逆作</w:t>
      </w:r>
      <w:r>
        <w:rPr>
          <w:rFonts w:hint="eastAsia"/>
          <w:sz w:val="24"/>
        </w:rPr>
        <w:t>法</w:t>
      </w:r>
      <w:r>
        <w:rPr>
          <w:sz w:val="24"/>
        </w:rPr>
        <w:t>包括全逆作法、</w:t>
      </w:r>
      <w:r>
        <w:rPr>
          <w:rFonts w:hint="eastAsia"/>
          <w:sz w:val="24"/>
        </w:rPr>
        <w:t>半</w:t>
      </w:r>
      <w:r>
        <w:rPr>
          <w:sz w:val="24"/>
        </w:rPr>
        <w:t>逆作法；</w:t>
      </w:r>
    </w:p>
    <w:p>
      <w:pPr>
        <w:pStyle w:val="79"/>
        <w:tabs>
          <w:tab w:val="left" w:pos="0"/>
          <w:tab w:val="left" w:pos="420"/>
        </w:tabs>
        <w:spacing w:line="360" w:lineRule="auto"/>
        <w:ind w:firstLine="480"/>
        <w:jc w:val="left"/>
        <w:rPr>
          <w:rFonts w:ascii="Times New Roman" w:hAnsi="Times New Roman"/>
          <w:sz w:val="24"/>
        </w:rPr>
      </w:pPr>
      <w:r>
        <w:rPr>
          <w:rFonts w:ascii="Times New Roman" w:hAnsi="Times New Roman"/>
          <w:sz w:val="24"/>
        </w:rPr>
        <w:t>2  逆作法的设计与施工应综合考虑工程特点、工程地质与水文地质条件、周边环境条件与保护要求，并与地下水控制、土方挖运等密切结合；</w:t>
      </w:r>
    </w:p>
    <w:p>
      <w:pPr>
        <w:tabs>
          <w:tab w:val="left" w:pos="0"/>
          <w:tab w:val="left" w:pos="420"/>
        </w:tabs>
        <w:spacing w:line="360" w:lineRule="auto"/>
        <w:ind w:firstLine="480" w:firstLineChars="200"/>
        <w:jc w:val="left"/>
        <w:rPr>
          <w:sz w:val="24"/>
        </w:rPr>
      </w:pPr>
      <w:r>
        <w:rPr>
          <w:sz w:val="24"/>
        </w:rPr>
        <w:t xml:space="preserve">3  </w:t>
      </w:r>
      <w:r>
        <w:rPr>
          <w:rFonts w:hint="eastAsia"/>
          <w:sz w:val="24"/>
        </w:rPr>
        <w:t>对于</w:t>
      </w:r>
      <w:r>
        <w:rPr>
          <w:sz w:val="24"/>
        </w:rPr>
        <w:t>环境保护要求高或有特殊要求等情况下的基坑工程，可采用逆作法施工。</w:t>
      </w:r>
    </w:p>
    <w:p>
      <w:pPr>
        <w:pStyle w:val="79"/>
        <w:widowControl/>
        <w:tabs>
          <w:tab w:val="left" w:pos="0"/>
        </w:tabs>
        <w:spacing w:line="360" w:lineRule="auto"/>
        <w:ind w:firstLine="0" w:firstLineChars="0"/>
        <w:jc w:val="left"/>
        <w:rPr>
          <w:rStyle w:val="36"/>
          <w:rFonts w:ascii="Times New Roman" w:hAnsi="Times New Roman"/>
          <w:sz w:val="24"/>
        </w:rPr>
      </w:pPr>
      <w:r>
        <w:rPr>
          <w:rFonts w:ascii="Times New Roman" w:hAnsi="Times New Roman"/>
          <w:b/>
          <w:bCs/>
          <w:sz w:val="24"/>
        </w:rPr>
        <w:t xml:space="preserve">5.13.2  </w:t>
      </w:r>
      <w:r>
        <w:rPr>
          <w:rStyle w:val="36"/>
          <w:rFonts w:ascii="Times New Roman" w:hAnsi="Times New Roman"/>
          <w:sz w:val="24"/>
        </w:rPr>
        <w:t>逆作法支护结构的计算与设计。</w:t>
      </w:r>
    </w:p>
    <w:p>
      <w:pPr>
        <w:pStyle w:val="79"/>
        <w:widowControl/>
        <w:tabs>
          <w:tab w:val="left" w:pos="310"/>
        </w:tabs>
        <w:spacing w:line="360" w:lineRule="auto"/>
        <w:ind w:firstLine="480"/>
        <w:jc w:val="left"/>
        <w:rPr>
          <w:rFonts w:ascii="Times New Roman" w:hAnsi="Times New Roman"/>
          <w:sz w:val="24"/>
        </w:rPr>
      </w:pPr>
      <w:r>
        <w:rPr>
          <w:rFonts w:ascii="Times New Roman" w:hAnsi="Times New Roman"/>
          <w:sz w:val="24"/>
        </w:rPr>
        <w:t xml:space="preserve">1  </w:t>
      </w:r>
      <w:r>
        <w:rPr>
          <w:rFonts w:hint="eastAsia" w:ascii="Times New Roman" w:hAnsi="Times New Roman"/>
          <w:sz w:val="24"/>
        </w:rPr>
        <w:t>支护</w:t>
      </w:r>
      <w:r>
        <w:rPr>
          <w:rFonts w:ascii="Times New Roman" w:hAnsi="Times New Roman"/>
          <w:sz w:val="24"/>
        </w:rPr>
        <w:t>结构在基坑开挖阶段的受力变形计算和稳定性验算应符合</w:t>
      </w:r>
      <w:r>
        <w:rPr>
          <w:rFonts w:hint="eastAsia" w:ascii="Times New Roman" w:hAnsi="Times New Roman"/>
          <w:sz w:val="24"/>
        </w:rPr>
        <w:t>本规程的</w:t>
      </w:r>
      <w:r>
        <w:rPr>
          <w:rFonts w:ascii="Times New Roman" w:hAnsi="Times New Roman"/>
          <w:sz w:val="24"/>
        </w:rPr>
        <w:t>相关规定；</w:t>
      </w:r>
    </w:p>
    <w:p>
      <w:pPr>
        <w:pStyle w:val="79"/>
        <w:widowControl/>
        <w:tabs>
          <w:tab w:val="left" w:pos="0"/>
          <w:tab w:val="left" w:pos="310"/>
        </w:tabs>
        <w:spacing w:line="360" w:lineRule="auto"/>
        <w:ind w:firstLine="480"/>
        <w:jc w:val="left"/>
        <w:rPr>
          <w:rFonts w:ascii="Times New Roman" w:hAnsi="Times New Roman"/>
          <w:sz w:val="24"/>
        </w:rPr>
      </w:pPr>
      <w:r>
        <w:rPr>
          <w:rFonts w:hint="eastAsia" w:ascii="Times New Roman" w:hAnsi="Times New Roman"/>
          <w:sz w:val="24"/>
        </w:rPr>
        <w:t>2</w:t>
      </w:r>
      <w:r>
        <w:rPr>
          <w:rFonts w:ascii="Times New Roman" w:hAnsi="Times New Roman"/>
          <w:sz w:val="24"/>
        </w:rPr>
        <w:t xml:space="preserve">  作用在基坑</w:t>
      </w:r>
      <w:r>
        <w:rPr>
          <w:rFonts w:hint="eastAsia" w:ascii="Times New Roman" w:hAnsi="Times New Roman"/>
          <w:sz w:val="24"/>
        </w:rPr>
        <w:t>支护</w:t>
      </w:r>
      <w:r>
        <w:rPr>
          <w:rFonts w:ascii="Times New Roman" w:hAnsi="Times New Roman"/>
          <w:sz w:val="24"/>
        </w:rPr>
        <w:t>结构上土压力的计算模式，应综合考虑</w:t>
      </w:r>
      <w:r>
        <w:rPr>
          <w:rFonts w:hint="eastAsia" w:ascii="Times New Roman" w:hAnsi="Times New Roman"/>
          <w:sz w:val="24"/>
        </w:rPr>
        <w:t>支护</w:t>
      </w:r>
      <w:r>
        <w:rPr>
          <w:rFonts w:ascii="Times New Roman" w:hAnsi="Times New Roman"/>
          <w:sz w:val="24"/>
        </w:rPr>
        <w:t>结构与土体的位移情况和采取的施工措施等因素确定，并应符合下列规定：</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1）基坑开挖阶段，作用在</w:t>
      </w:r>
      <w:r>
        <w:rPr>
          <w:rFonts w:hint="eastAsia" w:ascii="Times New Roman" w:hAnsi="Times New Roman"/>
          <w:sz w:val="24"/>
        </w:rPr>
        <w:t>支护</w:t>
      </w:r>
      <w:r>
        <w:rPr>
          <w:rFonts w:ascii="Times New Roman" w:hAnsi="Times New Roman"/>
          <w:sz w:val="24"/>
        </w:rPr>
        <w:t>结构外侧的土压力宜取主动土压力</w:t>
      </w:r>
      <w:r>
        <w:rPr>
          <w:rFonts w:hint="eastAsia" w:ascii="Times New Roman" w:hAnsi="Times New Roman"/>
          <w:sz w:val="24"/>
        </w:rPr>
        <w:t>，水平位移控制要求</w:t>
      </w:r>
      <w:r>
        <w:rPr>
          <w:rFonts w:ascii="Times New Roman" w:hAnsi="Times New Roman"/>
          <w:sz w:val="24"/>
        </w:rPr>
        <w:t>严格时可取静止土压力；</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2）采用</w:t>
      </w:r>
      <w:r>
        <w:rPr>
          <w:rFonts w:hint="eastAsia" w:ascii="Times New Roman" w:hAnsi="Times New Roman"/>
          <w:sz w:val="24"/>
        </w:rPr>
        <w:t>支</w:t>
      </w:r>
      <w:r>
        <w:rPr>
          <w:rFonts w:ascii="Times New Roman" w:hAnsi="Times New Roman"/>
          <w:sz w:val="24"/>
        </w:rPr>
        <w:t>护结构与主体结构相结合的设计时，永久使用阶段作用在</w:t>
      </w:r>
      <w:r>
        <w:rPr>
          <w:rFonts w:hint="eastAsia" w:ascii="Times New Roman" w:hAnsi="Times New Roman"/>
          <w:sz w:val="24"/>
        </w:rPr>
        <w:t>支</w:t>
      </w:r>
      <w:r>
        <w:rPr>
          <w:rFonts w:ascii="Times New Roman" w:hAnsi="Times New Roman"/>
          <w:sz w:val="24"/>
        </w:rPr>
        <w:t>护结构外侧的土压力应取静止土压力；</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3）地下水平结构梁板的弹性支点刚度系数，宜通过对结构楼板整体进行线弹性结构分析，得出支点力与水平位移的关系确定。</w:t>
      </w:r>
    </w:p>
    <w:p>
      <w:pPr>
        <w:tabs>
          <w:tab w:val="left" w:pos="0"/>
          <w:tab w:val="left" w:pos="310"/>
        </w:tabs>
        <w:spacing w:line="360" w:lineRule="auto"/>
        <w:ind w:firstLine="480" w:firstLineChars="200"/>
        <w:jc w:val="left"/>
        <w:rPr>
          <w:color w:val="000000"/>
          <w:sz w:val="24"/>
        </w:rPr>
      </w:pPr>
      <w:bookmarkStart w:id="72" w:name="OLE_LINK3"/>
      <w:r>
        <w:rPr>
          <w:rFonts w:hint="eastAsia"/>
          <w:color w:val="000000"/>
          <w:sz w:val="24"/>
        </w:rPr>
        <w:t>3</w:t>
      </w:r>
      <w:r>
        <w:rPr>
          <w:color w:val="000000"/>
          <w:sz w:val="24"/>
        </w:rPr>
        <w:t xml:space="preserve">  逆作法宜采用支护结构与主体结构相结合的形式，</w:t>
      </w:r>
      <w:r>
        <w:rPr>
          <w:rFonts w:hint="eastAsia"/>
          <w:color w:val="000000"/>
          <w:sz w:val="24"/>
        </w:rPr>
        <w:t>并</w:t>
      </w:r>
      <w:r>
        <w:rPr>
          <w:color w:val="000000"/>
          <w:sz w:val="24"/>
        </w:rPr>
        <w:t>应符合下列规定：</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w:t>
      </w:r>
      <w:r>
        <w:rPr>
          <w:rFonts w:hint="eastAsia" w:ascii="Times New Roman" w:hAnsi="Times New Roman"/>
          <w:sz w:val="24"/>
        </w:rPr>
        <w:t>支</w:t>
      </w:r>
      <w:r>
        <w:rPr>
          <w:rFonts w:ascii="Times New Roman" w:hAnsi="Times New Roman"/>
          <w:sz w:val="24"/>
        </w:rPr>
        <w:t>护结构宜与主体地下结构外墙相结合，采用两墙合一或桩墙合一；</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2）竖向支承结构宜与主体结构柱、桩相结合，采用一柱一桩或一柱多桩的形式；</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3）</w:t>
      </w:r>
      <w:r>
        <w:rPr>
          <w:rFonts w:hint="eastAsia" w:ascii="Times New Roman" w:hAnsi="Times New Roman"/>
          <w:sz w:val="24"/>
        </w:rPr>
        <w:t>支</w:t>
      </w:r>
      <w:r>
        <w:rPr>
          <w:rFonts w:ascii="Times New Roman" w:hAnsi="Times New Roman"/>
          <w:sz w:val="24"/>
        </w:rPr>
        <w:t>护结构与主体结构相结合时应满足耐久性要求。</w:t>
      </w:r>
    </w:p>
    <w:p>
      <w:pPr>
        <w:pStyle w:val="79"/>
        <w:widowControl/>
        <w:tabs>
          <w:tab w:val="left" w:pos="310"/>
        </w:tabs>
        <w:spacing w:line="360" w:lineRule="auto"/>
        <w:ind w:firstLine="480"/>
        <w:jc w:val="left"/>
        <w:rPr>
          <w:rFonts w:ascii="Times New Roman" w:hAnsi="Times New Roman"/>
          <w:sz w:val="24"/>
        </w:rPr>
      </w:pPr>
      <w:r>
        <w:rPr>
          <w:rFonts w:hint="eastAsia" w:ascii="Times New Roman" w:hAnsi="Times New Roman"/>
          <w:sz w:val="24"/>
        </w:rPr>
        <w:t>4</w:t>
      </w:r>
      <w:r>
        <w:rPr>
          <w:rFonts w:ascii="Times New Roman" w:hAnsi="Times New Roman"/>
          <w:sz w:val="24"/>
        </w:rPr>
        <w:t xml:space="preserve">  采用支护结构与主体结构相结合的构件尚应满足永久使用阶段作为地下结构的设计要求，并应符合国家有关标准的规定；</w:t>
      </w:r>
    </w:p>
    <w:p>
      <w:pPr>
        <w:pStyle w:val="79"/>
        <w:widowControl/>
        <w:tabs>
          <w:tab w:val="left" w:pos="310"/>
        </w:tabs>
        <w:spacing w:line="360" w:lineRule="auto"/>
        <w:ind w:firstLine="480"/>
        <w:jc w:val="left"/>
        <w:rPr>
          <w:rFonts w:ascii="Times New Roman" w:hAnsi="Times New Roman"/>
          <w:sz w:val="24"/>
        </w:rPr>
      </w:pPr>
      <w:r>
        <w:rPr>
          <w:rFonts w:hint="eastAsia" w:ascii="Times New Roman" w:hAnsi="Times New Roman"/>
          <w:sz w:val="24"/>
        </w:rPr>
        <w:t xml:space="preserve">5  </w:t>
      </w:r>
      <w:r>
        <w:rPr>
          <w:rFonts w:ascii="Times New Roman" w:hAnsi="Times New Roman"/>
          <w:sz w:val="24"/>
        </w:rPr>
        <w:t>当有人防要求时，两墙合一地下连续墙、桩墙合一灌注桩排桩和地下结构外墙的设计，应符合国家标准《人民防空地下室设计规范》GB50038的有关规定</w:t>
      </w:r>
      <w:r>
        <w:rPr>
          <w:rFonts w:hint="eastAsia" w:ascii="Times New Roman" w:hAnsi="Times New Roman"/>
          <w:sz w:val="24"/>
        </w:rPr>
        <w:t>；</w:t>
      </w:r>
    </w:p>
    <w:p>
      <w:pPr>
        <w:pStyle w:val="79"/>
        <w:tabs>
          <w:tab w:val="left" w:pos="0"/>
          <w:tab w:val="left" w:pos="310"/>
        </w:tabs>
        <w:spacing w:line="360" w:lineRule="auto"/>
        <w:ind w:firstLine="480"/>
        <w:jc w:val="left"/>
        <w:rPr>
          <w:rFonts w:ascii="Times New Roman" w:hAnsi="Times New Roman"/>
          <w:sz w:val="24"/>
        </w:rPr>
      </w:pPr>
      <w:r>
        <w:rPr>
          <w:rFonts w:hint="eastAsia" w:ascii="Times New Roman" w:hAnsi="Times New Roman"/>
          <w:sz w:val="24"/>
        </w:rPr>
        <w:t>6</w:t>
      </w:r>
      <w:r>
        <w:rPr>
          <w:rFonts w:ascii="Times New Roman" w:hAnsi="Times New Roman"/>
          <w:sz w:val="24"/>
        </w:rPr>
        <w:t xml:space="preserve">  两墙合一地下连续墙与主体结构构件的连接宜符合下列规定：</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1）地下连续墙与地下结构梁板之间宜设置贯通的结构环梁，并通过预埋钢筋、剪力槽等方式与结构环梁连接；</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2）地下连续墙宜通过预埋</w:t>
      </w:r>
      <w:r>
        <w:rPr>
          <w:sz w:val="24"/>
        </w:rPr>
        <w:t>受拉、受剪钢筋、连接螺栓</w:t>
      </w:r>
      <w:r>
        <w:rPr>
          <w:rFonts w:hint="eastAsia"/>
          <w:sz w:val="24"/>
        </w:rPr>
        <w:t>、</w:t>
      </w:r>
      <w:r>
        <w:rPr>
          <w:sz w:val="24"/>
        </w:rPr>
        <w:t>连接钢板</w:t>
      </w:r>
      <w:r>
        <w:rPr>
          <w:rFonts w:ascii="Times New Roman" w:hAnsi="Times New Roman"/>
          <w:sz w:val="24"/>
        </w:rPr>
        <w:t>、剪力槽等方式与基础底板连接，当基础底板厚度不小于1m时，宜在基础底板中设置构造环梁，地下连续墙通过预埋钢筋与构造环梁连接；</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3）地下连续墙与地下结构边柱、结构墙宜通过预埋</w:t>
      </w:r>
      <w:r>
        <w:rPr>
          <w:sz w:val="24"/>
        </w:rPr>
        <w:t>受拉、受剪钢筋、连接螺栓或连接钢板</w:t>
      </w:r>
      <w:r>
        <w:rPr>
          <w:rFonts w:ascii="Times New Roman" w:hAnsi="Times New Roman"/>
          <w:sz w:val="24"/>
        </w:rPr>
        <w:t>的方式连接。</w:t>
      </w:r>
    </w:p>
    <w:p>
      <w:pPr>
        <w:pStyle w:val="79"/>
        <w:tabs>
          <w:tab w:val="left" w:pos="0"/>
          <w:tab w:val="left" w:pos="310"/>
        </w:tabs>
        <w:spacing w:line="360" w:lineRule="auto"/>
        <w:ind w:firstLine="480"/>
        <w:jc w:val="left"/>
        <w:rPr>
          <w:rFonts w:ascii="Times New Roman" w:hAnsi="Times New Roman"/>
          <w:sz w:val="24"/>
        </w:rPr>
      </w:pPr>
      <w:r>
        <w:rPr>
          <w:rFonts w:ascii="Times New Roman" w:hAnsi="Times New Roman"/>
          <w:sz w:val="24"/>
        </w:rPr>
        <w:t>7  桩墙合一的排桩采用与主体结构地下结构外墙相结合的形式时，设计应符合下列规定：</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1）排桩迎坑侧可贴合地下结构外墙，也可在与地下结构外墙间留设保温、防水衬垫层，楼板位置</w:t>
      </w:r>
      <w:r>
        <w:rPr>
          <w:rFonts w:hint="eastAsia" w:ascii="Times New Roman" w:hAnsi="Times New Roman"/>
          <w:sz w:val="24"/>
        </w:rPr>
        <w:t>应</w:t>
      </w:r>
      <w:r>
        <w:rPr>
          <w:rFonts w:ascii="Times New Roman" w:hAnsi="Times New Roman"/>
          <w:sz w:val="24"/>
        </w:rPr>
        <w:t>设置水平传力</w:t>
      </w:r>
      <w:r>
        <w:rPr>
          <w:rFonts w:hint="eastAsia" w:ascii="Times New Roman" w:hAnsi="Times New Roman"/>
          <w:sz w:val="24"/>
        </w:rPr>
        <w:t>构件</w:t>
      </w:r>
      <w:r>
        <w:rPr>
          <w:rFonts w:ascii="Times New Roman" w:hAnsi="Times New Roman"/>
          <w:sz w:val="24"/>
        </w:rPr>
        <w:t>；</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2）地下结构外墙宜按承受水压力和按桩墙抗弯刚度分配的静止土压力进行设计计算；内侧现浇地下结构外墙厚度不应小于300mm，迎水面保护层厚度不应小于50mm。</w:t>
      </w:r>
    </w:p>
    <w:p>
      <w:pPr>
        <w:tabs>
          <w:tab w:val="left" w:pos="0"/>
          <w:tab w:val="left" w:pos="310"/>
        </w:tabs>
        <w:spacing w:line="360" w:lineRule="auto"/>
        <w:ind w:firstLine="480" w:firstLineChars="200"/>
        <w:jc w:val="left"/>
        <w:rPr>
          <w:sz w:val="24"/>
        </w:rPr>
      </w:pPr>
      <w:r>
        <w:rPr>
          <w:sz w:val="24"/>
        </w:rPr>
        <w:t>8  逆作法竖向支承结构由</w:t>
      </w:r>
      <w:r>
        <w:rPr>
          <w:rFonts w:hint="eastAsia"/>
          <w:sz w:val="24"/>
        </w:rPr>
        <w:t>立</w:t>
      </w:r>
      <w:r>
        <w:rPr>
          <w:sz w:val="24"/>
        </w:rPr>
        <w:t>柱和支承桩组成，</w:t>
      </w:r>
      <w:r>
        <w:rPr>
          <w:rFonts w:hint="eastAsia"/>
          <w:sz w:val="24"/>
        </w:rPr>
        <w:t>立</w:t>
      </w:r>
      <w:r>
        <w:rPr>
          <w:sz w:val="24"/>
        </w:rPr>
        <w:t>柱和支承桩的设计应符合下列规定：</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w:t>
      </w:r>
      <w:r>
        <w:rPr>
          <w:rFonts w:hint="eastAsia" w:ascii="Times New Roman" w:hAnsi="Times New Roman"/>
          <w:sz w:val="24"/>
        </w:rPr>
        <w:t>立</w:t>
      </w:r>
      <w:r>
        <w:rPr>
          <w:rFonts w:ascii="Times New Roman" w:hAnsi="Times New Roman"/>
          <w:sz w:val="24"/>
        </w:rPr>
        <w:t>柱根据逆作阶段承受的竖向荷载与主体结构</w:t>
      </w:r>
      <w:r>
        <w:rPr>
          <w:rFonts w:hint="eastAsia" w:ascii="Times New Roman" w:hAnsi="Times New Roman"/>
          <w:sz w:val="24"/>
        </w:rPr>
        <w:t>柱</w:t>
      </w:r>
      <w:r>
        <w:rPr>
          <w:rFonts w:ascii="Times New Roman" w:hAnsi="Times New Roman"/>
          <w:sz w:val="24"/>
        </w:rPr>
        <w:t>的要求，可采用格构柱、型钢柱或钢管混凝土柱等结构型式；支承桩宜采用灌注桩，并宜利用主体结构工程桩；</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2）宜采用一柱一桩型式</w:t>
      </w:r>
      <w:r>
        <w:rPr>
          <w:rFonts w:hint="eastAsia" w:ascii="Times New Roman" w:hAnsi="Times New Roman"/>
          <w:sz w:val="24"/>
        </w:rPr>
        <w:t>，</w:t>
      </w:r>
      <w:r>
        <w:rPr>
          <w:rFonts w:ascii="Times New Roman" w:hAnsi="Times New Roman"/>
          <w:sz w:val="24"/>
        </w:rPr>
        <w:t>当一柱一桩型式无法满足逆作阶段的承载力与变形要求时，也可采用一根结构柱位置布置多根</w:t>
      </w:r>
      <w:r>
        <w:rPr>
          <w:rFonts w:hint="eastAsia" w:ascii="Times New Roman" w:hAnsi="Times New Roman"/>
          <w:sz w:val="24"/>
        </w:rPr>
        <w:t>立</w:t>
      </w:r>
      <w:r>
        <w:rPr>
          <w:rFonts w:ascii="Times New Roman" w:hAnsi="Times New Roman"/>
          <w:sz w:val="24"/>
        </w:rPr>
        <w:t>柱和支承桩的型式；</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3）</w:t>
      </w:r>
      <w:r>
        <w:rPr>
          <w:rFonts w:hint="eastAsia" w:ascii="Times New Roman" w:hAnsi="Times New Roman"/>
          <w:sz w:val="24"/>
        </w:rPr>
        <w:t>立</w:t>
      </w:r>
      <w:r>
        <w:rPr>
          <w:rFonts w:ascii="Times New Roman" w:hAnsi="Times New Roman"/>
          <w:sz w:val="24"/>
        </w:rPr>
        <w:t>柱</w:t>
      </w:r>
      <w:r>
        <w:rPr>
          <w:rFonts w:hint="eastAsia" w:ascii="Times New Roman" w:hAnsi="Times New Roman"/>
          <w:sz w:val="24"/>
        </w:rPr>
        <w:t>和支承桩</w:t>
      </w:r>
      <w:r>
        <w:rPr>
          <w:rFonts w:ascii="Times New Roman" w:hAnsi="Times New Roman"/>
          <w:sz w:val="24"/>
        </w:rPr>
        <w:t>应根据逆作施工和永久使用两个阶段的不同荷载工况与结构状态进行设计；</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4）立柱应按偏心受压构件设计，并应考虑竖向荷载偏心及立柱制作安装偏心的不利影响；</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5）支承桩应进行逆作阶段的单桩承载力和竖向变形计算。支承桩竖向变形的计算除应考虑施工阶段竖向荷载作用之外，尚应考虑基坑开挖土体回弹的影响；</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6）作为支承桩的灌注桩宜选择低压缩性地层作为桩基持力层，采用泥浆护壁成孔工艺</w:t>
      </w:r>
      <w:r>
        <w:rPr>
          <w:rFonts w:hint="eastAsia" w:ascii="Times New Roman" w:hAnsi="Times New Roman"/>
          <w:sz w:val="24"/>
        </w:rPr>
        <w:t>时宜</w:t>
      </w:r>
      <w:r>
        <w:rPr>
          <w:rFonts w:ascii="Times New Roman" w:hAnsi="Times New Roman"/>
          <w:sz w:val="24"/>
        </w:rPr>
        <w:t>采用桩端后注浆措施。</w:t>
      </w:r>
    </w:p>
    <w:p>
      <w:pPr>
        <w:tabs>
          <w:tab w:val="left" w:pos="0"/>
          <w:tab w:val="left" w:pos="310"/>
        </w:tabs>
        <w:spacing w:line="360" w:lineRule="auto"/>
        <w:ind w:firstLine="480" w:firstLineChars="200"/>
        <w:rPr>
          <w:sz w:val="24"/>
        </w:rPr>
      </w:pPr>
      <w:r>
        <w:rPr>
          <w:sz w:val="24"/>
        </w:rPr>
        <w:t>9  逆作法施工时，地下结构楼板中取土口的布置应遵循下列原则：</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1）取土口设置的数量、间距应根据土方开挖量、挖土工期、运输方式及基坑平面形状确定；</w:t>
      </w:r>
    </w:p>
    <w:p>
      <w:pPr>
        <w:pStyle w:val="79"/>
        <w:widowControl/>
        <w:tabs>
          <w:tab w:val="left" w:pos="0"/>
        </w:tabs>
        <w:spacing w:line="360" w:lineRule="auto"/>
        <w:ind w:left="1095" w:leftChars="350" w:hanging="360" w:hangingChars="150"/>
        <w:jc w:val="left"/>
        <w:rPr>
          <w:rFonts w:ascii="Times New Roman" w:hAnsi="Times New Roman"/>
          <w:sz w:val="24"/>
        </w:rPr>
      </w:pPr>
      <w:r>
        <w:rPr>
          <w:rFonts w:hint="eastAsia" w:ascii="Times New Roman" w:hAnsi="Times New Roman"/>
          <w:sz w:val="24"/>
        </w:rPr>
        <w:t>2</w:t>
      </w:r>
      <w:r>
        <w:rPr>
          <w:rFonts w:ascii="Times New Roman" w:hAnsi="Times New Roman"/>
          <w:sz w:val="24"/>
        </w:rPr>
        <w:t>）各层楼板</w:t>
      </w:r>
      <w:r>
        <w:rPr>
          <w:rFonts w:hint="eastAsia" w:ascii="Times New Roman" w:hAnsi="Times New Roman"/>
          <w:sz w:val="24"/>
        </w:rPr>
        <w:t>洞口</w:t>
      </w:r>
      <w:r>
        <w:rPr>
          <w:rFonts w:ascii="Times New Roman" w:hAnsi="Times New Roman"/>
          <w:sz w:val="24"/>
        </w:rPr>
        <w:t>与顶板洞口位置宜上下相对应；</w:t>
      </w:r>
    </w:p>
    <w:p>
      <w:pPr>
        <w:pStyle w:val="79"/>
        <w:widowControl/>
        <w:tabs>
          <w:tab w:val="left" w:pos="0"/>
        </w:tabs>
        <w:spacing w:line="360" w:lineRule="auto"/>
        <w:ind w:left="1095" w:leftChars="350" w:hanging="360" w:hangingChars="150"/>
        <w:jc w:val="left"/>
        <w:rPr>
          <w:rFonts w:ascii="Times New Roman" w:hAnsi="Times New Roman"/>
          <w:sz w:val="24"/>
        </w:rPr>
      </w:pPr>
      <w:r>
        <w:rPr>
          <w:rFonts w:hint="eastAsia" w:ascii="Times New Roman" w:hAnsi="Times New Roman"/>
          <w:sz w:val="24"/>
        </w:rPr>
        <w:t>3</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取土口的位置宜设置在各挖土分区的中部位置，且不宜紧贴基坑的</w:t>
      </w:r>
      <w:r>
        <w:rPr>
          <w:rFonts w:hint="eastAsia" w:ascii="Times New Roman" w:hAnsi="Times New Roman"/>
          <w:sz w:val="24"/>
        </w:rPr>
        <w:t>支</w:t>
      </w:r>
      <w:r>
        <w:rPr>
          <w:rFonts w:ascii="Times New Roman" w:hAnsi="Times New Roman"/>
          <w:sz w:val="24"/>
        </w:rPr>
        <w:t>护结构；</w:t>
      </w:r>
    </w:p>
    <w:p>
      <w:pPr>
        <w:pStyle w:val="79"/>
        <w:widowControl/>
        <w:tabs>
          <w:tab w:val="left" w:pos="0"/>
        </w:tabs>
        <w:spacing w:line="360" w:lineRule="auto"/>
        <w:ind w:left="1095" w:leftChars="350" w:hanging="360" w:hangingChars="150"/>
        <w:jc w:val="left"/>
        <w:rPr>
          <w:rFonts w:ascii="Times New Roman" w:hAnsi="Times New Roman"/>
          <w:sz w:val="24"/>
        </w:rPr>
      </w:pPr>
      <w:r>
        <w:rPr>
          <w:rFonts w:hint="eastAsia" w:ascii="Times New Roman" w:hAnsi="Times New Roman"/>
          <w:sz w:val="24"/>
        </w:rPr>
        <w:t>4</w:t>
      </w:r>
      <w:r>
        <w:rPr>
          <w:rFonts w:ascii="Times New Roman" w:hAnsi="Times New Roman"/>
          <w:sz w:val="24"/>
        </w:rPr>
        <w:t>）取土口的布置应满足分块挖土的需要，每个分块应至少布置一个出土口；</w:t>
      </w:r>
    </w:p>
    <w:p>
      <w:pPr>
        <w:pStyle w:val="79"/>
        <w:widowControl/>
        <w:tabs>
          <w:tab w:val="left" w:pos="0"/>
        </w:tabs>
        <w:spacing w:line="360" w:lineRule="auto"/>
        <w:ind w:left="1095" w:leftChars="350" w:hanging="360" w:hangingChars="150"/>
        <w:jc w:val="left"/>
        <w:rPr>
          <w:rFonts w:ascii="Times New Roman" w:hAnsi="Times New Roman"/>
          <w:sz w:val="24"/>
        </w:rPr>
      </w:pPr>
      <w:r>
        <w:rPr>
          <w:rFonts w:hint="eastAsia" w:ascii="Times New Roman" w:hAnsi="Times New Roman"/>
          <w:sz w:val="24"/>
        </w:rPr>
        <w:t>5</w:t>
      </w:r>
      <w:r>
        <w:rPr>
          <w:rFonts w:ascii="Times New Roman" w:hAnsi="Times New Roman"/>
          <w:sz w:val="24"/>
        </w:rPr>
        <w:t>）取土口位置应考虑场地内部交通畅通并能与外部道路形成较好的连接；</w:t>
      </w:r>
    </w:p>
    <w:p>
      <w:pPr>
        <w:pStyle w:val="79"/>
        <w:widowControl/>
        <w:tabs>
          <w:tab w:val="left" w:pos="0"/>
        </w:tabs>
        <w:spacing w:line="360" w:lineRule="auto"/>
        <w:ind w:left="1095" w:leftChars="350" w:hanging="360" w:hangingChars="150"/>
        <w:jc w:val="left"/>
        <w:rPr>
          <w:rFonts w:ascii="Times New Roman" w:hAnsi="Times New Roman"/>
          <w:sz w:val="24"/>
        </w:rPr>
      </w:pPr>
      <w:r>
        <w:rPr>
          <w:rFonts w:hint="eastAsia" w:ascii="Times New Roman" w:hAnsi="Times New Roman"/>
          <w:sz w:val="24"/>
        </w:rPr>
        <w:t>6</w:t>
      </w:r>
      <w:r>
        <w:rPr>
          <w:rFonts w:ascii="Times New Roman" w:hAnsi="Times New Roman"/>
          <w:sz w:val="24"/>
        </w:rPr>
        <w:t>）预留孔洞宜采取有效</w:t>
      </w:r>
      <w:r>
        <w:rPr>
          <w:rFonts w:hint="eastAsia" w:ascii="Times New Roman" w:hAnsi="Times New Roman"/>
          <w:sz w:val="24"/>
        </w:rPr>
        <w:t>的挡水、</w:t>
      </w:r>
      <w:r>
        <w:rPr>
          <w:rFonts w:ascii="Times New Roman" w:hAnsi="Times New Roman"/>
          <w:sz w:val="24"/>
        </w:rPr>
        <w:t>避雨措施。</w:t>
      </w:r>
    </w:p>
    <w:p>
      <w:pPr>
        <w:pStyle w:val="24"/>
        <w:tabs>
          <w:tab w:val="left" w:pos="0"/>
        </w:tabs>
        <w:spacing w:line="360" w:lineRule="auto"/>
      </w:pPr>
      <w:r>
        <w:rPr>
          <w:b/>
          <w:bCs/>
        </w:rPr>
        <w:t xml:space="preserve">5.13.3  </w:t>
      </w:r>
      <w:r>
        <w:t>逆作法支护结构的构造要求：</w:t>
      </w:r>
    </w:p>
    <w:p>
      <w:pPr>
        <w:pStyle w:val="24"/>
        <w:tabs>
          <w:tab w:val="left" w:pos="0"/>
        </w:tabs>
        <w:spacing w:line="360" w:lineRule="auto"/>
        <w:ind w:firstLine="480" w:firstLineChars="200"/>
      </w:pPr>
      <w:r>
        <w:t>1  两墙合一地下连续墙中的预埋钢筋、钢筋接驳器和剪力槽应符合下列规定：</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1）预埋钢筋</w:t>
      </w:r>
      <w:r>
        <w:rPr>
          <w:rFonts w:hint="eastAsia" w:ascii="Times New Roman" w:hAnsi="Times New Roman"/>
          <w:sz w:val="24"/>
        </w:rPr>
        <w:t>强度等级应与外接钢筋相同，</w:t>
      </w:r>
      <w:r>
        <w:rPr>
          <w:rFonts w:ascii="Times New Roman" w:hAnsi="Times New Roman"/>
          <w:sz w:val="24"/>
        </w:rPr>
        <w:t>预埋钢筋的竖向间距不宜小于100mm，水平间距宜为地下连续墙纵筋间距的整数倍，预埋钢筋方向应垂直于地下连续墙表面，并满足锚固长度的要求；</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2）预埋钢筋接驳器强度等级应与</w:t>
      </w:r>
      <w:r>
        <w:rPr>
          <w:rFonts w:hint="eastAsia" w:ascii="Times New Roman" w:hAnsi="Times New Roman"/>
          <w:sz w:val="24"/>
        </w:rPr>
        <w:t>外接</w:t>
      </w:r>
      <w:r>
        <w:rPr>
          <w:rFonts w:ascii="Times New Roman" w:hAnsi="Times New Roman"/>
          <w:sz w:val="24"/>
        </w:rPr>
        <w:t>钢筋相同</w:t>
      </w:r>
      <w:r>
        <w:rPr>
          <w:rFonts w:hint="eastAsia" w:ascii="Times New Roman" w:hAnsi="Times New Roman"/>
          <w:sz w:val="24"/>
        </w:rPr>
        <w:t>，</w:t>
      </w:r>
      <w:r>
        <w:rPr>
          <w:rFonts w:ascii="Times New Roman" w:hAnsi="Times New Roman"/>
          <w:sz w:val="24"/>
        </w:rPr>
        <w:t>预埋钢筋接驳器的水平间距宜为地下连续墙纵筋间距的整数倍，预埋钢筋接驳器方向与地下连续墙表面的夹角宜垂直，并满足锚固长度的要求；</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3）剪力槽应设置于地下连续墙纵筋内侧；</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4）地下连续墙上的预埋钢筋和接驳器的端部与地下连续墙迎土面外表面的距离不宜小于200mm；</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5）在透水性强的土层中，地下连续墙的槽段接头位置应设置内外两层防水措施，外侧宜设置截水措施，深度不宜小于基坑开挖深度；内侧设置结构</w:t>
      </w:r>
      <w:r>
        <w:rPr>
          <w:rFonts w:hint="eastAsia" w:ascii="Times New Roman" w:hAnsi="Times New Roman"/>
          <w:sz w:val="24"/>
        </w:rPr>
        <w:t>扶</w:t>
      </w:r>
      <w:r>
        <w:rPr>
          <w:rFonts w:ascii="Times New Roman" w:hAnsi="Times New Roman"/>
          <w:sz w:val="24"/>
        </w:rPr>
        <w:t>壁柱或内衬墙</w:t>
      </w:r>
      <w:r>
        <w:rPr>
          <w:rFonts w:hint="eastAsia" w:ascii="Times New Roman" w:hAnsi="Times New Roman"/>
          <w:sz w:val="24"/>
        </w:rPr>
        <w:t>防水措施</w:t>
      </w:r>
      <w:r>
        <w:rPr>
          <w:rFonts w:ascii="Times New Roman" w:hAnsi="Times New Roman"/>
          <w:sz w:val="24"/>
        </w:rPr>
        <w:t>。</w:t>
      </w:r>
    </w:p>
    <w:p>
      <w:pPr>
        <w:tabs>
          <w:tab w:val="left" w:pos="0"/>
        </w:tabs>
        <w:spacing w:line="360" w:lineRule="auto"/>
        <w:ind w:firstLine="480" w:firstLineChars="200"/>
        <w:jc w:val="left"/>
        <w:rPr>
          <w:sz w:val="24"/>
        </w:rPr>
      </w:pPr>
      <w:r>
        <w:rPr>
          <w:sz w:val="24"/>
        </w:rPr>
        <w:t xml:space="preserve">2  </w:t>
      </w:r>
      <w:r>
        <w:rPr>
          <w:rFonts w:hint="eastAsia"/>
          <w:sz w:val="24"/>
        </w:rPr>
        <w:t>立</w:t>
      </w:r>
      <w:r>
        <w:rPr>
          <w:sz w:val="24"/>
        </w:rPr>
        <w:t>柱构造应符合下列规定：</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w:t>
      </w:r>
      <w:r>
        <w:rPr>
          <w:rFonts w:hint="eastAsia"/>
          <w:sz w:val="24"/>
        </w:rPr>
        <w:t>立</w:t>
      </w:r>
      <w:r>
        <w:rPr>
          <w:rFonts w:ascii="Times New Roman" w:hAnsi="Times New Roman"/>
          <w:sz w:val="24"/>
        </w:rPr>
        <w:t>柱与地下水平结构构件连接节点应根据计算设置抗剪钢筋、栓钉或钢牛腿等抗剪措施；</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2）</w:t>
      </w:r>
      <w:r>
        <w:rPr>
          <w:rFonts w:hint="eastAsia"/>
          <w:sz w:val="24"/>
        </w:rPr>
        <w:t>立</w:t>
      </w:r>
      <w:r>
        <w:rPr>
          <w:rFonts w:ascii="Times New Roman" w:hAnsi="Times New Roman"/>
          <w:sz w:val="24"/>
        </w:rPr>
        <w:t>柱采用格构柱时，其边长不宜小于420mm；采用钢管混凝土柱时，钢管直径不宜小于500mm；</w:t>
      </w:r>
      <w:r>
        <w:rPr>
          <w:rFonts w:hint="eastAsia"/>
          <w:sz w:val="24"/>
        </w:rPr>
        <w:t>立</w:t>
      </w:r>
      <w:r>
        <w:rPr>
          <w:rFonts w:ascii="Times New Roman" w:hAnsi="Times New Roman"/>
          <w:sz w:val="24"/>
        </w:rPr>
        <w:t>柱的长细比不应大于25；</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3）需要外包混凝土形成主体结构框架柱的</w:t>
      </w:r>
      <w:r>
        <w:rPr>
          <w:rFonts w:hint="eastAsia"/>
          <w:sz w:val="24"/>
        </w:rPr>
        <w:t>立</w:t>
      </w:r>
      <w:r>
        <w:rPr>
          <w:rFonts w:ascii="Times New Roman" w:hAnsi="Times New Roman"/>
          <w:sz w:val="24"/>
        </w:rPr>
        <w:t>柱，内置钢骨的保护层厚度不宜小于150mm，其形式与截面应与地下结构梁、柱的截面与钢筋配置相协调，并宜采用设置栓钉等措施；</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4）</w:t>
      </w:r>
      <w:r>
        <w:rPr>
          <w:rFonts w:hint="eastAsia"/>
          <w:sz w:val="24"/>
        </w:rPr>
        <w:t>立</w:t>
      </w:r>
      <w:r>
        <w:rPr>
          <w:rFonts w:ascii="Times New Roman" w:hAnsi="Times New Roman"/>
          <w:sz w:val="24"/>
        </w:rPr>
        <w:t>柱钢结构的焊缝质量和检测应符合国家标准《钢结构焊接规范》GB50661的规定，并满足设计要求，不宜在竖向承载状态的</w:t>
      </w:r>
      <w:r>
        <w:rPr>
          <w:rFonts w:hint="eastAsia" w:ascii="Times New Roman" w:hAnsi="Times New Roman"/>
          <w:sz w:val="24"/>
        </w:rPr>
        <w:t>立</w:t>
      </w:r>
      <w:r>
        <w:rPr>
          <w:rFonts w:ascii="Times New Roman" w:hAnsi="Times New Roman"/>
          <w:sz w:val="24"/>
        </w:rPr>
        <w:t>柱表面上直接施焊；</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5）</w:t>
      </w:r>
      <w:r>
        <w:rPr>
          <w:rFonts w:hint="eastAsia" w:ascii="Times New Roman" w:hAnsi="Times New Roman"/>
          <w:sz w:val="24"/>
        </w:rPr>
        <w:t>立</w:t>
      </w:r>
      <w:r>
        <w:rPr>
          <w:rFonts w:ascii="Times New Roman" w:hAnsi="Times New Roman"/>
          <w:sz w:val="24"/>
        </w:rPr>
        <w:t>柱穿基础底板范围内应设置可靠的止水措施；</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6）带栓钉钢管混凝土</w:t>
      </w:r>
      <w:r>
        <w:rPr>
          <w:rFonts w:hint="eastAsia" w:ascii="Times New Roman" w:hAnsi="Times New Roman"/>
          <w:sz w:val="24"/>
        </w:rPr>
        <w:t>立</w:t>
      </w:r>
      <w:r>
        <w:rPr>
          <w:rFonts w:ascii="Times New Roman" w:hAnsi="Times New Roman"/>
          <w:sz w:val="24"/>
        </w:rPr>
        <w:t>柱插入支承桩深度不应小于4倍钢管外径，且不应小于2.5m；不带栓钉的钢管混凝土立柱插入深度不应小于6倍钢管外径，且</w:t>
      </w:r>
      <w:r>
        <w:rPr>
          <w:rFonts w:ascii="Times New Roman"/>
          <w:sz w:val="24"/>
        </w:rPr>
        <w:t>不应小于</w:t>
      </w:r>
      <w:r>
        <w:rPr>
          <w:rFonts w:ascii="Times New Roman" w:hAnsi="Times New Roman"/>
          <w:sz w:val="24"/>
        </w:rPr>
        <w:t>3m</w:t>
      </w:r>
      <w:r>
        <w:rPr>
          <w:rFonts w:ascii="Times New Roman"/>
          <w:sz w:val="24"/>
        </w:rPr>
        <w:t>；格构柱插入深度不应小于</w:t>
      </w:r>
      <w:r>
        <w:rPr>
          <w:rFonts w:ascii="Times New Roman" w:hAnsi="Times New Roman"/>
          <w:sz w:val="24"/>
        </w:rPr>
        <w:t>3m</w:t>
      </w:r>
      <w:r>
        <w:rPr>
          <w:rFonts w:ascii="Times New Roman"/>
          <w:sz w:val="24"/>
        </w:rPr>
        <w:t>；对于钢管混凝土</w:t>
      </w:r>
      <w:r>
        <w:rPr>
          <w:rFonts w:ascii="Times New Roman" w:hAnsi="Times New Roman"/>
          <w:sz w:val="24"/>
        </w:rPr>
        <w:t>立</w:t>
      </w:r>
      <w:r>
        <w:rPr>
          <w:rFonts w:ascii="Times New Roman"/>
          <w:sz w:val="24"/>
        </w:rPr>
        <w:t>柱插入范围及其下</w:t>
      </w:r>
      <w:r>
        <w:rPr>
          <w:rFonts w:ascii="Times New Roman" w:hAnsi="Times New Roman"/>
          <w:sz w:val="24"/>
        </w:rPr>
        <w:t>5</w:t>
      </w:r>
      <w:r>
        <w:rPr>
          <w:rFonts w:ascii="Times New Roman"/>
          <w:sz w:val="24"/>
        </w:rPr>
        <w:t>倍桩径范围内桩箍筋应加密，间距不应大于</w:t>
      </w:r>
      <w:r>
        <w:rPr>
          <w:rFonts w:ascii="Times New Roman" w:hAnsi="Times New Roman"/>
          <w:sz w:val="24"/>
        </w:rPr>
        <w:t>100mm</w:t>
      </w:r>
      <w:r>
        <w:rPr>
          <w:rFonts w:ascii="Times New Roman"/>
          <w:sz w:val="24"/>
        </w:rPr>
        <w:t>；</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7）支承桩的钢筋笼与</w:t>
      </w:r>
      <w:r>
        <w:rPr>
          <w:rFonts w:hint="eastAsia" w:ascii="Times New Roman" w:hAnsi="Times New Roman"/>
          <w:sz w:val="24"/>
        </w:rPr>
        <w:t>立</w:t>
      </w:r>
      <w:r>
        <w:rPr>
          <w:rFonts w:ascii="Times New Roman" w:hAnsi="Times New Roman"/>
          <w:sz w:val="24"/>
        </w:rPr>
        <w:t>柱之间的水平净距应根据桩和柱的垂直度偏差控制要求以及相关构造要求确定，且不应小于150mm。</w:t>
      </w:r>
    </w:p>
    <w:p>
      <w:pPr>
        <w:tabs>
          <w:tab w:val="left" w:pos="0"/>
        </w:tabs>
        <w:spacing w:line="360" w:lineRule="auto"/>
        <w:ind w:firstLine="480" w:firstLineChars="200"/>
        <w:jc w:val="left"/>
        <w:rPr>
          <w:sz w:val="24"/>
        </w:rPr>
      </w:pPr>
      <w:r>
        <w:rPr>
          <w:sz w:val="24"/>
        </w:rPr>
        <w:t>3  取土口构造上应采取下列措施：</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1）应在逆作法取土口边缘设置防护上翻梁，其截面尺寸可取200mm×300mm；</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2）楼板临时开洞作为取土口时，洞口结构预留的钢筋接头宜采用机械连接。采用全断面机械连接时应采用I级接头；预留钢筋外伸长度不宜超过30</w:t>
      </w:r>
      <w:r>
        <w:rPr>
          <w:rFonts w:hint="eastAsia" w:ascii="Times New Roman" w:hAnsi="Times New Roman"/>
          <w:sz w:val="24"/>
        </w:rPr>
        <w:t>0m</w:t>
      </w:r>
      <w:r>
        <w:rPr>
          <w:rFonts w:ascii="Times New Roman" w:hAnsi="Times New Roman"/>
          <w:sz w:val="24"/>
        </w:rPr>
        <w:t>m，且应采取保护措施；</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3）应在逆作施工平台层上设置合理的集水明排措施，雨水不应回灌至基坑内。</w:t>
      </w:r>
    </w:p>
    <w:bookmarkEnd w:id="72"/>
    <w:p>
      <w:pPr>
        <w:spacing w:line="360" w:lineRule="auto"/>
        <w:jc w:val="left"/>
        <w:rPr>
          <w:sz w:val="24"/>
        </w:rPr>
      </w:pPr>
      <w:r>
        <w:rPr>
          <w:b/>
          <w:bCs/>
          <w:sz w:val="24"/>
        </w:rPr>
        <w:t xml:space="preserve">5.13.4  </w:t>
      </w:r>
      <w:r>
        <w:rPr>
          <w:sz w:val="24"/>
        </w:rPr>
        <w:t>逆作法施工控制要点</w:t>
      </w:r>
      <w:r>
        <w:rPr>
          <w:rFonts w:hint="eastAsia"/>
          <w:sz w:val="24"/>
        </w:rPr>
        <w:t>:</w:t>
      </w:r>
    </w:p>
    <w:p>
      <w:pPr>
        <w:tabs>
          <w:tab w:val="left" w:pos="0"/>
        </w:tabs>
        <w:spacing w:line="360" w:lineRule="auto"/>
        <w:ind w:firstLine="480" w:firstLineChars="200"/>
        <w:jc w:val="left"/>
        <w:rPr>
          <w:sz w:val="24"/>
        </w:rPr>
      </w:pPr>
      <w:r>
        <w:rPr>
          <w:rFonts w:hint="eastAsia"/>
          <w:sz w:val="24"/>
        </w:rPr>
        <w:t>1</w:t>
      </w:r>
      <w:r>
        <w:rPr>
          <w:sz w:val="24"/>
        </w:rPr>
        <w:t xml:space="preserve">  基坑土方挖运应结合地下结构布置的特点，合理</w:t>
      </w:r>
      <w:r>
        <w:rPr>
          <w:rFonts w:hint="eastAsia"/>
          <w:sz w:val="24"/>
        </w:rPr>
        <w:t>安排</w:t>
      </w:r>
      <w:r>
        <w:rPr>
          <w:sz w:val="24"/>
        </w:rPr>
        <w:t>楼板施工与土方开挖的</w:t>
      </w:r>
      <w:r>
        <w:rPr>
          <w:rFonts w:hint="eastAsia"/>
          <w:sz w:val="24"/>
        </w:rPr>
        <w:t>顺序；</w:t>
      </w:r>
      <w:r>
        <w:rPr>
          <w:sz w:val="24"/>
        </w:rPr>
        <w:t>在符合设计开挖工况的前提下，应加快地下结构楼板的施工速度</w:t>
      </w:r>
      <w:r>
        <w:rPr>
          <w:rFonts w:hint="eastAsia"/>
          <w:sz w:val="24"/>
        </w:rPr>
        <w:t>；</w:t>
      </w:r>
    </w:p>
    <w:p>
      <w:pPr>
        <w:tabs>
          <w:tab w:val="left" w:pos="0"/>
        </w:tabs>
        <w:spacing w:line="360" w:lineRule="auto"/>
        <w:ind w:firstLine="480" w:firstLineChars="200"/>
        <w:jc w:val="left"/>
        <w:rPr>
          <w:sz w:val="24"/>
        </w:rPr>
      </w:pPr>
      <w:r>
        <w:rPr>
          <w:rFonts w:hint="eastAsia"/>
          <w:sz w:val="24"/>
        </w:rPr>
        <w:t>2</w:t>
      </w:r>
      <w:r>
        <w:rPr>
          <w:sz w:val="24"/>
        </w:rPr>
        <w:t xml:space="preserve">  主体地下结构混凝土浇筑应采用下列措施：</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1）宜采用支模法浇筑混凝土；</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2）墙、柱的纵向钢筋预先埋入下方土层内的钢筋连接段应采取防止钢筋</w:t>
      </w:r>
      <w:r>
        <w:rPr>
          <w:rFonts w:hint="eastAsia" w:ascii="Times New Roman" w:hAnsi="Times New Roman"/>
          <w:sz w:val="24"/>
        </w:rPr>
        <w:t>锈蚀</w:t>
      </w:r>
      <w:r>
        <w:rPr>
          <w:rFonts w:ascii="Times New Roman" w:hAnsi="Times New Roman"/>
          <w:sz w:val="24"/>
        </w:rPr>
        <w:t>污染的措施，与下层墙、柱钢筋的连接应符合国家标准《混凝土结构设计规范》GB50010对钢筋连接的规定；下层墙、柱浇筑混凝土前，应将已浇筑的上层墙、柱混凝土的结合面及预留连接钢筋、钢板表面的泥土清除干净；</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3）墙、柱模板顶部宜做成向上开口的喇叭形，且上层梁板在柱、墙节点处宜预留下层墙、柱混凝土浇捣孔；</w:t>
      </w:r>
    </w:p>
    <w:p>
      <w:pPr>
        <w:pStyle w:val="79"/>
        <w:widowControl/>
        <w:tabs>
          <w:tab w:val="left" w:pos="0"/>
        </w:tabs>
        <w:spacing w:line="360" w:lineRule="auto"/>
        <w:ind w:left="1095" w:leftChars="350" w:hanging="360" w:hangingChars="150"/>
        <w:jc w:val="left"/>
        <w:rPr>
          <w:rFonts w:ascii="Times New Roman" w:hAnsi="Times New Roman"/>
          <w:sz w:val="24"/>
        </w:rPr>
      </w:pPr>
      <w:r>
        <w:rPr>
          <w:rFonts w:ascii="Times New Roman" w:hAnsi="Times New Roman"/>
          <w:sz w:val="24"/>
        </w:rPr>
        <w:t>4）当前后两次浇筑的墙、柱混凝土结合面可能出现裂缝时，宜在结合面处的模板上预留充填裂缝的压力注浆孔。</w:t>
      </w:r>
    </w:p>
    <w:p>
      <w:pPr>
        <w:spacing w:line="360" w:lineRule="auto"/>
        <w:ind w:firstLine="480" w:firstLineChars="200"/>
        <w:jc w:val="left"/>
        <w:rPr>
          <w:i/>
          <w:color w:val="0000FF"/>
          <w:sz w:val="24"/>
        </w:rPr>
      </w:pPr>
    </w:p>
    <w:p>
      <w:pPr>
        <w:tabs>
          <w:tab w:val="left" w:pos="0"/>
        </w:tabs>
        <w:spacing w:line="360" w:lineRule="auto"/>
        <w:ind w:firstLine="422" w:firstLineChars="200"/>
        <w:jc w:val="left"/>
        <w:rPr>
          <w:b/>
        </w:rPr>
      </w:pPr>
    </w:p>
    <w:p>
      <w:pPr>
        <w:spacing w:line="360" w:lineRule="auto"/>
        <w:jc w:val="center"/>
        <w:outlineLvl w:val="0"/>
        <w:rPr>
          <w:b/>
          <w:sz w:val="28"/>
          <w:szCs w:val="28"/>
        </w:rPr>
        <w:sectPr>
          <w:pgSz w:w="11907" w:h="16840"/>
          <w:pgMar w:top="1418" w:right="1134" w:bottom="1134" w:left="1701" w:header="851" w:footer="851" w:gutter="0"/>
          <w:cols w:space="720" w:num="1"/>
          <w:docGrid w:linePitch="312" w:charSpace="0"/>
        </w:sectPr>
      </w:pPr>
    </w:p>
    <w:p>
      <w:pPr>
        <w:spacing w:line="360" w:lineRule="auto"/>
        <w:jc w:val="center"/>
        <w:outlineLvl w:val="0"/>
        <w:rPr>
          <w:b/>
          <w:sz w:val="28"/>
          <w:szCs w:val="28"/>
        </w:rPr>
      </w:pPr>
      <w:bookmarkStart w:id="73" w:name="_Toc87018276"/>
      <w:bookmarkStart w:id="74" w:name="_Toc87018345"/>
      <w:r>
        <w:rPr>
          <w:b/>
          <w:sz w:val="28"/>
          <w:szCs w:val="28"/>
        </w:rPr>
        <w:t>6  特殊条件基坑</w:t>
      </w:r>
      <w:bookmarkEnd w:id="73"/>
      <w:bookmarkEnd w:id="74"/>
    </w:p>
    <w:p>
      <w:pPr>
        <w:spacing w:line="360" w:lineRule="auto"/>
        <w:jc w:val="center"/>
        <w:outlineLvl w:val="1"/>
        <w:rPr>
          <w:b/>
          <w:sz w:val="24"/>
        </w:rPr>
      </w:pPr>
      <w:bookmarkStart w:id="75" w:name="_Toc87018346"/>
      <w:bookmarkStart w:id="76" w:name="_Toc87018277"/>
      <w:r>
        <w:rPr>
          <w:b/>
          <w:sz w:val="24"/>
        </w:rPr>
        <w:t>6.1  软土基坑</w:t>
      </w:r>
      <w:bookmarkEnd w:id="75"/>
      <w:bookmarkEnd w:id="76"/>
    </w:p>
    <w:p>
      <w:pPr>
        <w:spacing w:line="360" w:lineRule="auto"/>
        <w:rPr>
          <w:sz w:val="24"/>
        </w:rPr>
      </w:pPr>
      <w:r>
        <w:rPr>
          <w:b/>
          <w:sz w:val="24"/>
        </w:rPr>
        <w:t>6.1.</w:t>
      </w:r>
      <w:r>
        <w:rPr>
          <w:rFonts w:hint="eastAsia"/>
          <w:b/>
          <w:sz w:val="24"/>
        </w:rPr>
        <w:t>1</w:t>
      </w:r>
      <w:r>
        <w:rPr>
          <w:b/>
          <w:sz w:val="24"/>
        </w:rPr>
        <w:t xml:space="preserve">  </w:t>
      </w:r>
      <w:r>
        <w:rPr>
          <w:sz w:val="24"/>
        </w:rPr>
        <w:t>软土基坑</w:t>
      </w:r>
      <w:r>
        <w:rPr>
          <w:rFonts w:hint="eastAsia"/>
          <w:sz w:val="24"/>
        </w:rPr>
        <w:t>内</w:t>
      </w:r>
      <w:r>
        <w:rPr>
          <w:sz w:val="24"/>
        </w:rPr>
        <w:t>力、变形分析及稳定性验算，应考虑基坑暴露时间对土体</w:t>
      </w:r>
      <w:r>
        <w:rPr>
          <w:rFonts w:hint="eastAsia"/>
          <w:sz w:val="24"/>
        </w:rPr>
        <w:t>力学特性</w:t>
      </w:r>
      <w:r>
        <w:rPr>
          <w:sz w:val="24"/>
        </w:rPr>
        <w:t>的影响。</w:t>
      </w:r>
    </w:p>
    <w:p>
      <w:pPr>
        <w:spacing w:line="360" w:lineRule="auto"/>
        <w:jc w:val="left"/>
        <w:rPr>
          <w:color w:val="000000"/>
          <w:sz w:val="24"/>
        </w:rPr>
      </w:pPr>
      <w:r>
        <w:rPr>
          <w:b/>
          <w:sz w:val="24"/>
        </w:rPr>
        <w:t>6.1.</w:t>
      </w:r>
      <w:r>
        <w:rPr>
          <w:rFonts w:hint="eastAsia"/>
          <w:b/>
          <w:sz w:val="24"/>
        </w:rPr>
        <w:t>2</w:t>
      </w:r>
      <w:r>
        <w:rPr>
          <w:color w:val="000000"/>
          <w:sz w:val="24"/>
        </w:rPr>
        <w:t xml:space="preserve">  软土基坑支护结构，应选取适宜的施工工艺，减少对软土的扰动，控制地层位移对周边环境的影响。</w:t>
      </w:r>
    </w:p>
    <w:p>
      <w:pPr>
        <w:spacing w:line="360" w:lineRule="auto"/>
        <w:jc w:val="left"/>
        <w:rPr>
          <w:color w:val="000000"/>
          <w:sz w:val="24"/>
        </w:rPr>
      </w:pPr>
      <w:r>
        <w:rPr>
          <w:b/>
          <w:sz w:val="24"/>
        </w:rPr>
        <w:t>6.1.</w:t>
      </w:r>
      <w:r>
        <w:rPr>
          <w:rFonts w:hint="eastAsia"/>
          <w:b/>
          <w:sz w:val="24"/>
        </w:rPr>
        <w:t>3</w:t>
      </w:r>
      <w:r>
        <w:rPr>
          <w:b/>
          <w:sz w:val="24"/>
        </w:rPr>
        <w:t xml:space="preserve"> </w:t>
      </w:r>
      <w:r>
        <w:rPr>
          <w:color w:val="000000"/>
          <w:sz w:val="24"/>
        </w:rPr>
        <w:t xml:space="preserve"> 软土基坑应采取措施控制软土</w:t>
      </w:r>
      <w:r>
        <w:rPr>
          <w:rFonts w:hint="eastAsia"/>
          <w:color w:val="000000"/>
          <w:sz w:val="24"/>
        </w:rPr>
        <w:t>隆起及</w:t>
      </w:r>
      <w:r>
        <w:rPr>
          <w:color w:val="000000"/>
          <w:sz w:val="24"/>
        </w:rPr>
        <w:t>侧向挤出</w:t>
      </w:r>
      <w:r>
        <w:rPr>
          <w:rFonts w:hint="eastAsia"/>
          <w:color w:val="000000"/>
          <w:sz w:val="24"/>
        </w:rPr>
        <w:t>；</w:t>
      </w:r>
      <w:r>
        <w:rPr>
          <w:color w:val="000000"/>
          <w:sz w:val="24"/>
        </w:rPr>
        <w:t>锚杆宜避开软土层。</w:t>
      </w:r>
    </w:p>
    <w:p>
      <w:pPr>
        <w:spacing w:line="360" w:lineRule="auto"/>
        <w:jc w:val="left"/>
        <w:rPr>
          <w:sz w:val="24"/>
        </w:rPr>
      </w:pPr>
      <w:r>
        <w:rPr>
          <w:b/>
          <w:sz w:val="24"/>
        </w:rPr>
        <w:t>6.1.</w:t>
      </w:r>
      <w:r>
        <w:rPr>
          <w:rFonts w:hint="eastAsia"/>
          <w:b/>
          <w:sz w:val="24"/>
        </w:rPr>
        <w:t>4</w:t>
      </w:r>
      <w:r>
        <w:rPr>
          <w:b/>
          <w:sz w:val="24"/>
        </w:rPr>
        <w:t xml:space="preserve">  </w:t>
      </w:r>
      <w:r>
        <w:rPr>
          <w:sz w:val="24"/>
        </w:rPr>
        <w:t>软土基坑采用锚杆时，应通过锚杆基本试验、蠕变试验确定其可行性。</w:t>
      </w:r>
    </w:p>
    <w:p>
      <w:pPr>
        <w:spacing w:line="360" w:lineRule="auto"/>
        <w:jc w:val="left"/>
        <w:rPr>
          <w:sz w:val="24"/>
        </w:rPr>
      </w:pPr>
      <w:r>
        <w:rPr>
          <w:b/>
          <w:sz w:val="24"/>
        </w:rPr>
        <w:t>6.1.</w:t>
      </w:r>
      <w:r>
        <w:rPr>
          <w:rFonts w:hint="eastAsia"/>
          <w:b/>
          <w:sz w:val="24"/>
        </w:rPr>
        <w:t>5</w:t>
      </w:r>
      <w:r>
        <w:rPr>
          <w:b/>
          <w:sz w:val="24"/>
        </w:rPr>
        <w:t xml:space="preserve">  </w:t>
      </w:r>
      <w:r>
        <w:rPr>
          <w:sz w:val="24"/>
        </w:rPr>
        <w:t>当坑底下软土较厚，被动区抗力不足或预估变形值不能满足环境保护要求</w:t>
      </w:r>
      <w:r>
        <w:rPr>
          <w:rFonts w:hint="eastAsia"/>
          <w:sz w:val="24"/>
        </w:rPr>
        <w:t>时</w:t>
      </w:r>
      <w:r>
        <w:rPr>
          <w:sz w:val="24"/>
        </w:rPr>
        <w:t>，可采用水泥土搅拌桩、高压喷射注浆等方法对坑底被动区土体进行局部或整体加固。</w:t>
      </w:r>
      <w:r>
        <w:rPr>
          <w:color w:val="000000"/>
          <w:sz w:val="24"/>
        </w:rPr>
        <w:t>有机质土应通过室内配比及现场试验确定其适用性。</w:t>
      </w:r>
    </w:p>
    <w:p>
      <w:pPr>
        <w:spacing w:line="360" w:lineRule="auto"/>
        <w:jc w:val="left"/>
        <w:rPr>
          <w:color w:val="000000"/>
          <w:sz w:val="24"/>
        </w:rPr>
      </w:pPr>
      <w:r>
        <w:rPr>
          <w:b/>
          <w:sz w:val="24"/>
        </w:rPr>
        <w:t>6.1.</w:t>
      </w:r>
      <w:r>
        <w:rPr>
          <w:rFonts w:hint="eastAsia"/>
          <w:b/>
          <w:sz w:val="24"/>
        </w:rPr>
        <w:t>6</w:t>
      </w:r>
      <w:r>
        <w:rPr>
          <w:color w:val="000000"/>
          <w:sz w:val="24"/>
        </w:rPr>
        <w:t xml:space="preserve">  高灵敏度软土基坑在施工和使用过程中，应采取措施控制土体的扰动。</w:t>
      </w:r>
    </w:p>
    <w:p>
      <w:pPr>
        <w:spacing w:line="360" w:lineRule="auto"/>
        <w:jc w:val="left"/>
        <w:rPr>
          <w:color w:val="000000"/>
          <w:sz w:val="24"/>
        </w:rPr>
      </w:pPr>
      <w:r>
        <w:rPr>
          <w:b/>
          <w:color w:val="000000"/>
          <w:sz w:val="24"/>
        </w:rPr>
        <w:t>6.1.</w:t>
      </w:r>
      <w:r>
        <w:rPr>
          <w:rFonts w:hint="eastAsia"/>
          <w:b/>
          <w:color w:val="000000"/>
          <w:sz w:val="24"/>
        </w:rPr>
        <w:t>7</w:t>
      </w:r>
      <w:r>
        <w:rPr>
          <w:b/>
          <w:color w:val="000000"/>
          <w:sz w:val="24"/>
        </w:rPr>
        <w:t xml:space="preserve">  </w:t>
      </w:r>
      <w:r>
        <w:rPr>
          <w:rFonts w:hint="eastAsia"/>
          <w:color w:val="000000"/>
          <w:sz w:val="24"/>
        </w:rPr>
        <w:t>软土基坑应评估工程桩施工对基坑稳定及变形的影响。</w:t>
      </w:r>
    </w:p>
    <w:p>
      <w:pPr>
        <w:spacing w:line="360" w:lineRule="auto"/>
        <w:jc w:val="center"/>
        <w:outlineLvl w:val="1"/>
        <w:rPr>
          <w:b/>
          <w:sz w:val="24"/>
        </w:rPr>
      </w:pPr>
      <w:bookmarkStart w:id="77" w:name="_Toc87018278"/>
      <w:bookmarkStart w:id="78" w:name="_Toc87018347"/>
      <w:r>
        <w:rPr>
          <w:b/>
          <w:sz w:val="24"/>
        </w:rPr>
        <w:t>6.2  填土基坑</w:t>
      </w:r>
      <w:bookmarkEnd w:id="77"/>
      <w:bookmarkEnd w:id="78"/>
    </w:p>
    <w:p>
      <w:pPr>
        <w:spacing w:line="360" w:lineRule="auto"/>
        <w:jc w:val="left"/>
        <w:rPr>
          <w:color w:val="000000"/>
          <w:sz w:val="24"/>
        </w:rPr>
      </w:pPr>
      <w:r>
        <w:rPr>
          <w:b/>
          <w:color w:val="000000"/>
          <w:sz w:val="24"/>
        </w:rPr>
        <w:t>6.2.</w:t>
      </w:r>
      <w:r>
        <w:rPr>
          <w:rFonts w:hint="eastAsia"/>
          <w:b/>
          <w:color w:val="000000"/>
          <w:sz w:val="24"/>
        </w:rPr>
        <w:t>1</w:t>
      </w:r>
      <w:r>
        <w:rPr>
          <w:color w:val="000000"/>
          <w:sz w:val="24"/>
        </w:rPr>
        <w:t xml:space="preserve">  </w:t>
      </w:r>
      <w:r>
        <w:rPr>
          <w:rFonts w:hint="eastAsia"/>
          <w:color w:val="000000"/>
          <w:sz w:val="24"/>
        </w:rPr>
        <w:t>锚杆锚固段不宜设置在松散填土内。</w:t>
      </w:r>
    </w:p>
    <w:p>
      <w:pPr>
        <w:spacing w:line="360" w:lineRule="auto"/>
        <w:jc w:val="left"/>
        <w:rPr>
          <w:color w:val="000000"/>
          <w:sz w:val="24"/>
        </w:rPr>
      </w:pPr>
      <w:r>
        <w:rPr>
          <w:b/>
          <w:color w:val="000000"/>
          <w:sz w:val="24"/>
        </w:rPr>
        <w:t>6.2.</w:t>
      </w:r>
      <w:r>
        <w:rPr>
          <w:rFonts w:hint="eastAsia"/>
          <w:b/>
          <w:color w:val="000000"/>
          <w:sz w:val="24"/>
        </w:rPr>
        <w:t>2</w:t>
      </w:r>
      <w:r>
        <w:rPr>
          <w:color w:val="000000"/>
          <w:sz w:val="24"/>
        </w:rPr>
        <w:t xml:space="preserve">  </w:t>
      </w:r>
      <w:r>
        <w:rPr>
          <w:rFonts w:hint="eastAsia"/>
          <w:color w:val="000000"/>
          <w:sz w:val="24"/>
        </w:rPr>
        <w:t>应评估基坑施工及使用期间填土自重固结变形对基坑变形、周边环境的影响。</w:t>
      </w:r>
    </w:p>
    <w:p>
      <w:pPr>
        <w:spacing w:line="360" w:lineRule="auto"/>
        <w:jc w:val="left"/>
        <w:rPr>
          <w:color w:val="000000"/>
          <w:sz w:val="24"/>
        </w:rPr>
      </w:pPr>
      <w:r>
        <w:rPr>
          <w:b/>
          <w:color w:val="000000"/>
          <w:sz w:val="24"/>
        </w:rPr>
        <w:t>6.2.</w:t>
      </w:r>
      <w:r>
        <w:rPr>
          <w:rFonts w:hint="eastAsia"/>
          <w:b/>
          <w:color w:val="000000"/>
          <w:sz w:val="24"/>
        </w:rPr>
        <w:t>3</w:t>
      </w:r>
      <w:r>
        <w:rPr>
          <w:color w:val="000000"/>
          <w:sz w:val="24"/>
        </w:rPr>
        <w:t xml:space="preserve">  </w:t>
      </w:r>
      <w:r>
        <w:rPr>
          <w:rFonts w:hint="eastAsia"/>
          <w:color w:val="000000"/>
          <w:sz w:val="24"/>
        </w:rPr>
        <w:t>填土基坑应对地表采取可靠的封闭措施，避免地表水下渗。</w:t>
      </w:r>
    </w:p>
    <w:p>
      <w:pPr>
        <w:spacing w:line="360" w:lineRule="auto"/>
        <w:jc w:val="left"/>
        <w:rPr>
          <w:color w:val="000000"/>
          <w:sz w:val="24"/>
        </w:rPr>
      </w:pPr>
      <w:r>
        <w:rPr>
          <w:b/>
          <w:color w:val="000000"/>
          <w:sz w:val="24"/>
        </w:rPr>
        <w:t>6.2.</w:t>
      </w:r>
      <w:r>
        <w:rPr>
          <w:rFonts w:hint="eastAsia"/>
          <w:b/>
          <w:color w:val="000000"/>
          <w:sz w:val="24"/>
        </w:rPr>
        <w:t>4</w:t>
      </w:r>
      <w:r>
        <w:rPr>
          <w:color w:val="000000"/>
          <w:sz w:val="24"/>
        </w:rPr>
        <w:t xml:space="preserve">  </w:t>
      </w:r>
      <w:r>
        <w:rPr>
          <w:rFonts w:hint="eastAsia"/>
          <w:color w:val="000000"/>
          <w:sz w:val="24"/>
        </w:rPr>
        <w:t>基坑设计应考虑填土的不均匀性。</w:t>
      </w:r>
    </w:p>
    <w:p>
      <w:pPr>
        <w:spacing w:line="360" w:lineRule="auto"/>
        <w:jc w:val="left"/>
        <w:rPr>
          <w:color w:val="000000"/>
          <w:sz w:val="24"/>
        </w:rPr>
      </w:pPr>
      <w:r>
        <w:rPr>
          <w:b/>
          <w:color w:val="000000"/>
          <w:sz w:val="24"/>
        </w:rPr>
        <w:t>6.2.</w:t>
      </w:r>
      <w:r>
        <w:rPr>
          <w:rFonts w:hint="eastAsia"/>
          <w:b/>
          <w:color w:val="000000"/>
          <w:sz w:val="24"/>
        </w:rPr>
        <w:t>5</w:t>
      </w:r>
      <w:r>
        <w:rPr>
          <w:color w:val="000000"/>
          <w:sz w:val="24"/>
        </w:rPr>
        <w:t xml:space="preserve">  基坑周边环境保护要求较严或坑外存在较大的</w:t>
      </w:r>
      <w:r>
        <w:rPr>
          <w:rFonts w:hint="eastAsia"/>
          <w:color w:val="000000"/>
          <w:sz w:val="24"/>
        </w:rPr>
        <w:t>附加荷载</w:t>
      </w:r>
      <w:r>
        <w:rPr>
          <w:color w:val="000000"/>
          <w:sz w:val="24"/>
        </w:rPr>
        <w:t>时，</w:t>
      </w:r>
      <w:r>
        <w:rPr>
          <w:rFonts w:hint="eastAsia"/>
          <w:color w:val="000000"/>
          <w:sz w:val="24"/>
        </w:rPr>
        <w:t>可对填土采取</w:t>
      </w:r>
      <w:r>
        <w:rPr>
          <w:color w:val="000000"/>
          <w:sz w:val="24"/>
        </w:rPr>
        <w:t>加固</w:t>
      </w:r>
      <w:r>
        <w:rPr>
          <w:rFonts w:hint="eastAsia"/>
          <w:color w:val="000000"/>
          <w:sz w:val="24"/>
        </w:rPr>
        <w:t>措施</w:t>
      </w:r>
      <w:r>
        <w:rPr>
          <w:color w:val="000000"/>
          <w:sz w:val="24"/>
        </w:rPr>
        <w:t>。</w:t>
      </w:r>
    </w:p>
    <w:p>
      <w:pPr>
        <w:spacing w:line="360" w:lineRule="auto"/>
        <w:jc w:val="center"/>
        <w:outlineLvl w:val="1"/>
        <w:rPr>
          <w:b/>
          <w:sz w:val="24"/>
        </w:rPr>
      </w:pPr>
      <w:bookmarkStart w:id="79" w:name="_Toc87018279"/>
      <w:bookmarkStart w:id="80" w:name="_Toc87018348"/>
      <w:r>
        <w:rPr>
          <w:b/>
          <w:sz w:val="24"/>
        </w:rPr>
        <w:t>6.3  土岩组合基坑</w:t>
      </w:r>
      <w:bookmarkEnd w:id="79"/>
      <w:bookmarkEnd w:id="80"/>
    </w:p>
    <w:p>
      <w:pPr>
        <w:spacing w:line="360" w:lineRule="auto"/>
        <w:jc w:val="left"/>
        <w:rPr>
          <w:color w:val="000000"/>
          <w:sz w:val="24"/>
        </w:rPr>
      </w:pPr>
      <w:r>
        <w:rPr>
          <w:b/>
          <w:color w:val="000000"/>
          <w:sz w:val="24"/>
        </w:rPr>
        <w:t xml:space="preserve">6.3.1 </w:t>
      </w:r>
      <w:r>
        <w:rPr>
          <w:color w:val="000000"/>
          <w:sz w:val="24"/>
        </w:rPr>
        <w:t xml:space="preserve"> 土岩组合基坑</w:t>
      </w:r>
      <w:r>
        <w:rPr>
          <w:rFonts w:hint="eastAsia"/>
          <w:color w:val="000000"/>
          <w:sz w:val="24"/>
        </w:rPr>
        <w:t>应根据地层特点合理确定破坏模式，进行</w:t>
      </w:r>
      <w:r>
        <w:rPr>
          <w:color w:val="000000"/>
          <w:sz w:val="24"/>
        </w:rPr>
        <w:t>支护结构受力、变形</w:t>
      </w:r>
      <w:r>
        <w:rPr>
          <w:rFonts w:hint="eastAsia"/>
          <w:color w:val="000000"/>
          <w:sz w:val="24"/>
        </w:rPr>
        <w:t>、稳定性分析。</w:t>
      </w:r>
    </w:p>
    <w:p>
      <w:pPr>
        <w:spacing w:line="360" w:lineRule="auto"/>
        <w:jc w:val="left"/>
        <w:rPr>
          <w:sz w:val="24"/>
        </w:rPr>
      </w:pPr>
      <w:r>
        <w:rPr>
          <w:b/>
          <w:sz w:val="24"/>
        </w:rPr>
        <w:t>6.3.</w:t>
      </w:r>
      <w:r>
        <w:rPr>
          <w:rFonts w:hint="eastAsia"/>
          <w:b/>
          <w:sz w:val="24"/>
        </w:rPr>
        <w:t>2</w:t>
      </w:r>
      <w:r>
        <w:rPr>
          <w:sz w:val="24"/>
        </w:rPr>
        <w:t xml:space="preserve">  </w:t>
      </w:r>
      <w:r>
        <w:rPr>
          <w:rFonts w:hint="eastAsia"/>
          <w:sz w:val="24"/>
        </w:rPr>
        <w:t>土岩组合基坑应分别对土体、岩体、整体进行稳定性分析</w:t>
      </w:r>
      <w:r>
        <w:rPr>
          <w:rFonts w:hint="eastAsia"/>
          <w:color w:val="000000"/>
          <w:sz w:val="24"/>
        </w:rPr>
        <w:t>，合理确定支护范围</w:t>
      </w:r>
      <w:r>
        <w:rPr>
          <w:rFonts w:hint="eastAsia"/>
          <w:sz w:val="24"/>
        </w:rPr>
        <w:t>。</w:t>
      </w:r>
    </w:p>
    <w:p>
      <w:pPr>
        <w:spacing w:line="360" w:lineRule="auto"/>
        <w:jc w:val="left"/>
        <w:rPr>
          <w:color w:val="0000FF"/>
          <w:sz w:val="24"/>
        </w:rPr>
      </w:pPr>
      <w:r>
        <w:rPr>
          <w:b/>
          <w:color w:val="000000"/>
          <w:sz w:val="24"/>
        </w:rPr>
        <w:t>6.3.</w:t>
      </w:r>
      <w:r>
        <w:rPr>
          <w:rFonts w:hint="eastAsia"/>
          <w:b/>
          <w:color w:val="000000"/>
          <w:sz w:val="24"/>
        </w:rPr>
        <w:t>3</w:t>
      </w:r>
      <w:r>
        <w:rPr>
          <w:b/>
          <w:color w:val="000000"/>
          <w:sz w:val="24"/>
        </w:rPr>
        <w:t xml:space="preserve"> </w:t>
      </w:r>
      <w:r>
        <w:rPr>
          <w:color w:val="000000"/>
          <w:sz w:val="24"/>
        </w:rPr>
        <w:t xml:space="preserve"> </w:t>
      </w:r>
      <w:r>
        <w:rPr>
          <w:rFonts w:hint="eastAsia"/>
          <w:color w:val="000000"/>
          <w:sz w:val="24"/>
        </w:rPr>
        <w:t>对极软岩、碎裂岩，可将</w:t>
      </w:r>
      <w:r>
        <w:rPr>
          <w:color w:val="000000"/>
          <w:sz w:val="24"/>
        </w:rPr>
        <w:t>其视为散体介质，采用</w:t>
      </w:r>
      <w:r>
        <w:rPr>
          <w:rFonts w:hint="eastAsia"/>
          <w:color w:val="000000"/>
          <w:sz w:val="24"/>
        </w:rPr>
        <w:t>圆弧滑动条分法</w:t>
      </w:r>
      <w:r>
        <w:rPr>
          <w:color w:val="000000"/>
          <w:sz w:val="24"/>
        </w:rPr>
        <w:t>进行</w:t>
      </w:r>
      <w:r>
        <w:rPr>
          <w:rFonts w:hint="eastAsia"/>
          <w:color w:val="000000"/>
          <w:sz w:val="24"/>
        </w:rPr>
        <w:t>稳定性</w:t>
      </w:r>
      <w:r>
        <w:rPr>
          <w:color w:val="000000"/>
          <w:sz w:val="24"/>
        </w:rPr>
        <w:t>分析。</w:t>
      </w:r>
    </w:p>
    <w:p>
      <w:pPr>
        <w:spacing w:line="360" w:lineRule="auto"/>
        <w:jc w:val="left"/>
        <w:rPr>
          <w:color w:val="000000"/>
          <w:sz w:val="24"/>
        </w:rPr>
      </w:pPr>
      <w:r>
        <w:rPr>
          <w:b/>
          <w:color w:val="000000"/>
          <w:sz w:val="24"/>
        </w:rPr>
        <w:t>6.3.</w:t>
      </w:r>
      <w:r>
        <w:rPr>
          <w:rFonts w:hint="eastAsia"/>
          <w:b/>
          <w:color w:val="000000"/>
          <w:sz w:val="24"/>
        </w:rPr>
        <w:t>4</w:t>
      </w:r>
      <w:r>
        <w:rPr>
          <w:color w:val="000000"/>
          <w:sz w:val="24"/>
        </w:rPr>
        <w:t xml:space="preserve">  </w:t>
      </w:r>
      <w:r>
        <w:rPr>
          <w:rFonts w:hint="eastAsia"/>
          <w:color w:val="000000"/>
          <w:sz w:val="24"/>
        </w:rPr>
        <w:t>对岩溶地区的土岩组合基坑应根据开挖揭露地层情况进行动态设计。</w:t>
      </w:r>
    </w:p>
    <w:p>
      <w:pPr>
        <w:spacing w:line="360" w:lineRule="auto"/>
        <w:jc w:val="left"/>
        <w:rPr>
          <w:sz w:val="24"/>
        </w:rPr>
      </w:pPr>
      <w:r>
        <w:rPr>
          <w:b/>
          <w:sz w:val="24"/>
        </w:rPr>
        <w:t>6.3.</w:t>
      </w:r>
      <w:r>
        <w:rPr>
          <w:rFonts w:hint="eastAsia"/>
          <w:b/>
          <w:sz w:val="24"/>
        </w:rPr>
        <w:t>5</w:t>
      </w:r>
      <w:r>
        <w:rPr>
          <w:sz w:val="24"/>
        </w:rPr>
        <w:t xml:space="preserve">  软质岩基坑开挖宜采用机械</w:t>
      </w:r>
      <w:r>
        <w:rPr>
          <w:rFonts w:hint="eastAsia"/>
          <w:sz w:val="24"/>
        </w:rPr>
        <w:t>“</w:t>
      </w:r>
      <w:r>
        <w:rPr>
          <w:sz w:val="24"/>
        </w:rPr>
        <w:t>凿裂法</w:t>
      </w:r>
      <w:r>
        <w:rPr>
          <w:rFonts w:hint="eastAsia"/>
          <w:sz w:val="24"/>
        </w:rPr>
        <w:t>”</w:t>
      </w:r>
      <w:r>
        <w:rPr>
          <w:sz w:val="24"/>
        </w:rPr>
        <w:t>施工；对</w:t>
      </w:r>
      <w:r>
        <w:rPr>
          <w:rFonts w:hint="eastAsia"/>
          <w:sz w:val="24"/>
        </w:rPr>
        <w:t>硬质岩</w:t>
      </w:r>
      <w:r>
        <w:rPr>
          <w:sz w:val="24"/>
        </w:rPr>
        <w:t>须采用爆破施工时，</w:t>
      </w:r>
      <w:r>
        <w:rPr>
          <w:rFonts w:hint="eastAsia"/>
          <w:sz w:val="24"/>
        </w:rPr>
        <w:t>应</w:t>
      </w:r>
      <w:r>
        <w:rPr>
          <w:sz w:val="24"/>
        </w:rPr>
        <w:t>合理控制爆破规模，分析爆破施工对基坑边坡稳定性</w:t>
      </w:r>
      <w:r>
        <w:rPr>
          <w:rFonts w:hint="eastAsia"/>
          <w:sz w:val="24"/>
        </w:rPr>
        <w:t>和锚杆应力松驰</w:t>
      </w:r>
      <w:r>
        <w:rPr>
          <w:sz w:val="24"/>
        </w:rPr>
        <w:t>的影响。</w:t>
      </w:r>
    </w:p>
    <w:p>
      <w:pPr>
        <w:spacing w:line="360" w:lineRule="auto"/>
        <w:jc w:val="center"/>
        <w:outlineLvl w:val="1"/>
        <w:rPr>
          <w:b/>
          <w:sz w:val="24"/>
        </w:rPr>
      </w:pPr>
      <w:bookmarkStart w:id="81" w:name="_Toc87018280"/>
      <w:bookmarkStart w:id="82" w:name="_Toc87018349"/>
      <w:r>
        <w:rPr>
          <w:b/>
          <w:sz w:val="24"/>
        </w:rPr>
        <w:t xml:space="preserve">6.4  </w:t>
      </w:r>
      <w:r>
        <w:rPr>
          <w:rFonts w:hint="eastAsia" w:ascii="宋体" w:hAnsi="宋体" w:cs="黑体"/>
          <w:b/>
          <w:color w:val="000000"/>
          <w:sz w:val="24"/>
        </w:rPr>
        <w:t>基坑与边坡组合</w:t>
      </w:r>
      <w:bookmarkEnd w:id="81"/>
      <w:bookmarkEnd w:id="82"/>
    </w:p>
    <w:p>
      <w:pPr>
        <w:spacing w:line="360" w:lineRule="auto"/>
        <w:jc w:val="left"/>
        <w:rPr>
          <w:color w:val="000000"/>
          <w:sz w:val="24"/>
        </w:rPr>
      </w:pPr>
      <w:r>
        <w:rPr>
          <w:b/>
          <w:color w:val="000000"/>
          <w:sz w:val="24"/>
        </w:rPr>
        <w:t>6.4.1</w:t>
      </w:r>
      <w:r>
        <w:rPr>
          <w:color w:val="000000"/>
          <w:sz w:val="24"/>
        </w:rPr>
        <w:t xml:space="preserve">  </w:t>
      </w:r>
      <w:r>
        <w:rPr>
          <w:rFonts w:hint="eastAsia"/>
          <w:color w:val="000000"/>
          <w:sz w:val="24"/>
        </w:rPr>
        <w:t>基坑与边坡组合时</w:t>
      </w:r>
      <w:r>
        <w:rPr>
          <w:color w:val="000000"/>
          <w:sz w:val="24"/>
        </w:rPr>
        <w:t>，</w:t>
      </w:r>
      <w:r>
        <w:rPr>
          <w:rFonts w:hint="eastAsia"/>
          <w:color w:val="000000"/>
          <w:sz w:val="24"/>
        </w:rPr>
        <w:t>应分别对组合边坡、永久边坡进行稳定性分析，并满足相应的安全稳定系数要求。</w:t>
      </w:r>
    </w:p>
    <w:p>
      <w:pPr>
        <w:spacing w:line="360" w:lineRule="auto"/>
        <w:jc w:val="left"/>
        <w:rPr>
          <w:color w:val="000000"/>
          <w:sz w:val="24"/>
        </w:rPr>
      </w:pPr>
      <w:r>
        <w:rPr>
          <w:b/>
          <w:color w:val="000000"/>
          <w:sz w:val="24"/>
        </w:rPr>
        <w:t>6.4.2</w:t>
      </w:r>
      <w:r>
        <w:rPr>
          <w:color w:val="000000"/>
          <w:sz w:val="24"/>
        </w:rPr>
        <w:t xml:space="preserve">  </w:t>
      </w:r>
      <w:r>
        <w:rPr>
          <w:rFonts w:hint="eastAsia"/>
          <w:color w:val="000000"/>
          <w:sz w:val="24"/>
        </w:rPr>
        <w:t>永久边坡</w:t>
      </w:r>
      <w:r>
        <w:rPr>
          <w:color w:val="000000"/>
          <w:sz w:val="24"/>
        </w:rPr>
        <w:t>设计应</w:t>
      </w:r>
      <w:r>
        <w:rPr>
          <w:rFonts w:hint="eastAsia"/>
          <w:color w:val="000000"/>
          <w:sz w:val="24"/>
        </w:rPr>
        <w:t>执行</w:t>
      </w:r>
      <w:r>
        <w:rPr>
          <w:color w:val="000000"/>
          <w:sz w:val="24"/>
        </w:rPr>
        <w:t>《建筑边坡工程技术规范》GB 50330的相关</w:t>
      </w:r>
      <w:r>
        <w:rPr>
          <w:rFonts w:hint="eastAsia"/>
          <w:color w:val="000000"/>
          <w:sz w:val="24"/>
        </w:rPr>
        <w:t>规定</w:t>
      </w:r>
      <w:r>
        <w:rPr>
          <w:color w:val="000000"/>
          <w:sz w:val="24"/>
        </w:rPr>
        <w:t>。</w:t>
      </w:r>
    </w:p>
    <w:p>
      <w:pPr>
        <w:spacing w:line="360" w:lineRule="auto"/>
        <w:jc w:val="left"/>
        <w:rPr>
          <w:color w:val="000000"/>
          <w:sz w:val="24"/>
        </w:rPr>
      </w:pPr>
      <w:r>
        <w:rPr>
          <w:b/>
          <w:color w:val="000000"/>
          <w:sz w:val="24"/>
        </w:rPr>
        <w:t>6.4.</w:t>
      </w:r>
      <w:r>
        <w:rPr>
          <w:rFonts w:hint="eastAsia"/>
          <w:b/>
          <w:color w:val="000000"/>
          <w:sz w:val="24"/>
        </w:rPr>
        <w:t>3</w:t>
      </w:r>
      <w:r>
        <w:rPr>
          <w:color w:val="000000"/>
          <w:sz w:val="24"/>
        </w:rPr>
        <w:t xml:space="preserve">  基坑上方存在既有边坡</w:t>
      </w:r>
      <w:r>
        <w:rPr>
          <w:rFonts w:hint="eastAsia"/>
          <w:color w:val="000000"/>
          <w:sz w:val="24"/>
        </w:rPr>
        <w:t>时</w:t>
      </w:r>
      <w:r>
        <w:rPr>
          <w:color w:val="000000"/>
          <w:sz w:val="24"/>
        </w:rPr>
        <w:t>，应评价基坑</w:t>
      </w:r>
      <w:r>
        <w:rPr>
          <w:rFonts w:hint="eastAsia"/>
          <w:color w:val="000000"/>
          <w:sz w:val="24"/>
        </w:rPr>
        <w:t>对</w:t>
      </w:r>
      <w:r>
        <w:rPr>
          <w:color w:val="000000"/>
          <w:sz w:val="24"/>
        </w:rPr>
        <w:t>边坡稳定</w:t>
      </w:r>
      <w:r>
        <w:rPr>
          <w:rFonts w:hint="eastAsia"/>
          <w:color w:val="000000"/>
          <w:sz w:val="24"/>
        </w:rPr>
        <w:t>性的影响，必要时</w:t>
      </w:r>
      <w:r>
        <w:rPr>
          <w:color w:val="000000"/>
          <w:sz w:val="24"/>
        </w:rPr>
        <w:t>对</w:t>
      </w:r>
      <w:r>
        <w:rPr>
          <w:rFonts w:hint="eastAsia"/>
          <w:color w:val="000000"/>
          <w:sz w:val="24"/>
        </w:rPr>
        <w:t>既有边</w:t>
      </w:r>
      <w:r>
        <w:rPr>
          <w:color w:val="000000"/>
          <w:sz w:val="24"/>
        </w:rPr>
        <w:t>坡进行加固。</w:t>
      </w:r>
    </w:p>
    <w:p>
      <w:pPr>
        <w:spacing w:line="360" w:lineRule="auto"/>
        <w:rPr>
          <w:color w:val="000000"/>
          <w:sz w:val="24"/>
        </w:rPr>
      </w:pPr>
      <w:r>
        <w:rPr>
          <w:b/>
          <w:color w:val="000000"/>
          <w:sz w:val="24"/>
        </w:rPr>
        <w:t>6.4.</w:t>
      </w:r>
      <w:r>
        <w:rPr>
          <w:rFonts w:hint="eastAsia"/>
          <w:b/>
          <w:color w:val="000000"/>
          <w:sz w:val="24"/>
        </w:rPr>
        <w:t>4</w:t>
      </w:r>
      <w:r>
        <w:rPr>
          <w:color w:val="FF0000"/>
          <w:sz w:val="24"/>
        </w:rPr>
        <w:t xml:space="preserve">  </w:t>
      </w:r>
      <w:r>
        <w:rPr>
          <w:color w:val="000000"/>
          <w:sz w:val="24"/>
        </w:rPr>
        <w:t>基坑</w:t>
      </w:r>
      <w:r>
        <w:rPr>
          <w:rFonts w:hint="eastAsia"/>
          <w:color w:val="000000"/>
          <w:sz w:val="24"/>
        </w:rPr>
        <w:t>的排水措施应</w:t>
      </w:r>
      <w:r>
        <w:rPr>
          <w:color w:val="000000"/>
          <w:sz w:val="24"/>
        </w:rPr>
        <w:t>结合边坡的永久排水措施</w:t>
      </w:r>
      <w:r>
        <w:rPr>
          <w:rFonts w:hint="eastAsia"/>
          <w:color w:val="000000"/>
          <w:sz w:val="24"/>
        </w:rPr>
        <w:t>布置</w:t>
      </w:r>
      <w:r>
        <w:rPr>
          <w:color w:val="000000"/>
          <w:sz w:val="24"/>
        </w:rPr>
        <w:t>。</w:t>
      </w:r>
    </w:p>
    <w:p>
      <w:pPr>
        <w:spacing w:line="360" w:lineRule="auto"/>
        <w:jc w:val="left"/>
        <w:rPr>
          <w:i/>
          <w:color w:val="00B0F0"/>
          <w:sz w:val="24"/>
        </w:rPr>
      </w:pPr>
    </w:p>
    <w:p>
      <w:pPr>
        <w:spacing w:line="360" w:lineRule="auto"/>
        <w:jc w:val="center"/>
        <w:outlineLvl w:val="0"/>
        <w:rPr>
          <w:b/>
          <w:i/>
          <w:color w:val="0000FF"/>
          <w:sz w:val="28"/>
          <w:szCs w:val="28"/>
        </w:rPr>
        <w:sectPr>
          <w:pgSz w:w="11907" w:h="16840"/>
          <w:pgMar w:top="1418" w:right="1134" w:bottom="1134" w:left="1701" w:header="851" w:footer="851" w:gutter="0"/>
          <w:cols w:space="720" w:num="1"/>
          <w:docGrid w:linePitch="312" w:charSpace="0"/>
        </w:sectPr>
      </w:pPr>
      <w:bookmarkStart w:id="83" w:name="_Toc8891"/>
    </w:p>
    <w:p>
      <w:pPr>
        <w:spacing w:line="360" w:lineRule="auto"/>
        <w:jc w:val="center"/>
        <w:outlineLvl w:val="0"/>
        <w:rPr>
          <w:b/>
          <w:sz w:val="28"/>
          <w:szCs w:val="28"/>
        </w:rPr>
      </w:pPr>
      <w:bookmarkStart w:id="84" w:name="_Toc87018350"/>
      <w:bookmarkStart w:id="85" w:name="_Toc87018281"/>
      <w:r>
        <w:rPr>
          <w:b/>
          <w:sz w:val="28"/>
          <w:szCs w:val="28"/>
        </w:rPr>
        <w:t>7</w:t>
      </w:r>
      <w:bookmarkEnd w:id="83"/>
      <w:r>
        <w:rPr>
          <w:b/>
          <w:sz w:val="28"/>
          <w:szCs w:val="28"/>
        </w:rPr>
        <w:t xml:space="preserve">  地下水控制</w:t>
      </w:r>
      <w:bookmarkEnd w:id="84"/>
      <w:bookmarkEnd w:id="85"/>
    </w:p>
    <w:p>
      <w:pPr>
        <w:spacing w:line="360" w:lineRule="auto"/>
        <w:jc w:val="center"/>
        <w:outlineLvl w:val="1"/>
        <w:rPr>
          <w:b/>
          <w:sz w:val="24"/>
        </w:rPr>
      </w:pPr>
      <w:bookmarkStart w:id="86" w:name="_Toc362550865"/>
      <w:bookmarkStart w:id="87" w:name="_Toc17709"/>
      <w:bookmarkStart w:id="88" w:name="_Toc87018282"/>
      <w:bookmarkStart w:id="89" w:name="_Toc87018351"/>
      <w:r>
        <w:rPr>
          <w:b/>
          <w:sz w:val="24"/>
        </w:rPr>
        <w:t>7.1  一般规定</w:t>
      </w:r>
      <w:bookmarkEnd w:id="86"/>
      <w:bookmarkEnd w:id="87"/>
      <w:bookmarkEnd w:id="88"/>
      <w:bookmarkEnd w:id="89"/>
    </w:p>
    <w:p>
      <w:pPr>
        <w:spacing w:line="360" w:lineRule="auto"/>
        <w:jc w:val="left"/>
        <w:rPr>
          <w:sz w:val="24"/>
        </w:rPr>
      </w:pPr>
      <w:r>
        <w:rPr>
          <w:b/>
          <w:sz w:val="24"/>
        </w:rPr>
        <w:t xml:space="preserve">7.1.1  </w:t>
      </w:r>
      <w:r>
        <w:rPr>
          <w:sz w:val="24"/>
        </w:rPr>
        <w:t>地下水控</w:t>
      </w:r>
      <w:r>
        <w:rPr>
          <w:rFonts w:hint="eastAsia"/>
          <w:sz w:val="24"/>
        </w:rPr>
        <w:t>制措施</w:t>
      </w:r>
      <w:r>
        <w:rPr>
          <w:sz w:val="24"/>
        </w:rPr>
        <w:t>应根据工程地质、水文地质、周边环境、工程经验，结合基坑支护结构及基础施工方案综合确定。</w:t>
      </w:r>
    </w:p>
    <w:p>
      <w:pPr>
        <w:spacing w:line="360" w:lineRule="auto"/>
        <w:jc w:val="left"/>
        <w:rPr>
          <w:sz w:val="24"/>
        </w:rPr>
      </w:pPr>
      <w:r>
        <w:rPr>
          <w:b/>
          <w:sz w:val="24"/>
        </w:rPr>
        <w:t>7.1.2</w:t>
      </w:r>
      <w:r>
        <w:rPr>
          <w:rFonts w:hint="eastAsia"/>
          <w:b/>
          <w:sz w:val="24"/>
        </w:rPr>
        <w:t xml:space="preserve">  </w:t>
      </w:r>
      <w:r>
        <w:rPr>
          <w:sz w:val="24"/>
        </w:rPr>
        <w:t>地下水控制宜采用集水</w:t>
      </w:r>
      <w:r>
        <w:rPr>
          <w:rFonts w:hint="eastAsia"/>
          <w:sz w:val="24"/>
        </w:rPr>
        <w:t>与</w:t>
      </w:r>
      <w:r>
        <w:rPr>
          <w:sz w:val="24"/>
        </w:rPr>
        <w:t>排</w:t>
      </w:r>
      <w:r>
        <w:rPr>
          <w:rFonts w:hint="eastAsia"/>
          <w:sz w:val="24"/>
        </w:rPr>
        <w:t>水</w:t>
      </w:r>
      <w:r>
        <w:rPr>
          <w:sz w:val="24"/>
        </w:rPr>
        <w:t>、截水帷幕、降水和回灌</w:t>
      </w:r>
      <w:r>
        <w:rPr>
          <w:rFonts w:hint="eastAsia"/>
          <w:sz w:val="24"/>
        </w:rPr>
        <w:t>等措施</w:t>
      </w:r>
      <w:r>
        <w:rPr>
          <w:sz w:val="24"/>
        </w:rPr>
        <w:t>，可单独或组合使用。坑底以下存在承压水时，应进行</w:t>
      </w:r>
      <w:r>
        <w:rPr>
          <w:rFonts w:hint="eastAsia"/>
          <w:sz w:val="24"/>
        </w:rPr>
        <w:t>突涌</w:t>
      </w:r>
      <w:r>
        <w:rPr>
          <w:sz w:val="24"/>
        </w:rPr>
        <w:t>稳定</w:t>
      </w:r>
      <w:r>
        <w:rPr>
          <w:rFonts w:hint="eastAsia"/>
          <w:sz w:val="24"/>
        </w:rPr>
        <w:t>性</w:t>
      </w:r>
      <w:r>
        <w:rPr>
          <w:sz w:val="24"/>
        </w:rPr>
        <w:t>验算，不满足要求时可采用水平封底帷幕、减压等措施。</w:t>
      </w:r>
    </w:p>
    <w:p>
      <w:pPr>
        <w:spacing w:line="360" w:lineRule="auto"/>
        <w:jc w:val="left"/>
        <w:rPr>
          <w:sz w:val="24"/>
        </w:rPr>
      </w:pPr>
      <w:r>
        <w:rPr>
          <w:b/>
          <w:sz w:val="24"/>
        </w:rPr>
        <w:t xml:space="preserve">7.1.3  </w:t>
      </w:r>
      <w:r>
        <w:rPr>
          <w:sz w:val="24"/>
        </w:rPr>
        <w:t>基坑施工期间，应对基坑内外地下水的控制效果及环境影响进行动态监测，</w:t>
      </w:r>
      <w:r>
        <w:rPr>
          <w:rFonts w:hint="eastAsia"/>
          <w:sz w:val="24"/>
        </w:rPr>
        <w:t>实施信息化施工</w:t>
      </w:r>
      <w:r>
        <w:rPr>
          <w:sz w:val="24"/>
        </w:rPr>
        <w:t>。</w:t>
      </w:r>
    </w:p>
    <w:p>
      <w:pPr>
        <w:spacing w:line="360" w:lineRule="auto"/>
        <w:jc w:val="center"/>
        <w:outlineLvl w:val="1"/>
        <w:rPr>
          <w:b/>
          <w:sz w:val="24"/>
        </w:rPr>
      </w:pPr>
      <w:bookmarkStart w:id="90" w:name="_Toc21492"/>
      <w:bookmarkStart w:id="91" w:name="_Toc362550866"/>
      <w:bookmarkStart w:id="92" w:name="_Toc87018352"/>
      <w:bookmarkStart w:id="93" w:name="_Toc87018283"/>
      <w:r>
        <w:rPr>
          <w:b/>
          <w:sz w:val="24"/>
        </w:rPr>
        <w:t xml:space="preserve">7.2 </w:t>
      </w:r>
      <w:bookmarkEnd w:id="90"/>
      <w:bookmarkEnd w:id="91"/>
      <w:r>
        <w:rPr>
          <w:b/>
          <w:sz w:val="24"/>
        </w:rPr>
        <w:t xml:space="preserve"> 设计计算与验算</w:t>
      </w:r>
      <w:bookmarkEnd w:id="92"/>
      <w:bookmarkEnd w:id="93"/>
    </w:p>
    <w:p>
      <w:pPr>
        <w:spacing w:line="360" w:lineRule="auto"/>
        <w:jc w:val="left"/>
        <w:rPr>
          <w:sz w:val="24"/>
        </w:rPr>
      </w:pPr>
      <w:r>
        <w:rPr>
          <w:b/>
          <w:sz w:val="24"/>
        </w:rPr>
        <w:t xml:space="preserve">7.2.1  </w:t>
      </w:r>
      <w:r>
        <w:rPr>
          <w:rFonts w:hint="eastAsia"/>
          <w:sz w:val="24"/>
        </w:rPr>
        <w:t>基坑</w:t>
      </w:r>
      <w:r>
        <w:rPr>
          <w:sz w:val="24"/>
        </w:rPr>
        <w:t>涌水量根据地下水类型按</w:t>
      </w:r>
      <w:r>
        <w:rPr>
          <w:rFonts w:hint="eastAsia"/>
          <w:sz w:val="24"/>
        </w:rPr>
        <w:t>《建筑基坑支护技术规程》JGJ 120有关规定计算</w:t>
      </w:r>
      <w:r>
        <w:rPr>
          <w:sz w:val="24"/>
        </w:rPr>
        <w:t>。</w:t>
      </w:r>
    </w:p>
    <w:p>
      <w:pPr>
        <w:spacing w:line="360" w:lineRule="auto"/>
        <w:jc w:val="left"/>
        <w:rPr>
          <w:sz w:val="24"/>
        </w:rPr>
      </w:pPr>
      <w:r>
        <w:rPr>
          <w:b/>
          <w:sz w:val="24"/>
        </w:rPr>
        <w:t xml:space="preserve">7.2.2  </w:t>
      </w:r>
      <w:r>
        <w:rPr>
          <w:sz w:val="24"/>
        </w:rPr>
        <w:t>基坑截水帷幕，按底部土体透水性分为落底式和悬挂式截水帷幕。</w:t>
      </w:r>
    </w:p>
    <w:p>
      <w:pPr>
        <w:autoSpaceDE w:val="0"/>
        <w:autoSpaceDN w:val="0"/>
        <w:adjustRightInd w:val="0"/>
        <w:spacing w:line="360" w:lineRule="auto"/>
        <w:ind w:firstLine="480" w:firstLineChars="200"/>
        <w:jc w:val="left"/>
        <w:rPr>
          <w:sz w:val="24"/>
        </w:rPr>
      </w:pPr>
      <w:r>
        <w:rPr>
          <w:sz w:val="24"/>
        </w:rPr>
        <w:t>1</w:t>
      </w:r>
      <w:r>
        <w:rPr>
          <w:b/>
          <w:sz w:val="24"/>
        </w:rPr>
        <w:t xml:space="preserve">  </w:t>
      </w:r>
      <w:r>
        <w:rPr>
          <w:sz w:val="24"/>
        </w:rPr>
        <w:t>当坑底以下存在连续分布、埋深较浅的隔水层时，应采用落底式截水帷幕，进入隔水层的深度应满足下式要求，且不宜小于1.5m：</w:t>
      </w:r>
    </w:p>
    <w:p>
      <w:pPr>
        <w:autoSpaceDE w:val="0"/>
        <w:autoSpaceDN w:val="0"/>
        <w:adjustRightInd w:val="0"/>
        <w:spacing w:line="360" w:lineRule="auto"/>
        <w:ind w:left="2520" w:leftChars="1200"/>
        <w:jc w:val="right"/>
        <w:rPr>
          <w:sz w:val="24"/>
        </w:rPr>
      </w:pPr>
      <w:r>
        <w:rPr>
          <w:i/>
          <w:sz w:val="24"/>
        </w:rPr>
        <w:t>l</w:t>
      </w:r>
      <w:r>
        <w:rPr>
          <w:sz w:val="24"/>
        </w:rPr>
        <w:t>≥0.2Δ</w:t>
      </w:r>
      <w:r>
        <w:rPr>
          <w:i/>
          <w:sz w:val="24"/>
        </w:rPr>
        <w:t>h</w:t>
      </w:r>
      <w:r>
        <w:rPr>
          <w:sz w:val="24"/>
        </w:rPr>
        <w:t>－0.5</w:t>
      </w:r>
      <w:r>
        <w:rPr>
          <w:i/>
          <w:sz w:val="24"/>
        </w:rPr>
        <w:t xml:space="preserve">b                     </w:t>
      </w:r>
      <w:r>
        <w:rPr>
          <w:sz w:val="24"/>
        </w:rPr>
        <w:t>（7.2.2-1）</w:t>
      </w:r>
    </w:p>
    <w:p>
      <w:pPr>
        <w:autoSpaceDE w:val="0"/>
        <w:autoSpaceDN w:val="0"/>
        <w:adjustRightInd w:val="0"/>
        <w:spacing w:line="360" w:lineRule="auto"/>
        <w:jc w:val="left"/>
        <w:rPr>
          <w:sz w:val="24"/>
        </w:rPr>
      </w:pPr>
      <w:r>
        <w:rPr>
          <w:sz w:val="24"/>
        </w:rPr>
        <w:t>式中：</w:t>
      </w:r>
      <w:r>
        <w:rPr>
          <w:i/>
          <w:sz w:val="24"/>
        </w:rPr>
        <w:t>l</w:t>
      </w:r>
      <w:r>
        <w:rPr>
          <w:sz w:val="24"/>
        </w:rPr>
        <w:t>——帷幕进入隔水层的深度(m)；</w:t>
      </w:r>
    </w:p>
    <w:p>
      <w:pPr>
        <w:autoSpaceDE w:val="0"/>
        <w:autoSpaceDN w:val="0"/>
        <w:adjustRightInd w:val="0"/>
        <w:spacing w:line="360" w:lineRule="auto"/>
        <w:ind w:firstLine="600" w:firstLineChars="250"/>
        <w:jc w:val="left"/>
        <w:rPr>
          <w:sz w:val="24"/>
        </w:rPr>
      </w:pPr>
      <w:r>
        <w:rPr>
          <w:sz w:val="24"/>
        </w:rPr>
        <w:t>Δ</w:t>
      </w:r>
      <w:r>
        <w:rPr>
          <w:i/>
          <w:sz w:val="24"/>
        </w:rPr>
        <w:t>h</w:t>
      </w:r>
      <w:r>
        <w:rPr>
          <w:sz w:val="24"/>
        </w:rPr>
        <w:t>——基坑内外的水头差值(m)；</w:t>
      </w:r>
    </w:p>
    <w:p>
      <w:pPr>
        <w:autoSpaceDE w:val="0"/>
        <w:autoSpaceDN w:val="0"/>
        <w:adjustRightInd w:val="0"/>
        <w:spacing w:line="360" w:lineRule="auto"/>
        <w:ind w:firstLine="720" w:firstLineChars="300"/>
        <w:jc w:val="left"/>
        <w:rPr>
          <w:sz w:val="24"/>
        </w:rPr>
      </w:pPr>
      <w:r>
        <w:rPr>
          <w:i/>
          <w:sz w:val="24"/>
        </w:rPr>
        <w:t>b</w:t>
      </w:r>
      <w:r>
        <w:rPr>
          <w:sz w:val="24"/>
        </w:rPr>
        <w:t>——帷幕的厚度(m)。</w:t>
      </w:r>
    </w:p>
    <w:p>
      <w:pPr>
        <w:tabs>
          <w:tab w:val="left" w:pos="672"/>
          <w:tab w:val="left" w:pos="1036"/>
          <w:tab w:val="left" w:pos="1620"/>
          <w:tab w:val="left" w:pos="2160"/>
          <w:tab w:val="left" w:pos="7020"/>
        </w:tabs>
        <w:spacing w:line="360" w:lineRule="auto"/>
        <w:ind w:firstLine="480" w:firstLineChars="200"/>
        <w:jc w:val="left"/>
        <w:rPr>
          <w:sz w:val="24"/>
        </w:rPr>
      </w:pPr>
      <w:r>
        <w:rPr>
          <w:sz w:val="24"/>
        </w:rPr>
        <w:t>2</w:t>
      </w:r>
      <w:r>
        <w:rPr>
          <w:b/>
          <w:sz w:val="24"/>
        </w:rPr>
        <w:t xml:space="preserve">  </w:t>
      </w:r>
      <w:r>
        <w:rPr>
          <w:sz w:val="24"/>
        </w:rPr>
        <w:t>当坑底以下含水层厚度大而需采用悬挂式帷幕，对均质含水层，基坑可能出现流土时，帷幕进入坑底的深度应满足本规程第</w:t>
      </w:r>
      <w:r>
        <w:rPr>
          <w:rFonts w:hint="eastAsia"/>
          <w:sz w:val="24"/>
        </w:rPr>
        <w:t>5.4.9</w:t>
      </w:r>
      <w:r>
        <w:rPr>
          <w:sz w:val="24"/>
        </w:rPr>
        <w:t>条规定。</w:t>
      </w:r>
    </w:p>
    <w:p>
      <w:pPr>
        <w:tabs>
          <w:tab w:val="left" w:pos="672"/>
          <w:tab w:val="left" w:pos="1036"/>
          <w:tab w:val="left" w:pos="1620"/>
          <w:tab w:val="left" w:pos="2160"/>
          <w:tab w:val="left" w:pos="7020"/>
        </w:tabs>
        <w:spacing w:line="360" w:lineRule="auto"/>
        <w:ind w:firstLine="480"/>
        <w:rPr>
          <w:sz w:val="24"/>
        </w:rPr>
      </w:pPr>
      <w:r>
        <w:rPr>
          <w:sz w:val="24"/>
        </w:rPr>
        <w:t>对土质不均匀含水层，基坑可能出现管涌时，帷幕进入透水层的深度应考虑土体孔隙率</w:t>
      </w:r>
      <w:r>
        <w:rPr>
          <w:rFonts w:hint="eastAsia"/>
          <w:sz w:val="24"/>
        </w:rPr>
        <w:t>、不均匀系数等</w:t>
      </w:r>
      <w:r>
        <w:rPr>
          <w:sz w:val="24"/>
        </w:rPr>
        <w:t>的不利影响。</w:t>
      </w:r>
    </w:p>
    <w:p>
      <w:pPr>
        <w:tabs>
          <w:tab w:val="left" w:pos="672"/>
          <w:tab w:val="left" w:pos="1036"/>
          <w:tab w:val="left" w:pos="1620"/>
          <w:tab w:val="left" w:pos="2160"/>
          <w:tab w:val="left" w:pos="7020"/>
        </w:tabs>
        <w:spacing w:line="360" w:lineRule="auto"/>
        <w:jc w:val="left"/>
        <w:rPr>
          <w:sz w:val="24"/>
        </w:rPr>
      </w:pPr>
      <w:r>
        <w:rPr>
          <w:b/>
          <w:sz w:val="24"/>
        </w:rPr>
        <w:t xml:space="preserve">7.2.3  </w:t>
      </w:r>
      <w:r>
        <w:rPr>
          <w:sz w:val="24"/>
        </w:rPr>
        <w:t>承压水水头高于坑底且未用截水帷幕隔断其</w:t>
      </w:r>
      <w:r>
        <w:rPr>
          <w:rFonts w:hint="eastAsia"/>
          <w:sz w:val="24"/>
        </w:rPr>
        <w:t>与</w:t>
      </w:r>
      <w:r>
        <w:rPr>
          <w:sz w:val="24"/>
        </w:rPr>
        <w:t>基坑外的水力联系时，坑底突涌稳定性</w:t>
      </w:r>
      <w:r>
        <w:rPr>
          <w:rFonts w:hint="eastAsia"/>
          <w:sz w:val="24"/>
        </w:rPr>
        <w:t>验算</w:t>
      </w:r>
      <w:r>
        <w:rPr>
          <w:sz w:val="24"/>
        </w:rPr>
        <w:t>应符合本规程第</w:t>
      </w:r>
      <w:r>
        <w:rPr>
          <w:rFonts w:hint="eastAsia"/>
          <w:sz w:val="24"/>
        </w:rPr>
        <w:t>5.4.10</w:t>
      </w:r>
      <w:r>
        <w:rPr>
          <w:sz w:val="24"/>
        </w:rPr>
        <w:t>条规定。</w:t>
      </w:r>
    </w:p>
    <w:p>
      <w:pPr>
        <w:tabs>
          <w:tab w:val="left" w:pos="0"/>
          <w:tab w:val="left" w:pos="672"/>
          <w:tab w:val="left" w:pos="1620"/>
          <w:tab w:val="left" w:pos="2160"/>
          <w:tab w:val="left" w:pos="7020"/>
        </w:tabs>
        <w:spacing w:line="360" w:lineRule="auto"/>
        <w:jc w:val="left"/>
        <w:rPr>
          <w:sz w:val="24"/>
        </w:rPr>
      </w:pPr>
      <w:r>
        <w:rPr>
          <w:b/>
          <w:sz w:val="24"/>
        </w:rPr>
        <w:t xml:space="preserve">7.2.4  </w:t>
      </w:r>
      <w:r>
        <w:rPr>
          <w:sz w:val="24"/>
        </w:rPr>
        <w:t>基坑外降水引起的地</w:t>
      </w:r>
      <w:r>
        <w:rPr>
          <w:rFonts w:hint="eastAsia"/>
          <w:sz w:val="24"/>
        </w:rPr>
        <w:t>层压缩</w:t>
      </w:r>
      <w:r>
        <w:rPr>
          <w:sz w:val="24"/>
        </w:rPr>
        <w:t>变形量应</w:t>
      </w:r>
      <w:r>
        <w:rPr>
          <w:rFonts w:hint="eastAsia"/>
          <w:sz w:val="24"/>
        </w:rPr>
        <w:t>根据工程经验进行估算。</w:t>
      </w:r>
    </w:p>
    <w:p>
      <w:pPr>
        <w:spacing w:line="360" w:lineRule="auto"/>
        <w:jc w:val="center"/>
        <w:outlineLvl w:val="1"/>
        <w:rPr>
          <w:b/>
          <w:sz w:val="24"/>
        </w:rPr>
      </w:pPr>
      <w:bookmarkStart w:id="94" w:name="_Toc362550867"/>
      <w:bookmarkStart w:id="95" w:name="_Toc15671"/>
      <w:bookmarkStart w:id="96" w:name="_Toc87018284"/>
      <w:bookmarkStart w:id="97" w:name="_Toc87018353"/>
      <w:bookmarkStart w:id="98" w:name="OLE_LINK19"/>
      <w:r>
        <w:rPr>
          <w:b/>
          <w:sz w:val="24"/>
        </w:rPr>
        <w:t xml:space="preserve">7.3 </w:t>
      </w:r>
      <w:bookmarkEnd w:id="94"/>
      <w:bookmarkEnd w:id="95"/>
      <w:r>
        <w:rPr>
          <w:b/>
          <w:sz w:val="24"/>
        </w:rPr>
        <w:t xml:space="preserve"> 截水帷幕</w:t>
      </w:r>
      <w:bookmarkEnd w:id="96"/>
      <w:bookmarkEnd w:id="97"/>
    </w:p>
    <w:p>
      <w:pPr>
        <w:spacing w:line="360" w:lineRule="auto"/>
        <w:jc w:val="left"/>
        <w:rPr>
          <w:kern w:val="0"/>
          <w:sz w:val="24"/>
        </w:rPr>
      </w:pPr>
      <w:r>
        <w:rPr>
          <w:b/>
          <w:kern w:val="0"/>
          <w:sz w:val="24"/>
        </w:rPr>
        <w:t xml:space="preserve">7.3.1  </w:t>
      </w:r>
      <w:r>
        <w:rPr>
          <w:kern w:val="0"/>
          <w:sz w:val="24"/>
        </w:rPr>
        <w:t>截水帷幕可采用下列形式</w:t>
      </w:r>
      <w:r>
        <w:rPr>
          <w:sz w:val="24"/>
        </w:rPr>
        <w:t>：</w:t>
      </w:r>
    </w:p>
    <w:p>
      <w:pPr>
        <w:autoSpaceDE w:val="0"/>
        <w:autoSpaceDN w:val="0"/>
        <w:adjustRightInd w:val="0"/>
        <w:spacing w:line="360" w:lineRule="auto"/>
        <w:ind w:firstLine="480" w:firstLineChars="200"/>
        <w:jc w:val="left"/>
        <w:rPr>
          <w:kern w:val="0"/>
          <w:sz w:val="24"/>
        </w:rPr>
      </w:pPr>
      <w:r>
        <w:rPr>
          <w:sz w:val="24"/>
        </w:rPr>
        <w:t>1  在支护结构外侧采用深层搅拌桩、高压旋喷或摆喷桩、素混凝土</w:t>
      </w:r>
      <w:r>
        <w:rPr>
          <w:rFonts w:hint="eastAsia"/>
          <w:sz w:val="24"/>
        </w:rPr>
        <w:t>桩</w:t>
      </w:r>
      <w:r>
        <w:rPr>
          <w:sz w:val="24"/>
        </w:rPr>
        <w:t>形成的截水帷幕</w:t>
      </w:r>
      <w:r>
        <w:rPr>
          <w:rFonts w:hint="eastAsia"/>
          <w:sz w:val="24"/>
        </w:rPr>
        <w:t>；</w:t>
      </w:r>
    </w:p>
    <w:p>
      <w:pPr>
        <w:autoSpaceDE w:val="0"/>
        <w:autoSpaceDN w:val="0"/>
        <w:adjustRightInd w:val="0"/>
        <w:spacing w:line="360" w:lineRule="auto"/>
        <w:ind w:firstLine="480" w:firstLineChars="200"/>
        <w:jc w:val="left"/>
        <w:rPr>
          <w:sz w:val="24"/>
        </w:rPr>
      </w:pPr>
      <w:r>
        <w:rPr>
          <w:sz w:val="24"/>
        </w:rPr>
        <w:t>2  排桩支护时，可在桩间采用</w:t>
      </w:r>
      <w:r>
        <w:rPr>
          <w:rFonts w:hint="eastAsia"/>
          <w:sz w:val="24"/>
        </w:rPr>
        <w:t>水泥土桩</w:t>
      </w:r>
      <w:r>
        <w:rPr>
          <w:sz w:val="24"/>
        </w:rPr>
        <w:t>与支护桩咬合形成截水帷幕</w:t>
      </w:r>
      <w:r>
        <w:rPr>
          <w:rFonts w:hint="eastAsia"/>
          <w:sz w:val="24"/>
        </w:rPr>
        <w:t>；</w:t>
      </w:r>
    </w:p>
    <w:p>
      <w:pPr>
        <w:autoSpaceDE w:val="0"/>
        <w:autoSpaceDN w:val="0"/>
        <w:adjustRightInd w:val="0"/>
        <w:spacing w:line="360" w:lineRule="auto"/>
        <w:ind w:firstLine="480" w:firstLineChars="200"/>
        <w:jc w:val="left"/>
        <w:rPr>
          <w:sz w:val="24"/>
        </w:rPr>
      </w:pPr>
      <w:r>
        <w:rPr>
          <w:rFonts w:hint="eastAsia"/>
          <w:sz w:val="24"/>
        </w:rPr>
        <w:t xml:space="preserve">3  </w:t>
      </w:r>
      <w:r>
        <w:rPr>
          <w:sz w:val="24"/>
        </w:rPr>
        <w:t>地下连续墙、钢筋混凝土与素混凝土咬合桩支护结构可兼做截水帷幕</w:t>
      </w:r>
      <w:r>
        <w:rPr>
          <w:rFonts w:hint="eastAsia"/>
          <w:sz w:val="24"/>
        </w:rPr>
        <w:t>；</w:t>
      </w:r>
    </w:p>
    <w:p>
      <w:pPr>
        <w:autoSpaceDE w:val="0"/>
        <w:autoSpaceDN w:val="0"/>
        <w:adjustRightInd w:val="0"/>
        <w:spacing w:line="360" w:lineRule="auto"/>
        <w:ind w:firstLine="480" w:firstLineChars="200"/>
        <w:jc w:val="left"/>
        <w:rPr>
          <w:sz w:val="24"/>
        </w:rPr>
      </w:pPr>
      <w:r>
        <w:rPr>
          <w:rFonts w:hint="eastAsia"/>
          <w:sz w:val="24"/>
        </w:rPr>
        <w:t>4</w:t>
      </w:r>
      <w:r>
        <w:rPr>
          <w:sz w:val="24"/>
        </w:rPr>
        <w:t xml:space="preserve">  </w:t>
      </w:r>
      <w:r>
        <w:rPr>
          <w:rFonts w:hint="eastAsia"/>
          <w:sz w:val="24"/>
        </w:rPr>
        <w:t>水文地质及周边环境条件复杂，截水帷幕</w:t>
      </w:r>
      <w:r>
        <w:rPr>
          <w:sz w:val="24"/>
        </w:rPr>
        <w:t>深度超过1</w:t>
      </w:r>
      <w:r>
        <w:rPr>
          <w:rFonts w:hint="eastAsia"/>
          <w:sz w:val="24"/>
        </w:rPr>
        <w:t>5</w:t>
      </w:r>
      <w:r>
        <w:rPr>
          <w:sz w:val="24"/>
        </w:rPr>
        <w:t>.0m时</w:t>
      </w:r>
      <w:r>
        <w:rPr>
          <w:rFonts w:hint="eastAsia"/>
          <w:sz w:val="24"/>
        </w:rPr>
        <w:t>，</w:t>
      </w:r>
      <w:r>
        <w:rPr>
          <w:sz w:val="24"/>
        </w:rPr>
        <w:t>宜采用双</w:t>
      </w:r>
      <w:r>
        <w:rPr>
          <w:rFonts w:hint="eastAsia"/>
          <w:sz w:val="24"/>
        </w:rPr>
        <w:t>排</w:t>
      </w:r>
      <w:r>
        <w:rPr>
          <w:sz w:val="24"/>
        </w:rPr>
        <w:t>截水帷幕。</w:t>
      </w:r>
    </w:p>
    <w:p>
      <w:pPr>
        <w:spacing w:line="360" w:lineRule="auto"/>
        <w:jc w:val="left"/>
        <w:rPr>
          <w:kern w:val="0"/>
          <w:sz w:val="24"/>
        </w:rPr>
      </w:pPr>
      <w:r>
        <w:rPr>
          <w:b/>
          <w:kern w:val="0"/>
          <w:sz w:val="24"/>
        </w:rPr>
        <w:t xml:space="preserve">7.3.2  </w:t>
      </w:r>
      <w:r>
        <w:rPr>
          <w:kern w:val="0"/>
          <w:sz w:val="24"/>
        </w:rPr>
        <w:t>对滇池片区泥炭、泥炭质土、淤泥、淤泥质土层，宜优先采用三轴</w:t>
      </w:r>
      <w:r>
        <w:rPr>
          <w:rFonts w:hint="eastAsia"/>
          <w:kern w:val="0"/>
          <w:sz w:val="24"/>
        </w:rPr>
        <w:t>深层</w:t>
      </w:r>
      <w:r>
        <w:rPr>
          <w:kern w:val="0"/>
          <w:sz w:val="24"/>
        </w:rPr>
        <w:t>搅</w:t>
      </w:r>
      <w:r>
        <w:rPr>
          <w:rFonts w:hint="eastAsia"/>
          <w:kern w:val="0"/>
          <w:sz w:val="24"/>
        </w:rPr>
        <w:t>拌</w:t>
      </w:r>
      <w:r>
        <w:rPr>
          <w:kern w:val="0"/>
          <w:sz w:val="24"/>
        </w:rPr>
        <w:t>桩截水帷幕。</w:t>
      </w:r>
    </w:p>
    <w:bookmarkEnd w:id="98"/>
    <w:p>
      <w:pPr>
        <w:spacing w:line="360" w:lineRule="auto"/>
        <w:jc w:val="left"/>
        <w:rPr>
          <w:kern w:val="0"/>
          <w:sz w:val="24"/>
        </w:rPr>
      </w:pPr>
      <w:r>
        <w:rPr>
          <w:b/>
          <w:kern w:val="0"/>
          <w:sz w:val="24"/>
        </w:rPr>
        <w:t xml:space="preserve">7.3.3  </w:t>
      </w:r>
      <w:r>
        <w:rPr>
          <w:kern w:val="0"/>
          <w:sz w:val="24"/>
        </w:rPr>
        <w:t>截水帷幕在平面布置上宜沿基坑周边闭合。</w:t>
      </w:r>
    </w:p>
    <w:p>
      <w:pPr>
        <w:spacing w:line="360" w:lineRule="auto"/>
        <w:jc w:val="left"/>
        <w:rPr>
          <w:kern w:val="0"/>
          <w:sz w:val="24"/>
        </w:rPr>
      </w:pPr>
      <w:r>
        <w:rPr>
          <w:b/>
          <w:kern w:val="0"/>
          <w:sz w:val="24"/>
        </w:rPr>
        <w:t xml:space="preserve">7.3.4  </w:t>
      </w:r>
      <w:r>
        <w:rPr>
          <w:kern w:val="0"/>
          <w:sz w:val="24"/>
        </w:rPr>
        <w:t>截水帷幕的渗透系数应</w:t>
      </w:r>
      <w:r>
        <w:rPr>
          <w:rFonts w:hint="eastAsia"/>
          <w:kern w:val="0"/>
          <w:sz w:val="24"/>
        </w:rPr>
        <w:t>不大</w:t>
      </w:r>
      <w:r>
        <w:rPr>
          <w:kern w:val="0"/>
          <w:sz w:val="24"/>
        </w:rPr>
        <w:t>于1.0×10</w:t>
      </w:r>
      <w:r>
        <w:rPr>
          <w:kern w:val="0"/>
          <w:sz w:val="24"/>
          <w:vertAlign w:val="superscript"/>
        </w:rPr>
        <w:t>-6</w:t>
      </w:r>
      <w:r>
        <w:rPr>
          <w:kern w:val="0"/>
          <w:sz w:val="24"/>
        </w:rPr>
        <w:t>cm/s。</w:t>
      </w:r>
    </w:p>
    <w:p>
      <w:pPr>
        <w:spacing w:line="360" w:lineRule="auto"/>
        <w:jc w:val="left"/>
        <w:rPr>
          <w:kern w:val="0"/>
          <w:sz w:val="24"/>
        </w:rPr>
      </w:pPr>
      <w:r>
        <w:rPr>
          <w:b/>
          <w:kern w:val="0"/>
          <w:sz w:val="24"/>
        </w:rPr>
        <w:t xml:space="preserve">7.3.5  </w:t>
      </w:r>
      <w:bookmarkStart w:id="99" w:name="OLE_LINK10"/>
      <w:r>
        <w:rPr>
          <w:rFonts w:hint="eastAsia"/>
          <w:kern w:val="0"/>
          <w:sz w:val="24"/>
        </w:rPr>
        <w:t>深层</w:t>
      </w:r>
      <w:r>
        <w:rPr>
          <w:kern w:val="0"/>
          <w:sz w:val="24"/>
        </w:rPr>
        <w:t>搅拌桩</w:t>
      </w:r>
      <w:r>
        <w:rPr>
          <w:rFonts w:hint="eastAsia"/>
          <w:kern w:val="0"/>
          <w:sz w:val="24"/>
        </w:rPr>
        <w:t>截水</w:t>
      </w:r>
      <w:r>
        <w:rPr>
          <w:kern w:val="0"/>
          <w:sz w:val="24"/>
        </w:rPr>
        <w:t>帷幕设计应符合下列规定：</w:t>
      </w:r>
    </w:p>
    <w:p>
      <w:pPr>
        <w:spacing w:line="360" w:lineRule="auto"/>
        <w:ind w:firstLine="480" w:firstLineChars="200"/>
        <w:jc w:val="left"/>
        <w:rPr>
          <w:kern w:val="0"/>
          <w:sz w:val="24"/>
        </w:rPr>
      </w:pPr>
      <w:r>
        <w:rPr>
          <w:kern w:val="0"/>
          <w:sz w:val="24"/>
        </w:rPr>
        <w:t xml:space="preserve">1  </w:t>
      </w:r>
      <w:r>
        <w:rPr>
          <w:rFonts w:hint="eastAsia"/>
          <w:kern w:val="0"/>
          <w:sz w:val="24"/>
        </w:rPr>
        <w:t>深层</w:t>
      </w:r>
      <w:r>
        <w:rPr>
          <w:kern w:val="0"/>
          <w:sz w:val="24"/>
        </w:rPr>
        <w:t>搅拌桩直径宜采用500mm～850mm，有效搭接</w:t>
      </w:r>
      <w:r>
        <w:rPr>
          <w:rFonts w:hint="eastAsia"/>
          <w:kern w:val="0"/>
          <w:sz w:val="24"/>
        </w:rPr>
        <w:t>宽</w:t>
      </w:r>
      <w:r>
        <w:rPr>
          <w:kern w:val="0"/>
          <w:sz w:val="24"/>
        </w:rPr>
        <w:t>度宜取150mm～250mm；</w:t>
      </w:r>
      <w:r>
        <w:rPr>
          <w:rFonts w:hint="eastAsia"/>
          <w:kern w:val="0"/>
          <w:sz w:val="24"/>
        </w:rPr>
        <w:t>当</w:t>
      </w:r>
      <w:r>
        <w:rPr>
          <w:kern w:val="0"/>
          <w:sz w:val="24"/>
        </w:rPr>
        <w:t>桩位偏差、垂直度偏差、桩长、搭接</w:t>
      </w:r>
      <w:r>
        <w:rPr>
          <w:rFonts w:hint="eastAsia"/>
          <w:kern w:val="0"/>
          <w:sz w:val="24"/>
        </w:rPr>
        <w:t>宽</w:t>
      </w:r>
      <w:r>
        <w:rPr>
          <w:kern w:val="0"/>
          <w:sz w:val="24"/>
        </w:rPr>
        <w:t>度不能满足上述要求时，可将截水帷幕调整为双</w:t>
      </w:r>
      <w:r>
        <w:rPr>
          <w:rFonts w:hint="eastAsia"/>
          <w:kern w:val="0"/>
          <w:sz w:val="24"/>
        </w:rPr>
        <w:t>排</w:t>
      </w:r>
      <w:r>
        <w:rPr>
          <w:kern w:val="0"/>
          <w:sz w:val="24"/>
        </w:rPr>
        <w:t>或采用其他可行措施</w:t>
      </w:r>
      <w:r>
        <w:rPr>
          <w:rFonts w:hint="eastAsia"/>
          <w:kern w:val="0"/>
          <w:sz w:val="24"/>
        </w:rPr>
        <w:t>；</w:t>
      </w:r>
    </w:p>
    <w:p>
      <w:pPr>
        <w:spacing w:line="360" w:lineRule="auto"/>
        <w:ind w:firstLine="480" w:firstLineChars="200"/>
        <w:jc w:val="left"/>
        <w:rPr>
          <w:kern w:val="0"/>
          <w:sz w:val="24"/>
        </w:rPr>
      </w:pPr>
      <w:r>
        <w:rPr>
          <w:kern w:val="0"/>
          <w:sz w:val="24"/>
        </w:rPr>
        <w:t>2  单轴</w:t>
      </w:r>
      <w:r>
        <w:rPr>
          <w:rFonts w:hint="eastAsia"/>
          <w:kern w:val="0"/>
          <w:sz w:val="24"/>
        </w:rPr>
        <w:t>深层</w:t>
      </w:r>
      <w:r>
        <w:rPr>
          <w:kern w:val="0"/>
          <w:sz w:val="24"/>
        </w:rPr>
        <w:t>搅拌桩水泥浆液的水灰比宜取0.6</w:t>
      </w:r>
      <w:bookmarkStart w:id="100" w:name="OLE_LINK8"/>
      <w:r>
        <w:rPr>
          <w:kern w:val="0"/>
          <w:sz w:val="24"/>
        </w:rPr>
        <w:t>～</w:t>
      </w:r>
      <w:bookmarkEnd w:id="100"/>
      <w:r>
        <w:rPr>
          <w:kern w:val="0"/>
          <w:sz w:val="24"/>
        </w:rPr>
        <w:t>0.8，</w:t>
      </w:r>
      <w:bookmarkStart w:id="101" w:name="OLE_LINK9"/>
      <w:r>
        <w:rPr>
          <w:kern w:val="0"/>
          <w:sz w:val="24"/>
        </w:rPr>
        <w:t>水泥掺量宜取土的天然重度的15%～20%</w:t>
      </w:r>
      <w:bookmarkEnd w:id="101"/>
      <w:r>
        <w:rPr>
          <w:rFonts w:hint="eastAsia"/>
          <w:kern w:val="0"/>
          <w:sz w:val="24"/>
        </w:rPr>
        <w:t>；</w:t>
      </w:r>
      <w:r>
        <w:rPr>
          <w:kern w:val="0"/>
          <w:sz w:val="24"/>
        </w:rPr>
        <w:t>三轴</w:t>
      </w:r>
      <w:r>
        <w:rPr>
          <w:rFonts w:hint="eastAsia"/>
          <w:kern w:val="0"/>
          <w:sz w:val="24"/>
        </w:rPr>
        <w:t>深层</w:t>
      </w:r>
      <w:r>
        <w:rPr>
          <w:kern w:val="0"/>
          <w:sz w:val="24"/>
        </w:rPr>
        <w:t>搅拌桩水泥浆液水灰比宜取1.0～1.5</w:t>
      </w:r>
      <w:bookmarkStart w:id="102" w:name="OLE_LINK7"/>
      <w:r>
        <w:rPr>
          <w:kern w:val="0"/>
          <w:sz w:val="24"/>
        </w:rPr>
        <w:t>，一般土层水泥掺量宜取土的</w:t>
      </w:r>
      <w:bookmarkEnd w:id="102"/>
      <w:r>
        <w:rPr>
          <w:kern w:val="0"/>
          <w:sz w:val="24"/>
        </w:rPr>
        <w:t>重度的</w:t>
      </w:r>
      <w:bookmarkStart w:id="103" w:name="OLE_LINK12"/>
      <w:r>
        <w:rPr>
          <w:rFonts w:hint="eastAsia"/>
          <w:kern w:val="0"/>
          <w:sz w:val="24"/>
        </w:rPr>
        <w:t>20</w:t>
      </w:r>
      <w:r>
        <w:rPr>
          <w:kern w:val="0"/>
          <w:sz w:val="24"/>
        </w:rPr>
        <w:t>%～</w:t>
      </w:r>
      <w:r>
        <w:rPr>
          <w:rFonts w:hint="eastAsia"/>
          <w:kern w:val="0"/>
          <w:sz w:val="24"/>
        </w:rPr>
        <w:t>25</w:t>
      </w:r>
      <w:r>
        <w:rPr>
          <w:kern w:val="0"/>
          <w:sz w:val="24"/>
        </w:rPr>
        <w:t>%</w:t>
      </w:r>
      <w:bookmarkEnd w:id="103"/>
      <w:r>
        <w:rPr>
          <w:kern w:val="0"/>
          <w:sz w:val="24"/>
        </w:rPr>
        <w:t>，滇池片区淤泥、</w:t>
      </w:r>
      <w:r>
        <w:rPr>
          <w:rFonts w:hint="eastAsia"/>
          <w:kern w:val="0"/>
          <w:sz w:val="24"/>
        </w:rPr>
        <w:t>淤泥质土、</w:t>
      </w:r>
      <w:r>
        <w:rPr>
          <w:kern w:val="0"/>
          <w:sz w:val="24"/>
        </w:rPr>
        <w:t>泥炭</w:t>
      </w:r>
      <w:r>
        <w:rPr>
          <w:rFonts w:hint="eastAsia"/>
          <w:kern w:val="0"/>
          <w:sz w:val="24"/>
        </w:rPr>
        <w:t>、泥炭质</w:t>
      </w:r>
      <w:r>
        <w:rPr>
          <w:kern w:val="0"/>
          <w:sz w:val="24"/>
        </w:rPr>
        <w:t>土层水泥</w:t>
      </w:r>
      <w:r>
        <w:rPr>
          <w:rFonts w:hint="eastAsia"/>
          <w:kern w:val="0"/>
          <w:sz w:val="24"/>
        </w:rPr>
        <w:t>掺</w:t>
      </w:r>
      <w:r>
        <w:rPr>
          <w:kern w:val="0"/>
          <w:sz w:val="24"/>
        </w:rPr>
        <w:t>量宜取土的天然重度的50%～60%。</w:t>
      </w:r>
    </w:p>
    <w:p>
      <w:pPr>
        <w:spacing w:line="360" w:lineRule="auto"/>
        <w:jc w:val="left"/>
        <w:rPr>
          <w:kern w:val="0"/>
          <w:sz w:val="24"/>
        </w:rPr>
      </w:pPr>
      <w:r>
        <w:rPr>
          <w:b/>
          <w:kern w:val="0"/>
          <w:sz w:val="24"/>
        </w:rPr>
        <w:t xml:space="preserve">7.3.6  </w:t>
      </w:r>
      <w:r>
        <w:rPr>
          <w:kern w:val="0"/>
          <w:sz w:val="24"/>
        </w:rPr>
        <w:t>当深层搅拌桩帷幕临近既有建筑物或场地</w:t>
      </w:r>
      <w:r>
        <w:rPr>
          <w:rFonts w:hint="eastAsia"/>
          <w:kern w:val="0"/>
          <w:sz w:val="24"/>
        </w:rPr>
        <w:t>垂直坑壁方向</w:t>
      </w:r>
      <w:r>
        <w:rPr>
          <w:kern w:val="0"/>
          <w:sz w:val="24"/>
        </w:rPr>
        <w:t>存在高差时，应分段组织施工，连续施工长度不宜大于</w:t>
      </w:r>
      <w:r>
        <w:rPr>
          <w:rFonts w:hint="eastAsia"/>
          <w:kern w:val="0"/>
          <w:sz w:val="24"/>
        </w:rPr>
        <w:t>6</w:t>
      </w:r>
      <w:r>
        <w:rPr>
          <w:kern w:val="0"/>
          <w:sz w:val="24"/>
        </w:rPr>
        <w:t>m。</w:t>
      </w:r>
    </w:p>
    <w:p>
      <w:pPr>
        <w:spacing w:line="360" w:lineRule="auto"/>
        <w:jc w:val="left"/>
        <w:rPr>
          <w:kern w:val="0"/>
          <w:sz w:val="24"/>
        </w:rPr>
      </w:pPr>
      <w:bookmarkStart w:id="104" w:name="OLE_LINK14"/>
      <w:r>
        <w:rPr>
          <w:b/>
          <w:kern w:val="0"/>
          <w:sz w:val="24"/>
        </w:rPr>
        <w:t xml:space="preserve">7.3.7  </w:t>
      </w:r>
      <w:r>
        <w:rPr>
          <w:kern w:val="0"/>
          <w:sz w:val="24"/>
        </w:rPr>
        <w:t>高压喷射注浆</w:t>
      </w:r>
      <w:r>
        <w:rPr>
          <w:rFonts w:hint="eastAsia"/>
          <w:kern w:val="0"/>
          <w:sz w:val="24"/>
        </w:rPr>
        <w:t>截水</w:t>
      </w:r>
      <w:r>
        <w:rPr>
          <w:kern w:val="0"/>
          <w:sz w:val="24"/>
        </w:rPr>
        <w:t>帷幕设计应符合下列规定：</w:t>
      </w:r>
    </w:p>
    <w:p>
      <w:pPr>
        <w:spacing w:line="360" w:lineRule="auto"/>
        <w:ind w:firstLine="480" w:firstLineChars="200"/>
        <w:jc w:val="left"/>
        <w:rPr>
          <w:kern w:val="0"/>
          <w:sz w:val="24"/>
        </w:rPr>
      </w:pPr>
      <w:r>
        <w:rPr>
          <w:kern w:val="0"/>
          <w:sz w:val="24"/>
        </w:rPr>
        <w:t>1  高压喷射注浆形式分为旋喷注浆和摆喷注浆等类型；根据工程的需要和机具设备条件，高压喷射注浆可分</w:t>
      </w:r>
      <w:r>
        <w:rPr>
          <w:rFonts w:hint="eastAsia"/>
          <w:kern w:val="0"/>
          <w:sz w:val="24"/>
        </w:rPr>
        <w:t>为</w:t>
      </w:r>
      <w:r>
        <w:rPr>
          <w:kern w:val="0"/>
          <w:sz w:val="24"/>
        </w:rPr>
        <w:t>单管法、二重管法和三重管法</w:t>
      </w:r>
      <w:bookmarkEnd w:id="104"/>
      <w:r>
        <w:rPr>
          <w:rFonts w:hint="eastAsia"/>
          <w:kern w:val="0"/>
          <w:sz w:val="24"/>
        </w:rPr>
        <w:t>；</w:t>
      </w:r>
    </w:p>
    <w:p>
      <w:pPr>
        <w:spacing w:line="360" w:lineRule="auto"/>
        <w:ind w:firstLine="480" w:firstLineChars="200"/>
        <w:jc w:val="left"/>
        <w:rPr>
          <w:kern w:val="0"/>
          <w:sz w:val="24"/>
        </w:rPr>
      </w:pPr>
      <w:r>
        <w:rPr>
          <w:kern w:val="0"/>
          <w:sz w:val="24"/>
        </w:rPr>
        <w:t>2  采用与排桩咬合的高压喷射注浆</w:t>
      </w:r>
      <w:r>
        <w:rPr>
          <w:rFonts w:hint="eastAsia"/>
          <w:kern w:val="0"/>
          <w:sz w:val="24"/>
        </w:rPr>
        <w:t>截水</w:t>
      </w:r>
      <w:r>
        <w:rPr>
          <w:kern w:val="0"/>
          <w:sz w:val="24"/>
        </w:rPr>
        <w:t>帷幕时，高压喷射注浆轴线宜</w:t>
      </w:r>
      <w:r>
        <w:rPr>
          <w:rFonts w:hint="eastAsia"/>
          <w:kern w:val="0"/>
          <w:sz w:val="24"/>
        </w:rPr>
        <w:t>向坑外方向</w:t>
      </w:r>
      <w:r>
        <w:rPr>
          <w:kern w:val="0"/>
          <w:sz w:val="24"/>
        </w:rPr>
        <w:t>错开支护桩轴</w:t>
      </w:r>
      <w:r>
        <w:rPr>
          <w:rFonts w:hint="eastAsia"/>
          <w:kern w:val="0"/>
          <w:sz w:val="24"/>
        </w:rPr>
        <w:t>线</w:t>
      </w:r>
      <w:r>
        <w:rPr>
          <w:kern w:val="0"/>
          <w:sz w:val="24"/>
        </w:rPr>
        <w:t>300mm以上，与排桩搭接</w:t>
      </w:r>
      <w:r>
        <w:rPr>
          <w:rFonts w:hint="eastAsia"/>
          <w:kern w:val="0"/>
          <w:sz w:val="24"/>
        </w:rPr>
        <w:t>宽</w:t>
      </w:r>
      <w:r>
        <w:rPr>
          <w:kern w:val="0"/>
          <w:sz w:val="24"/>
        </w:rPr>
        <w:t>度不应小于200mm，优先选择半圆形旋喷注浆</w:t>
      </w:r>
      <w:r>
        <w:rPr>
          <w:rFonts w:hint="eastAsia"/>
          <w:kern w:val="0"/>
          <w:sz w:val="24"/>
        </w:rPr>
        <w:t>；</w:t>
      </w:r>
    </w:p>
    <w:p>
      <w:pPr>
        <w:spacing w:line="360" w:lineRule="auto"/>
        <w:ind w:firstLine="480" w:firstLineChars="200"/>
        <w:jc w:val="left"/>
        <w:rPr>
          <w:kern w:val="0"/>
          <w:sz w:val="24"/>
        </w:rPr>
      </w:pPr>
      <w:r>
        <w:rPr>
          <w:rFonts w:hint="eastAsia"/>
          <w:kern w:val="0"/>
          <w:sz w:val="24"/>
        </w:rPr>
        <w:t xml:space="preserve">3 </w:t>
      </w:r>
      <w:r>
        <w:rPr>
          <w:kern w:val="0"/>
          <w:sz w:val="24"/>
        </w:rPr>
        <w:t xml:space="preserve"> 高压喷射注浆水泥浆液水灰比宜取0.9～1.1，水泥掺量宜取土的天然容重的</w:t>
      </w:r>
      <w:r>
        <w:rPr>
          <w:rFonts w:hint="eastAsia"/>
          <w:kern w:val="0"/>
          <w:sz w:val="24"/>
        </w:rPr>
        <w:t>25</w:t>
      </w:r>
      <w:r>
        <w:rPr>
          <w:kern w:val="0"/>
          <w:sz w:val="24"/>
        </w:rPr>
        <w:t>%～40%，三重管高压喷射注浆取大值。</w:t>
      </w:r>
    </w:p>
    <w:p>
      <w:pPr>
        <w:spacing w:line="360" w:lineRule="auto"/>
        <w:jc w:val="left"/>
        <w:rPr>
          <w:b/>
          <w:kern w:val="0"/>
          <w:sz w:val="24"/>
        </w:rPr>
      </w:pPr>
      <w:r>
        <w:rPr>
          <w:b/>
          <w:kern w:val="0"/>
          <w:sz w:val="24"/>
        </w:rPr>
        <w:t xml:space="preserve">7.3.8  </w:t>
      </w:r>
      <w:r>
        <w:rPr>
          <w:rFonts w:hint="eastAsia"/>
          <w:kern w:val="0"/>
          <w:sz w:val="24"/>
        </w:rPr>
        <w:t>截水</w:t>
      </w:r>
      <w:r>
        <w:rPr>
          <w:kern w:val="0"/>
          <w:sz w:val="24"/>
        </w:rPr>
        <w:t>帷幕施工</w:t>
      </w:r>
      <w:r>
        <w:rPr>
          <w:rFonts w:hint="eastAsia"/>
          <w:kern w:val="0"/>
          <w:sz w:val="24"/>
        </w:rPr>
        <w:t>、</w:t>
      </w:r>
      <w:r>
        <w:rPr>
          <w:kern w:val="0"/>
          <w:sz w:val="24"/>
        </w:rPr>
        <w:t>质量检测应符合</w:t>
      </w:r>
      <w:r>
        <w:rPr>
          <w:rFonts w:hint="eastAsia"/>
          <w:kern w:val="0"/>
          <w:sz w:val="24"/>
        </w:rPr>
        <w:t>《建筑基坑支护技术规程》JGJ 120有关</w:t>
      </w:r>
      <w:r>
        <w:rPr>
          <w:kern w:val="0"/>
          <w:sz w:val="24"/>
        </w:rPr>
        <w:t>规定</w:t>
      </w:r>
      <w:r>
        <w:rPr>
          <w:rFonts w:hint="eastAsia"/>
          <w:kern w:val="0"/>
          <w:sz w:val="24"/>
        </w:rPr>
        <w:t>。</w:t>
      </w:r>
    </w:p>
    <w:p>
      <w:pPr>
        <w:spacing w:line="360" w:lineRule="auto"/>
        <w:jc w:val="center"/>
        <w:outlineLvl w:val="1"/>
        <w:rPr>
          <w:b/>
          <w:sz w:val="24"/>
        </w:rPr>
      </w:pPr>
      <w:bookmarkStart w:id="105" w:name="_Toc87018354"/>
      <w:bookmarkStart w:id="106" w:name="_Toc87018285"/>
      <w:bookmarkStart w:id="107" w:name="OLE_LINK25"/>
      <w:r>
        <w:rPr>
          <w:b/>
          <w:sz w:val="24"/>
        </w:rPr>
        <w:t>7.4  集水与排水</w:t>
      </w:r>
      <w:bookmarkEnd w:id="105"/>
      <w:bookmarkEnd w:id="106"/>
    </w:p>
    <w:p>
      <w:pPr>
        <w:autoSpaceDE w:val="0"/>
        <w:autoSpaceDN w:val="0"/>
        <w:adjustRightInd w:val="0"/>
        <w:spacing w:line="360" w:lineRule="auto"/>
        <w:jc w:val="left"/>
        <w:rPr>
          <w:kern w:val="0"/>
          <w:sz w:val="24"/>
        </w:rPr>
      </w:pPr>
      <w:r>
        <w:rPr>
          <w:b/>
          <w:kern w:val="0"/>
          <w:sz w:val="24"/>
        </w:rPr>
        <w:t>7.4.</w:t>
      </w:r>
      <w:r>
        <w:rPr>
          <w:rFonts w:hint="eastAsia"/>
          <w:b/>
          <w:kern w:val="0"/>
          <w:sz w:val="24"/>
        </w:rPr>
        <w:t>1</w:t>
      </w:r>
      <w:r>
        <w:rPr>
          <w:b/>
          <w:kern w:val="0"/>
          <w:sz w:val="24"/>
        </w:rPr>
        <w:t xml:space="preserve">  </w:t>
      </w:r>
      <w:r>
        <w:rPr>
          <w:kern w:val="0"/>
          <w:sz w:val="24"/>
        </w:rPr>
        <w:t>基坑内侧排水系统设置应符合下列要求：</w:t>
      </w:r>
    </w:p>
    <w:p>
      <w:pPr>
        <w:autoSpaceDE w:val="0"/>
        <w:autoSpaceDN w:val="0"/>
        <w:adjustRightInd w:val="0"/>
        <w:spacing w:line="360" w:lineRule="auto"/>
        <w:ind w:firstLine="480" w:firstLineChars="200"/>
        <w:jc w:val="left"/>
        <w:rPr>
          <w:sz w:val="24"/>
        </w:rPr>
      </w:pPr>
      <w:r>
        <w:rPr>
          <w:rFonts w:hint="eastAsia"/>
          <w:kern w:val="0"/>
          <w:sz w:val="24"/>
        </w:rPr>
        <w:t xml:space="preserve">1 </w:t>
      </w:r>
      <w:r>
        <w:rPr>
          <w:rFonts w:hint="eastAsia"/>
          <w:b/>
          <w:kern w:val="0"/>
          <w:sz w:val="24"/>
        </w:rPr>
        <w:t xml:space="preserve"> </w:t>
      </w:r>
      <w:r>
        <w:rPr>
          <w:kern w:val="0"/>
          <w:sz w:val="24"/>
        </w:rPr>
        <w:t>基坑内</w:t>
      </w:r>
      <w:r>
        <w:rPr>
          <w:rFonts w:hint="eastAsia"/>
          <w:kern w:val="0"/>
          <w:sz w:val="24"/>
        </w:rPr>
        <w:t>侧</w:t>
      </w:r>
      <w:r>
        <w:rPr>
          <w:kern w:val="0"/>
          <w:sz w:val="24"/>
        </w:rPr>
        <w:t>排水</w:t>
      </w:r>
      <w:r>
        <w:rPr>
          <w:rFonts w:hint="eastAsia"/>
          <w:kern w:val="0"/>
          <w:sz w:val="24"/>
        </w:rPr>
        <w:t>系统宜设置集水井和排水沟，排水沟可</w:t>
      </w:r>
      <w:r>
        <w:rPr>
          <w:kern w:val="0"/>
          <w:sz w:val="24"/>
        </w:rPr>
        <w:t>采用明沟</w:t>
      </w:r>
      <w:r>
        <w:rPr>
          <w:rFonts w:hint="eastAsia"/>
          <w:kern w:val="0"/>
          <w:sz w:val="24"/>
        </w:rPr>
        <w:t>或</w:t>
      </w:r>
      <w:r>
        <w:rPr>
          <w:kern w:val="0"/>
          <w:sz w:val="24"/>
        </w:rPr>
        <w:t>盲沟</w:t>
      </w:r>
      <w:r>
        <w:rPr>
          <w:rFonts w:hint="eastAsia"/>
          <w:sz w:val="24"/>
        </w:rPr>
        <w:t>；</w:t>
      </w:r>
    </w:p>
    <w:p>
      <w:pPr>
        <w:autoSpaceDE w:val="0"/>
        <w:autoSpaceDN w:val="0"/>
        <w:adjustRightInd w:val="0"/>
        <w:spacing w:line="360" w:lineRule="auto"/>
        <w:ind w:firstLine="480" w:firstLineChars="200"/>
        <w:jc w:val="left"/>
        <w:rPr>
          <w:kern w:val="0"/>
          <w:sz w:val="24"/>
        </w:rPr>
      </w:pPr>
      <w:r>
        <w:rPr>
          <w:rFonts w:hint="eastAsia"/>
          <w:kern w:val="0"/>
          <w:sz w:val="24"/>
        </w:rPr>
        <w:t>2</w:t>
      </w:r>
      <w:r>
        <w:rPr>
          <w:kern w:val="0"/>
          <w:sz w:val="24"/>
        </w:rPr>
        <w:t xml:space="preserve">  土方开挖阶段应根据基坑特点在坑内适</w:t>
      </w:r>
      <w:r>
        <w:rPr>
          <w:rFonts w:hint="eastAsia"/>
          <w:kern w:val="0"/>
          <w:sz w:val="24"/>
        </w:rPr>
        <w:t>当</w:t>
      </w:r>
      <w:r>
        <w:rPr>
          <w:kern w:val="0"/>
          <w:sz w:val="24"/>
        </w:rPr>
        <w:t>位置设置临时集水</w:t>
      </w:r>
      <w:r>
        <w:rPr>
          <w:rFonts w:hint="eastAsia"/>
          <w:kern w:val="0"/>
          <w:sz w:val="24"/>
        </w:rPr>
        <w:t>坑</w:t>
      </w:r>
      <w:r>
        <w:rPr>
          <w:kern w:val="0"/>
          <w:sz w:val="24"/>
        </w:rPr>
        <w:t>；</w:t>
      </w:r>
    </w:p>
    <w:p>
      <w:pPr>
        <w:autoSpaceDE w:val="0"/>
        <w:autoSpaceDN w:val="0"/>
        <w:adjustRightInd w:val="0"/>
        <w:spacing w:line="360" w:lineRule="auto"/>
        <w:ind w:firstLine="480" w:firstLineChars="200"/>
        <w:jc w:val="left"/>
        <w:rPr>
          <w:kern w:val="0"/>
          <w:sz w:val="24"/>
        </w:rPr>
      </w:pPr>
      <w:r>
        <w:rPr>
          <w:rFonts w:hint="eastAsia"/>
          <w:kern w:val="0"/>
          <w:sz w:val="24"/>
        </w:rPr>
        <w:t xml:space="preserve">3  </w:t>
      </w:r>
      <w:r>
        <w:rPr>
          <w:kern w:val="0"/>
          <w:sz w:val="24"/>
        </w:rPr>
        <w:t>集水井</w:t>
      </w:r>
      <w:r>
        <w:rPr>
          <w:rFonts w:hint="eastAsia"/>
          <w:kern w:val="0"/>
          <w:sz w:val="24"/>
        </w:rPr>
        <w:t>井底</w:t>
      </w:r>
      <w:r>
        <w:rPr>
          <w:kern w:val="0"/>
          <w:sz w:val="24"/>
        </w:rPr>
        <w:t>宜比排水沟</w:t>
      </w:r>
      <w:r>
        <w:rPr>
          <w:rFonts w:hint="eastAsia"/>
          <w:kern w:val="0"/>
          <w:sz w:val="24"/>
        </w:rPr>
        <w:t>沟底</w:t>
      </w:r>
      <w:r>
        <w:rPr>
          <w:kern w:val="0"/>
          <w:sz w:val="24"/>
        </w:rPr>
        <w:t>低0.5m～1.0m</w:t>
      </w:r>
      <w:r>
        <w:rPr>
          <w:rFonts w:hint="eastAsia"/>
          <w:kern w:val="0"/>
          <w:sz w:val="24"/>
        </w:rPr>
        <w:t>，</w:t>
      </w:r>
      <w:r>
        <w:rPr>
          <w:kern w:val="0"/>
          <w:sz w:val="24"/>
        </w:rPr>
        <w:t>并在集水井底部铺设0.3m厚碎石反滤层</w:t>
      </w:r>
      <w:r>
        <w:rPr>
          <w:rFonts w:hint="eastAsia"/>
          <w:kern w:val="0"/>
          <w:sz w:val="24"/>
        </w:rPr>
        <w:t>；</w:t>
      </w:r>
    </w:p>
    <w:p>
      <w:pPr>
        <w:autoSpaceDE w:val="0"/>
        <w:autoSpaceDN w:val="0"/>
        <w:adjustRightInd w:val="0"/>
        <w:spacing w:line="360" w:lineRule="auto"/>
        <w:ind w:firstLine="480" w:firstLineChars="200"/>
        <w:jc w:val="left"/>
        <w:rPr>
          <w:kern w:val="0"/>
          <w:sz w:val="24"/>
        </w:rPr>
      </w:pPr>
      <w:r>
        <w:rPr>
          <w:kern w:val="0"/>
          <w:sz w:val="24"/>
        </w:rPr>
        <w:t>4  坑内排水沟</w:t>
      </w:r>
      <w:r>
        <w:rPr>
          <w:rFonts w:hint="eastAsia"/>
          <w:kern w:val="0"/>
          <w:sz w:val="24"/>
        </w:rPr>
        <w:t>的设置</w:t>
      </w:r>
      <w:r>
        <w:rPr>
          <w:kern w:val="0"/>
          <w:sz w:val="24"/>
        </w:rPr>
        <w:t>应能满足</w:t>
      </w:r>
      <w:r>
        <w:rPr>
          <w:rFonts w:hint="eastAsia"/>
          <w:kern w:val="0"/>
          <w:sz w:val="24"/>
        </w:rPr>
        <w:t>有组织</w:t>
      </w:r>
      <w:r>
        <w:rPr>
          <w:kern w:val="0"/>
          <w:sz w:val="24"/>
        </w:rPr>
        <w:t>排水</w:t>
      </w:r>
      <w:r>
        <w:rPr>
          <w:rFonts w:hint="eastAsia"/>
          <w:kern w:val="0"/>
          <w:sz w:val="24"/>
        </w:rPr>
        <w:t>的</w:t>
      </w:r>
      <w:r>
        <w:rPr>
          <w:kern w:val="0"/>
          <w:sz w:val="24"/>
        </w:rPr>
        <w:t>要求。</w:t>
      </w:r>
    </w:p>
    <w:p>
      <w:pPr>
        <w:autoSpaceDE w:val="0"/>
        <w:autoSpaceDN w:val="0"/>
        <w:adjustRightInd w:val="0"/>
        <w:spacing w:line="360" w:lineRule="auto"/>
        <w:jc w:val="left"/>
        <w:rPr>
          <w:kern w:val="0"/>
          <w:sz w:val="24"/>
        </w:rPr>
      </w:pPr>
      <w:r>
        <w:rPr>
          <w:b/>
          <w:kern w:val="0"/>
          <w:sz w:val="24"/>
        </w:rPr>
        <w:t>7.4.</w:t>
      </w:r>
      <w:r>
        <w:rPr>
          <w:rFonts w:hint="eastAsia"/>
          <w:b/>
          <w:kern w:val="0"/>
          <w:sz w:val="24"/>
        </w:rPr>
        <w:t>2</w:t>
      </w:r>
      <w:r>
        <w:rPr>
          <w:b/>
          <w:kern w:val="0"/>
          <w:sz w:val="24"/>
        </w:rPr>
        <w:t xml:space="preserve">  </w:t>
      </w:r>
      <w:r>
        <w:rPr>
          <w:kern w:val="0"/>
          <w:sz w:val="24"/>
        </w:rPr>
        <w:t>基坑外侧排水系统设置应符合下列要求：</w:t>
      </w:r>
    </w:p>
    <w:p>
      <w:pPr>
        <w:autoSpaceDE w:val="0"/>
        <w:autoSpaceDN w:val="0"/>
        <w:adjustRightInd w:val="0"/>
        <w:spacing w:line="360" w:lineRule="auto"/>
        <w:ind w:firstLine="480" w:firstLineChars="200"/>
        <w:jc w:val="left"/>
        <w:rPr>
          <w:kern w:val="0"/>
          <w:sz w:val="24"/>
        </w:rPr>
      </w:pPr>
      <w:r>
        <w:rPr>
          <w:kern w:val="0"/>
          <w:sz w:val="24"/>
        </w:rPr>
        <w:t>1  基坑外侧场地应设置排水沟、</w:t>
      </w:r>
      <w:r>
        <w:rPr>
          <w:rFonts w:hint="eastAsia"/>
          <w:kern w:val="0"/>
          <w:sz w:val="24"/>
        </w:rPr>
        <w:t>沉淀池</w:t>
      </w:r>
      <w:r>
        <w:rPr>
          <w:kern w:val="0"/>
          <w:sz w:val="24"/>
        </w:rPr>
        <w:t>等地表排水系统，排水系统应</w:t>
      </w:r>
      <w:r>
        <w:rPr>
          <w:rFonts w:hint="eastAsia"/>
          <w:kern w:val="0"/>
          <w:sz w:val="24"/>
        </w:rPr>
        <w:t>兼顾地表汇流的</w:t>
      </w:r>
      <w:r>
        <w:rPr>
          <w:kern w:val="0"/>
          <w:sz w:val="24"/>
        </w:rPr>
        <w:t>排放要求</w:t>
      </w:r>
      <w:r>
        <w:rPr>
          <w:rFonts w:hint="eastAsia"/>
          <w:kern w:val="0"/>
          <w:sz w:val="24"/>
        </w:rPr>
        <w:t>；</w:t>
      </w:r>
    </w:p>
    <w:p>
      <w:pPr>
        <w:autoSpaceDE w:val="0"/>
        <w:autoSpaceDN w:val="0"/>
        <w:adjustRightInd w:val="0"/>
        <w:spacing w:line="360" w:lineRule="auto"/>
        <w:ind w:firstLine="480" w:firstLineChars="200"/>
        <w:jc w:val="left"/>
        <w:rPr>
          <w:kern w:val="0"/>
          <w:sz w:val="24"/>
        </w:rPr>
      </w:pPr>
      <w:r>
        <w:rPr>
          <w:kern w:val="0"/>
          <w:sz w:val="24"/>
        </w:rPr>
        <w:t>2  排水沟宜布置在距离基坑</w:t>
      </w:r>
      <w:r>
        <w:rPr>
          <w:rFonts w:hint="eastAsia"/>
          <w:kern w:val="0"/>
          <w:sz w:val="24"/>
        </w:rPr>
        <w:t>坡顶</w:t>
      </w:r>
      <w:r>
        <w:rPr>
          <w:kern w:val="0"/>
          <w:sz w:val="24"/>
        </w:rPr>
        <w:t>线</w:t>
      </w:r>
      <w:r>
        <w:rPr>
          <w:rFonts w:hint="eastAsia"/>
          <w:kern w:val="0"/>
          <w:sz w:val="24"/>
        </w:rPr>
        <w:t>外</w:t>
      </w:r>
      <w:r>
        <w:rPr>
          <w:kern w:val="0"/>
          <w:sz w:val="24"/>
        </w:rPr>
        <w:t>不小于0.5m</w:t>
      </w:r>
      <w:r>
        <w:rPr>
          <w:rFonts w:hint="eastAsia"/>
          <w:kern w:val="0"/>
          <w:sz w:val="24"/>
        </w:rPr>
        <w:t>处，</w:t>
      </w:r>
      <w:r>
        <w:rPr>
          <w:kern w:val="0"/>
          <w:sz w:val="24"/>
        </w:rPr>
        <w:t>纵向排水坡度不宜小于0.2%</w:t>
      </w:r>
      <w:bookmarkStart w:id="108" w:name="OLE_LINK28"/>
      <w:r>
        <w:rPr>
          <w:kern w:val="0"/>
          <w:sz w:val="24"/>
        </w:rPr>
        <w:t>～</w:t>
      </w:r>
      <w:bookmarkEnd w:id="108"/>
      <w:r>
        <w:rPr>
          <w:kern w:val="0"/>
          <w:sz w:val="24"/>
        </w:rPr>
        <w:t>0.5%</w:t>
      </w:r>
      <w:r>
        <w:rPr>
          <w:rFonts w:hint="eastAsia"/>
          <w:kern w:val="0"/>
          <w:sz w:val="24"/>
        </w:rPr>
        <w:t>；</w:t>
      </w:r>
    </w:p>
    <w:p>
      <w:pPr>
        <w:autoSpaceDE w:val="0"/>
        <w:autoSpaceDN w:val="0"/>
        <w:adjustRightInd w:val="0"/>
        <w:spacing w:line="360" w:lineRule="auto"/>
        <w:ind w:firstLine="480" w:firstLineChars="200"/>
        <w:jc w:val="left"/>
        <w:rPr>
          <w:kern w:val="0"/>
          <w:sz w:val="24"/>
        </w:rPr>
      </w:pPr>
      <w:r>
        <w:rPr>
          <w:kern w:val="0"/>
          <w:sz w:val="24"/>
        </w:rPr>
        <w:t>3  基坑外的排水沟、</w:t>
      </w:r>
      <w:r>
        <w:rPr>
          <w:rFonts w:hint="eastAsia"/>
          <w:kern w:val="0"/>
          <w:sz w:val="24"/>
        </w:rPr>
        <w:t>沉淀池</w:t>
      </w:r>
      <w:r>
        <w:rPr>
          <w:kern w:val="0"/>
          <w:sz w:val="24"/>
        </w:rPr>
        <w:t>应有可靠的防渗措施，排水系统应保持顺畅。</w:t>
      </w:r>
    </w:p>
    <w:p>
      <w:pPr>
        <w:autoSpaceDE w:val="0"/>
        <w:autoSpaceDN w:val="0"/>
        <w:adjustRightInd w:val="0"/>
        <w:spacing w:line="360" w:lineRule="auto"/>
        <w:jc w:val="left"/>
        <w:rPr>
          <w:kern w:val="0"/>
          <w:sz w:val="24"/>
        </w:rPr>
      </w:pPr>
      <w:r>
        <w:rPr>
          <w:b/>
          <w:kern w:val="0"/>
          <w:sz w:val="24"/>
        </w:rPr>
        <w:t>7.4.</w:t>
      </w:r>
      <w:r>
        <w:rPr>
          <w:rFonts w:hint="eastAsia"/>
          <w:b/>
          <w:kern w:val="0"/>
          <w:sz w:val="24"/>
        </w:rPr>
        <w:t>3</w:t>
      </w:r>
      <w:r>
        <w:rPr>
          <w:b/>
          <w:kern w:val="0"/>
          <w:sz w:val="24"/>
        </w:rPr>
        <w:t xml:space="preserve">  </w:t>
      </w:r>
      <w:r>
        <w:rPr>
          <w:kern w:val="0"/>
          <w:sz w:val="24"/>
        </w:rPr>
        <w:t>基坑坡面渗水</w:t>
      </w:r>
      <w:r>
        <w:rPr>
          <w:rFonts w:hint="eastAsia"/>
          <w:kern w:val="0"/>
          <w:sz w:val="24"/>
        </w:rPr>
        <w:t>部位</w:t>
      </w:r>
      <w:r>
        <w:rPr>
          <w:kern w:val="0"/>
          <w:sz w:val="24"/>
        </w:rPr>
        <w:t>宜插入泄水管引流至排水沟。</w:t>
      </w:r>
    </w:p>
    <w:p>
      <w:pPr>
        <w:autoSpaceDE w:val="0"/>
        <w:autoSpaceDN w:val="0"/>
        <w:adjustRightInd w:val="0"/>
        <w:spacing w:line="360" w:lineRule="auto"/>
        <w:jc w:val="left"/>
        <w:rPr>
          <w:kern w:val="0"/>
          <w:sz w:val="24"/>
        </w:rPr>
      </w:pPr>
      <w:r>
        <w:rPr>
          <w:b/>
          <w:kern w:val="0"/>
          <w:sz w:val="24"/>
        </w:rPr>
        <w:t>7.4.</w:t>
      </w:r>
      <w:r>
        <w:rPr>
          <w:rFonts w:hint="eastAsia"/>
          <w:b/>
          <w:kern w:val="0"/>
          <w:sz w:val="24"/>
        </w:rPr>
        <w:t xml:space="preserve">4  </w:t>
      </w:r>
      <w:r>
        <w:rPr>
          <w:rFonts w:hint="eastAsia"/>
          <w:kern w:val="0"/>
          <w:sz w:val="24"/>
        </w:rPr>
        <w:t>坑内集水应经沉淀池沉淀后排入</w:t>
      </w:r>
      <w:r>
        <w:rPr>
          <w:kern w:val="0"/>
          <w:sz w:val="24"/>
        </w:rPr>
        <w:t>市政管网。</w:t>
      </w:r>
    </w:p>
    <w:bookmarkEnd w:id="107"/>
    <w:p>
      <w:pPr>
        <w:spacing w:line="360" w:lineRule="auto"/>
        <w:jc w:val="center"/>
        <w:outlineLvl w:val="1"/>
        <w:rPr>
          <w:b/>
          <w:sz w:val="24"/>
        </w:rPr>
      </w:pPr>
      <w:bookmarkStart w:id="109" w:name="_Toc87018286"/>
      <w:bookmarkStart w:id="110" w:name="_Toc87018355"/>
      <w:bookmarkStart w:id="111" w:name="OLE_LINK39"/>
      <w:bookmarkStart w:id="112" w:name="OLE_LINK40"/>
      <w:r>
        <w:rPr>
          <w:b/>
          <w:sz w:val="24"/>
        </w:rPr>
        <w:t>7.5  基坑降水</w:t>
      </w:r>
      <w:bookmarkEnd w:id="109"/>
      <w:bookmarkEnd w:id="110"/>
    </w:p>
    <w:bookmarkEnd w:id="111"/>
    <w:p>
      <w:pPr>
        <w:autoSpaceDE w:val="0"/>
        <w:autoSpaceDN w:val="0"/>
        <w:adjustRightInd w:val="0"/>
        <w:spacing w:line="360" w:lineRule="auto"/>
        <w:jc w:val="left"/>
        <w:rPr>
          <w:sz w:val="24"/>
        </w:rPr>
      </w:pPr>
      <w:r>
        <w:rPr>
          <w:b/>
          <w:bCs/>
          <w:kern w:val="0"/>
          <w:sz w:val="24"/>
        </w:rPr>
        <w:t xml:space="preserve">7.5.1  </w:t>
      </w:r>
      <w:r>
        <w:rPr>
          <w:kern w:val="0"/>
          <w:sz w:val="24"/>
        </w:rPr>
        <w:t>降水井</w:t>
      </w:r>
      <w:r>
        <w:rPr>
          <w:rFonts w:hint="eastAsia"/>
          <w:kern w:val="0"/>
          <w:sz w:val="24"/>
        </w:rPr>
        <w:t>宜</w:t>
      </w:r>
      <w:r>
        <w:rPr>
          <w:kern w:val="0"/>
          <w:sz w:val="24"/>
        </w:rPr>
        <w:t>沿基坑</w:t>
      </w:r>
      <w:r>
        <w:rPr>
          <w:rFonts w:hint="eastAsia"/>
          <w:kern w:val="0"/>
          <w:sz w:val="24"/>
        </w:rPr>
        <w:t>外</w:t>
      </w:r>
      <w:r>
        <w:rPr>
          <w:kern w:val="0"/>
          <w:sz w:val="24"/>
        </w:rPr>
        <w:t>周边</w:t>
      </w:r>
      <w:r>
        <w:rPr>
          <w:rFonts w:hint="eastAsia"/>
          <w:kern w:val="0"/>
          <w:sz w:val="24"/>
        </w:rPr>
        <w:t>布置</w:t>
      </w:r>
      <w:r>
        <w:rPr>
          <w:kern w:val="0"/>
          <w:sz w:val="24"/>
        </w:rPr>
        <w:t>，</w:t>
      </w:r>
      <w:r>
        <w:rPr>
          <w:rFonts w:hint="eastAsia"/>
          <w:kern w:val="0"/>
          <w:sz w:val="24"/>
        </w:rPr>
        <w:t>当条件不许可时也</w:t>
      </w:r>
      <w:r>
        <w:rPr>
          <w:kern w:val="0"/>
          <w:sz w:val="24"/>
        </w:rPr>
        <w:t>可设置在基坑内，在地下水补给方向适当加密</w:t>
      </w:r>
      <w:r>
        <w:rPr>
          <w:rFonts w:hint="eastAsia"/>
          <w:kern w:val="0"/>
          <w:sz w:val="24"/>
        </w:rPr>
        <w:t>；</w:t>
      </w:r>
      <w:r>
        <w:rPr>
          <w:kern w:val="0"/>
          <w:sz w:val="24"/>
        </w:rPr>
        <w:t>对宽度较小的狭长形基坑，降水井也可在基坑一侧布置</w:t>
      </w:r>
      <w:r>
        <w:rPr>
          <w:rFonts w:hint="eastAsia"/>
          <w:kern w:val="0"/>
          <w:sz w:val="24"/>
        </w:rPr>
        <w:t>；</w:t>
      </w:r>
      <w:r>
        <w:rPr>
          <w:kern w:val="0"/>
          <w:sz w:val="24"/>
        </w:rPr>
        <w:t>对开挖面积大、开挖深度深、涌水量大的基坑，也可在基坑内</w:t>
      </w:r>
      <w:r>
        <w:rPr>
          <w:rFonts w:hint="eastAsia"/>
          <w:kern w:val="0"/>
          <w:sz w:val="24"/>
        </w:rPr>
        <w:t>外同时</w:t>
      </w:r>
      <w:r>
        <w:rPr>
          <w:kern w:val="0"/>
          <w:sz w:val="24"/>
        </w:rPr>
        <w:t>布置降水井。</w:t>
      </w:r>
    </w:p>
    <w:p>
      <w:pPr>
        <w:spacing w:line="360" w:lineRule="auto"/>
        <w:jc w:val="left"/>
        <w:rPr>
          <w:kern w:val="0"/>
          <w:sz w:val="24"/>
        </w:rPr>
      </w:pPr>
      <w:r>
        <w:rPr>
          <w:b/>
          <w:bCs/>
          <w:kern w:val="0"/>
          <w:sz w:val="24"/>
        </w:rPr>
        <w:t xml:space="preserve">7.5.2  </w:t>
      </w:r>
      <w:r>
        <w:rPr>
          <w:kern w:val="0"/>
          <w:sz w:val="24"/>
        </w:rPr>
        <w:t>基坑内的设计降水水位应低于基坑底面0.5m。主体结构的电梯井、集水井等部位局部加深时，应按其深度设计降水水位或对其采取局部地下水控制措施。</w:t>
      </w:r>
    </w:p>
    <w:bookmarkEnd w:id="112"/>
    <w:p>
      <w:pPr>
        <w:spacing w:line="360" w:lineRule="auto"/>
        <w:jc w:val="left"/>
        <w:rPr>
          <w:sz w:val="24"/>
        </w:rPr>
      </w:pPr>
      <w:r>
        <w:rPr>
          <w:b/>
          <w:bCs/>
          <w:kern w:val="0"/>
          <w:sz w:val="24"/>
        </w:rPr>
        <w:t xml:space="preserve">7.5.3  </w:t>
      </w:r>
      <w:r>
        <w:rPr>
          <w:sz w:val="24"/>
        </w:rPr>
        <w:t>根据基坑降水总涌水量，降水井数量可按下式计算：</w:t>
      </w:r>
    </w:p>
    <w:p>
      <w:pPr>
        <w:spacing w:line="360" w:lineRule="auto"/>
        <w:ind w:right="120" w:firstLine="480"/>
        <w:jc w:val="right"/>
        <w:rPr>
          <w:sz w:val="24"/>
        </w:rPr>
      </w:pPr>
      <w:r>
        <w:rPr>
          <w:position w:val="-24"/>
          <w:sz w:val="24"/>
        </w:rPr>
        <w:object>
          <v:shape id="_x0000_i1116" o:spt="75" type="#_x0000_t75" style="height:31.4pt;width:54.75pt;" o:ole="t" filled="f" coordsize="21600,21600">
            <v:path/>
            <v:fill on="f" focussize="0,0"/>
            <v:stroke/>
            <v:imagedata r:id="rId227" o:title=""/>
            <o:lock v:ext="edit" aspectratio="t"/>
            <w10:wrap type="none"/>
            <w10:anchorlock/>
          </v:shape>
          <o:OLEObject Type="Embed" ProgID="Equation.DSMT4" ShapeID="_x0000_i1116" DrawAspect="Content" ObjectID="_1468075816" r:id="rId226">
            <o:LockedField>false</o:LockedField>
          </o:OLEObject>
        </w:object>
      </w:r>
      <w:r>
        <w:rPr>
          <w:sz w:val="24"/>
        </w:rPr>
        <w:t xml:space="preserve">                        （7.5.3）</w:t>
      </w:r>
    </w:p>
    <w:p>
      <w:pPr>
        <w:spacing w:line="360" w:lineRule="auto"/>
        <w:ind w:left="1440" w:hanging="1440" w:hangingChars="600"/>
        <w:rPr>
          <w:sz w:val="24"/>
        </w:rPr>
      </w:pPr>
      <w:r>
        <w:rPr>
          <w:sz w:val="24"/>
        </w:rPr>
        <w:t>式中：</w:t>
      </w:r>
      <w:bookmarkStart w:id="113" w:name="OLE_LINK26"/>
      <w:r>
        <w:rPr>
          <w:i/>
          <w:sz w:val="24"/>
        </w:rPr>
        <w:t xml:space="preserve">n </w:t>
      </w:r>
      <w:r>
        <w:rPr>
          <w:sz w:val="24"/>
        </w:rPr>
        <w:t>—降水井数量(口)；</w:t>
      </w:r>
      <w:bookmarkEnd w:id="113"/>
    </w:p>
    <w:p>
      <w:pPr>
        <w:spacing w:line="360" w:lineRule="auto"/>
        <w:ind w:firstLine="720" w:firstLineChars="300"/>
        <w:jc w:val="left"/>
        <w:rPr>
          <w:sz w:val="24"/>
        </w:rPr>
      </w:pPr>
      <w:r>
        <w:rPr>
          <w:i/>
          <w:sz w:val="24"/>
        </w:rPr>
        <w:t xml:space="preserve">Q </w:t>
      </w:r>
      <w:r>
        <w:rPr>
          <w:sz w:val="24"/>
        </w:rPr>
        <w:t>—基坑降水总涌水量(m³/d)；</w:t>
      </w:r>
    </w:p>
    <w:p>
      <w:pPr>
        <w:spacing w:line="360" w:lineRule="auto"/>
        <w:ind w:firstLine="720" w:firstLineChars="300"/>
        <w:jc w:val="left"/>
        <w:rPr>
          <w:sz w:val="24"/>
        </w:rPr>
      </w:pPr>
      <w:r>
        <w:rPr>
          <w:i/>
          <w:sz w:val="24"/>
        </w:rPr>
        <w:t>q</w:t>
      </w:r>
      <w:r>
        <w:rPr>
          <w:sz w:val="24"/>
        </w:rPr>
        <w:t xml:space="preserve"> —单井设计流量(m</w:t>
      </w:r>
      <w:r>
        <w:rPr>
          <w:sz w:val="24"/>
          <w:vertAlign w:val="superscript"/>
        </w:rPr>
        <w:t>3</w:t>
      </w:r>
      <w:r>
        <w:rPr>
          <w:sz w:val="24"/>
        </w:rPr>
        <w:t>)。</w:t>
      </w:r>
    </w:p>
    <w:p>
      <w:pPr>
        <w:spacing w:line="360" w:lineRule="auto"/>
        <w:jc w:val="left"/>
        <w:rPr>
          <w:kern w:val="0"/>
          <w:sz w:val="24"/>
        </w:rPr>
      </w:pPr>
      <w:r>
        <w:rPr>
          <w:b/>
          <w:bCs/>
          <w:kern w:val="0"/>
          <w:sz w:val="24"/>
        </w:rPr>
        <w:t xml:space="preserve">7.5.4  </w:t>
      </w:r>
      <w:r>
        <w:rPr>
          <w:kern w:val="0"/>
          <w:sz w:val="24"/>
        </w:rPr>
        <w:t>降水井单井出水能力应大于7.5.3条中单井设计流量，</w:t>
      </w:r>
      <w:r>
        <w:rPr>
          <w:rFonts w:hint="eastAsia"/>
          <w:kern w:val="0"/>
          <w:sz w:val="24"/>
        </w:rPr>
        <w:t>当单位井出水能力小于单井设计流量时，应增加井的数量、直径或深度。</w:t>
      </w:r>
      <w:r>
        <w:rPr>
          <w:kern w:val="0"/>
          <w:sz w:val="24"/>
        </w:rPr>
        <w:t>各类井的单井出水能力可按下列规定取值：</w:t>
      </w:r>
    </w:p>
    <w:p>
      <w:pPr>
        <w:spacing w:line="360" w:lineRule="auto"/>
        <w:ind w:firstLine="480" w:firstLineChars="200"/>
        <w:jc w:val="left"/>
        <w:rPr>
          <w:sz w:val="24"/>
        </w:rPr>
      </w:pPr>
      <w:r>
        <w:rPr>
          <w:kern w:val="0"/>
          <w:sz w:val="24"/>
        </w:rPr>
        <w:t>1  真空井点出水能力可取36</w:t>
      </w:r>
      <w:bookmarkStart w:id="114" w:name="OLE_LINK29"/>
      <w:r>
        <w:rPr>
          <w:sz w:val="24"/>
        </w:rPr>
        <w:t>m³/d</w:t>
      </w:r>
      <w:bookmarkEnd w:id="114"/>
      <w:r>
        <w:rPr>
          <w:kern w:val="0"/>
          <w:sz w:val="24"/>
        </w:rPr>
        <w:t>～60</w:t>
      </w:r>
      <w:r>
        <w:rPr>
          <w:sz w:val="24"/>
        </w:rPr>
        <w:t>m³/d。</w:t>
      </w:r>
    </w:p>
    <w:p>
      <w:pPr>
        <w:spacing w:line="360" w:lineRule="auto"/>
        <w:ind w:firstLine="480" w:firstLineChars="200"/>
        <w:jc w:val="left"/>
        <w:rPr>
          <w:sz w:val="24"/>
        </w:rPr>
      </w:pPr>
      <w:bookmarkStart w:id="115" w:name="OLE_LINK30"/>
      <w:r>
        <w:rPr>
          <w:sz w:val="24"/>
        </w:rPr>
        <w:t>2</w:t>
      </w:r>
      <w:bookmarkEnd w:id="115"/>
      <w:r>
        <w:rPr>
          <w:sz w:val="24"/>
        </w:rPr>
        <w:t xml:space="preserve">  喷射井</w:t>
      </w:r>
      <w:r>
        <w:rPr>
          <w:kern w:val="0"/>
          <w:sz w:val="24"/>
        </w:rPr>
        <w:t>点出水能力可</w:t>
      </w:r>
      <w:r>
        <w:rPr>
          <w:sz w:val="24"/>
        </w:rPr>
        <w:t>按表7.5.4取值。</w:t>
      </w:r>
    </w:p>
    <w:p>
      <w:pPr>
        <w:spacing w:line="360" w:lineRule="auto"/>
        <w:ind w:firstLine="480" w:firstLineChars="200"/>
        <w:jc w:val="left"/>
        <w:rPr>
          <w:sz w:val="24"/>
        </w:rPr>
      </w:pPr>
    </w:p>
    <w:p>
      <w:pPr>
        <w:spacing w:line="360" w:lineRule="auto"/>
        <w:ind w:firstLine="480" w:firstLineChars="200"/>
        <w:jc w:val="left"/>
        <w:rPr>
          <w:sz w:val="24"/>
        </w:rPr>
      </w:pPr>
    </w:p>
    <w:p>
      <w:pPr>
        <w:spacing w:line="360" w:lineRule="auto"/>
        <w:ind w:firstLine="480" w:firstLineChars="200"/>
        <w:jc w:val="left"/>
        <w:rPr>
          <w:sz w:val="24"/>
        </w:rPr>
      </w:pPr>
    </w:p>
    <w:p>
      <w:pPr>
        <w:spacing w:after="120" w:afterLines="50" w:line="360" w:lineRule="auto"/>
        <w:jc w:val="center"/>
        <w:rPr>
          <w:b/>
          <w:sz w:val="24"/>
        </w:rPr>
      </w:pPr>
      <w:r>
        <w:rPr>
          <w:b/>
          <w:sz w:val="24"/>
        </w:rPr>
        <w:t>表7.5.4  喷射井点的出水能力</w:t>
      </w:r>
    </w:p>
    <w:tbl>
      <w:tblPr>
        <w:tblStyle w:val="26"/>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299"/>
        <w:gridCol w:w="1343"/>
        <w:gridCol w:w="1365"/>
        <w:gridCol w:w="1365"/>
        <w:gridCol w:w="136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186" w:type="dxa"/>
            <w:vMerge w:val="restart"/>
            <w:vAlign w:val="center"/>
          </w:tcPr>
          <w:p>
            <w:pPr>
              <w:spacing w:after="120" w:afterLines="50"/>
              <w:ind w:left="-105" w:leftChars="-50" w:right="-105" w:rightChars="-50"/>
              <w:jc w:val="center"/>
              <w:rPr>
                <w:b/>
                <w:szCs w:val="21"/>
              </w:rPr>
            </w:pPr>
            <w:r>
              <w:rPr>
                <w:szCs w:val="21"/>
              </w:rPr>
              <w:t>外管直径（mm）</w:t>
            </w:r>
          </w:p>
        </w:tc>
        <w:tc>
          <w:tcPr>
            <w:tcW w:w="2642" w:type="dxa"/>
            <w:gridSpan w:val="2"/>
            <w:vAlign w:val="center"/>
          </w:tcPr>
          <w:p>
            <w:pPr>
              <w:spacing w:after="120" w:afterLines="50"/>
              <w:ind w:left="-105" w:leftChars="-50" w:right="-105" w:rightChars="-50"/>
              <w:jc w:val="center"/>
              <w:rPr>
                <w:b/>
                <w:szCs w:val="21"/>
              </w:rPr>
            </w:pPr>
            <w:r>
              <w:rPr>
                <w:szCs w:val="21"/>
              </w:rPr>
              <w:t>喷射管</w:t>
            </w:r>
          </w:p>
        </w:tc>
        <w:tc>
          <w:tcPr>
            <w:tcW w:w="1365" w:type="dxa"/>
            <w:vMerge w:val="restart"/>
            <w:vAlign w:val="center"/>
          </w:tcPr>
          <w:p>
            <w:pPr>
              <w:spacing w:after="120" w:afterLines="50"/>
              <w:jc w:val="center"/>
              <w:rPr>
                <w:b/>
                <w:szCs w:val="21"/>
              </w:rPr>
            </w:pPr>
            <w:r>
              <w:rPr>
                <w:szCs w:val="21"/>
              </w:rPr>
              <w:t>工作水压力（MPa）</w:t>
            </w:r>
          </w:p>
        </w:tc>
        <w:tc>
          <w:tcPr>
            <w:tcW w:w="1365" w:type="dxa"/>
            <w:vMerge w:val="restart"/>
            <w:vAlign w:val="center"/>
          </w:tcPr>
          <w:p>
            <w:pPr>
              <w:spacing w:after="120" w:afterLines="50"/>
              <w:jc w:val="center"/>
              <w:rPr>
                <w:b/>
                <w:szCs w:val="21"/>
              </w:rPr>
            </w:pPr>
            <w:r>
              <w:rPr>
                <w:szCs w:val="21"/>
              </w:rPr>
              <w:t>工作水流量（m</w:t>
            </w:r>
            <w:r>
              <w:rPr>
                <w:szCs w:val="21"/>
                <w:vertAlign w:val="superscript"/>
              </w:rPr>
              <w:t>3</w:t>
            </w:r>
            <w:r>
              <w:rPr>
                <w:szCs w:val="21"/>
              </w:rPr>
              <w:t>/d）</w:t>
            </w:r>
          </w:p>
        </w:tc>
        <w:tc>
          <w:tcPr>
            <w:tcW w:w="1365" w:type="dxa"/>
            <w:vMerge w:val="restart"/>
            <w:vAlign w:val="center"/>
          </w:tcPr>
          <w:p>
            <w:pPr>
              <w:jc w:val="center"/>
              <w:rPr>
                <w:szCs w:val="21"/>
              </w:rPr>
            </w:pPr>
            <w:r>
              <w:rPr>
                <w:szCs w:val="21"/>
              </w:rPr>
              <w:t>设计单井</w:t>
            </w:r>
          </w:p>
          <w:p>
            <w:pPr>
              <w:jc w:val="center"/>
              <w:rPr>
                <w:szCs w:val="21"/>
              </w:rPr>
            </w:pPr>
            <w:r>
              <w:rPr>
                <w:szCs w:val="21"/>
              </w:rPr>
              <w:t>出水流量</w:t>
            </w:r>
          </w:p>
          <w:p>
            <w:pPr>
              <w:spacing w:after="120" w:afterLines="50"/>
              <w:jc w:val="center"/>
              <w:rPr>
                <w:b/>
                <w:szCs w:val="21"/>
              </w:rPr>
            </w:pPr>
            <w:r>
              <w:rPr>
                <w:szCs w:val="21"/>
              </w:rPr>
              <w:t>（m</w:t>
            </w:r>
            <w:r>
              <w:rPr>
                <w:szCs w:val="21"/>
                <w:vertAlign w:val="superscript"/>
              </w:rPr>
              <w:t>3</w:t>
            </w:r>
            <w:r>
              <w:rPr>
                <w:szCs w:val="21"/>
              </w:rPr>
              <w:t>/d）</w:t>
            </w:r>
          </w:p>
        </w:tc>
        <w:tc>
          <w:tcPr>
            <w:tcW w:w="1365" w:type="dxa"/>
            <w:vMerge w:val="restart"/>
            <w:vAlign w:val="center"/>
          </w:tcPr>
          <w:p>
            <w:pPr>
              <w:jc w:val="center"/>
              <w:rPr>
                <w:szCs w:val="21"/>
              </w:rPr>
            </w:pPr>
            <w:r>
              <w:rPr>
                <w:szCs w:val="21"/>
              </w:rPr>
              <w:t>适用含水层渗透系数</w:t>
            </w:r>
          </w:p>
          <w:p>
            <w:pPr>
              <w:spacing w:after="120" w:afterLines="50"/>
              <w:jc w:val="center"/>
              <w:rPr>
                <w:b/>
                <w:szCs w:val="21"/>
              </w:rPr>
            </w:pPr>
            <w:r>
              <w:rPr>
                <w:szCs w:val="21"/>
              </w:rPr>
              <w:t>（m/d）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186" w:type="dxa"/>
            <w:vMerge w:val="continue"/>
            <w:vAlign w:val="center"/>
          </w:tcPr>
          <w:p>
            <w:pPr>
              <w:spacing w:after="120" w:afterLines="50"/>
              <w:ind w:left="-105" w:leftChars="-50" w:right="-105" w:rightChars="-50"/>
              <w:jc w:val="center"/>
              <w:rPr>
                <w:b/>
                <w:szCs w:val="21"/>
              </w:rPr>
            </w:pPr>
          </w:p>
        </w:tc>
        <w:tc>
          <w:tcPr>
            <w:tcW w:w="1299" w:type="dxa"/>
            <w:vAlign w:val="center"/>
          </w:tcPr>
          <w:p>
            <w:pPr>
              <w:spacing w:after="120" w:afterLines="50"/>
              <w:jc w:val="center"/>
              <w:rPr>
                <w:b/>
                <w:szCs w:val="21"/>
              </w:rPr>
            </w:pPr>
            <w:r>
              <w:rPr>
                <w:szCs w:val="21"/>
              </w:rPr>
              <w:t>喷嘴直径（mm）</w:t>
            </w:r>
          </w:p>
        </w:tc>
        <w:tc>
          <w:tcPr>
            <w:tcW w:w="1343" w:type="dxa"/>
            <w:vAlign w:val="center"/>
          </w:tcPr>
          <w:p>
            <w:pPr>
              <w:spacing w:after="120" w:afterLines="50"/>
              <w:jc w:val="center"/>
              <w:rPr>
                <w:b/>
                <w:szCs w:val="21"/>
              </w:rPr>
            </w:pPr>
            <w:r>
              <w:rPr>
                <w:szCs w:val="21"/>
              </w:rPr>
              <w:t>混合室直径（mm）</w:t>
            </w:r>
          </w:p>
        </w:tc>
        <w:tc>
          <w:tcPr>
            <w:tcW w:w="1365" w:type="dxa"/>
            <w:vMerge w:val="continue"/>
            <w:vAlign w:val="center"/>
          </w:tcPr>
          <w:p>
            <w:pPr>
              <w:spacing w:after="120" w:afterLines="50"/>
              <w:ind w:left="-105" w:leftChars="-50" w:right="-105" w:rightChars="-50"/>
              <w:jc w:val="center"/>
              <w:rPr>
                <w:b/>
                <w:szCs w:val="21"/>
              </w:rPr>
            </w:pPr>
          </w:p>
        </w:tc>
        <w:tc>
          <w:tcPr>
            <w:tcW w:w="1365" w:type="dxa"/>
            <w:vMerge w:val="continue"/>
            <w:vAlign w:val="center"/>
          </w:tcPr>
          <w:p>
            <w:pPr>
              <w:spacing w:after="120" w:afterLines="50"/>
              <w:ind w:left="-105" w:leftChars="-50" w:right="-105" w:rightChars="-50"/>
              <w:jc w:val="center"/>
              <w:rPr>
                <w:b/>
                <w:szCs w:val="21"/>
              </w:rPr>
            </w:pPr>
          </w:p>
        </w:tc>
        <w:tc>
          <w:tcPr>
            <w:tcW w:w="1365" w:type="dxa"/>
            <w:vMerge w:val="continue"/>
            <w:vAlign w:val="center"/>
          </w:tcPr>
          <w:p>
            <w:pPr>
              <w:spacing w:after="120" w:afterLines="50"/>
              <w:ind w:left="-105" w:leftChars="-50" w:right="-105" w:rightChars="-50"/>
              <w:jc w:val="center"/>
              <w:rPr>
                <w:b/>
                <w:szCs w:val="21"/>
              </w:rPr>
            </w:pPr>
          </w:p>
        </w:tc>
        <w:tc>
          <w:tcPr>
            <w:tcW w:w="1365" w:type="dxa"/>
            <w:vMerge w:val="continue"/>
            <w:vAlign w:val="center"/>
          </w:tcPr>
          <w:p>
            <w:pPr>
              <w:spacing w:after="120" w:afterLines="50"/>
              <w:ind w:left="-105" w:leftChars="-50" w:right="-105" w:rightChars="-50"/>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Align w:val="center"/>
          </w:tcPr>
          <w:p>
            <w:pPr>
              <w:ind w:left="-105" w:leftChars="-50" w:right="-105" w:rightChars="-50"/>
              <w:jc w:val="center"/>
              <w:rPr>
                <w:szCs w:val="21"/>
              </w:rPr>
            </w:pPr>
            <w:r>
              <w:rPr>
                <w:szCs w:val="21"/>
              </w:rPr>
              <w:t>38</w:t>
            </w:r>
          </w:p>
        </w:tc>
        <w:tc>
          <w:tcPr>
            <w:tcW w:w="1299" w:type="dxa"/>
            <w:vAlign w:val="center"/>
          </w:tcPr>
          <w:p>
            <w:pPr>
              <w:ind w:left="-105" w:leftChars="-50" w:right="-105" w:rightChars="-50"/>
              <w:jc w:val="center"/>
              <w:rPr>
                <w:szCs w:val="21"/>
              </w:rPr>
            </w:pPr>
            <w:r>
              <w:rPr>
                <w:szCs w:val="21"/>
              </w:rPr>
              <w:t>7</w:t>
            </w:r>
          </w:p>
        </w:tc>
        <w:tc>
          <w:tcPr>
            <w:tcW w:w="1343" w:type="dxa"/>
            <w:vAlign w:val="center"/>
          </w:tcPr>
          <w:p>
            <w:pPr>
              <w:ind w:left="-105" w:leftChars="-50" w:right="-105" w:rightChars="-50"/>
              <w:jc w:val="center"/>
              <w:rPr>
                <w:szCs w:val="21"/>
              </w:rPr>
            </w:pPr>
            <w:r>
              <w:rPr>
                <w:szCs w:val="21"/>
              </w:rPr>
              <w:t>14</w:t>
            </w:r>
          </w:p>
        </w:tc>
        <w:tc>
          <w:tcPr>
            <w:tcW w:w="1365" w:type="dxa"/>
            <w:vAlign w:val="center"/>
          </w:tcPr>
          <w:p>
            <w:pPr>
              <w:ind w:left="-105" w:leftChars="-50" w:right="-105" w:rightChars="-50"/>
              <w:jc w:val="center"/>
              <w:rPr>
                <w:szCs w:val="21"/>
              </w:rPr>
            </w:pPr>
            <w:r>
              <w:rPr>
                <w:szCs w:val="21"/>
              </w:rPr>
              <w:t>0.6～0.8</w:t>
            </w:r>
          </w:p>
        </w:tc>
        <w:tc>
          <w:tcPr>
            <w:tcW w:w="1365" w:type="dxa"/>
            <w:vAlign w:val="center"/>
          </w:tcPr>
          <w:p>
            <w:pPr>
              <w:ind w:left="-105" w:leftChars="-50" w:right="-105" w:rightChars="-50"/>
              <w:jc w:val="center"/>
              <w:rPr>
                <w:szCs w:val="21"/>
              </w:rPr>
            </w:pPr>
            <w:r>
              <w:rPr>
                <w:szCs w:val="21"/>
              </w:rPr>
              <w:t>112.8～163.2</w:t>
            </w:r>
          </w:p>
        </w:tc>
        <w:tc>
          <w:tcPr>
            <w:tcW w:w="1365" w:type="dxa"/>
            <w:vAlign w:val="center"/>
          </w:tcPr>
          <w:p>
            <w:pPr>
              <w:ind w:left="-105" w:leftChars="-50" w:right="-105" w:rightChars="-50"/>
              <w:jc w:val="center"/>
              <w:rPr>
                <w:szCs w:val="21"/>
              </w:rPr>
            </w:pPr>
            <w:r>
              <w:rPr>
                <w:szCs w:val="21"/>
              </w:rPr>
              <w:t>100.8～138.2</w:t>
            </w:r>
          </w:p>
        </w:tc>
        <w:tc>
          <w:tcPr>
            <w:tcW w:w="1365" w:type="dxa"/>
            <w:vAlign w:val="center"/>
          </w:tcPr>
          <w:p>
            <w:pPr>
              <w:ind w:left="-105" w:leftChars="-50" w:right="-105" w:rightChars="-50"/>
              <w:jc w:val="center"/>
              <w:rPr>
                <w:szCs w:val="21"/>
              </w:rPr>
            </w:pPr>
            <w:r>
              <w:rPr>
                <w:szCs w:val="21"/>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Align w:val="center"/>
          </w:tcPr>
          <w:p>
            <w:pPr>
              <w:ind w:left="-105" w:leftChars="-50" w:right="-105" w:rightChars="-50"/>
              <w:jc w:val="center"/>
              <w:rPr>
                <w:szCs w:val="21"/>
              </w:rPr>
            </w:pPr>
            <w:r>
              <w:rPr>
                <w:szCs w:val="21"/>
              </w:rPr>
              <w:t>68</w:t>
            </w:r>
          </w:p>
        </w:tc>
        <w:tc>
          <w:tcPr>
            <w:tcW w:w="1299" w:type="dxa"/>
            <w:vAlign w:val="center"/>
          </w:tcPr>
          <w:p>
            <w:pPr>
              <w:ind w:left="-105" w:leftChars="-50" w:right="-105" w:rightChars="-50"/>
              <w:jc w:val="center"/>
              <w:rPr>
                <w:szCs w:val="21"/>
              </w:rPr>
            </w:pPr>
            <w:r>
              <w:rPr>
                <w:szCs w:val="21"/>
              </w:rPr>
              <w:t>7</w:t>
            </w:r>
          </w:p>
        </w:tc>
        <w:tc>
          <w:tcPr>
            <w:tcW w:w="1343" w:type="dxa"/>
            <w:vAlign w:val="center"/>
          </w:tcPr>
          <w:p>
            <w:pPr>
              <w:ind w:left="-105" w:leftChars="-50" w:right="-105" w:rightChars="-50"/>
              <w:jc w:val="center"/>
              <w:rPr>
                <w:szCs w:val="21"/>
              </w:rPr>
            </w:pPr>
            <w:r>
              <w:rPr>
                <w:szCs w:val="21"/>
              </w:rPr>
              <w:t>14</w:t>
            </w:r>
          </w:p>
        </w:tc>
        <w:tc>
          <w:tcPr>
            <w:tcW w:w="1365" w:type="dxa"/>
            <w:vAlign w:val="center"/>
          </w:tcPr>
          <w:p>
            <w:pPr>
              <w:ind w:left="-105" w:leftChars="-50" w:right="-105" w:rightChars="-50"/>
              <w:jc w:val="center"/>
              <w:rPr>
                <w:szCs w:val="21"/>
              </w:rPr>
            </w:pPr>
            <w:r>
              <w:rPr>
                <w:szCs w:val="21"/>
              </w:rPr>
              <w:t>0.6～0.8</w:t>
            </w:r>
          </w:p>
        </w:tc>
        <w:tc>
          <w:tcPr>
            <w:tcW w:w="1365" w:type="dxa"/>
            <w:vAlign w:val="center"/>
          </w:tcPr>
          <w:p>
            <w:pPr>
              <w:ind w:left="-105" w:leftChars="-50" w:right="-105" w:rightChars="-50"/>
              <w:jc w:val="center"/>
              <w:rPr>
                <w:szCs w:val="21"/>
              </w:rPr>
            </w:pPr>
            <w:r>
              <w:rPr>
                <w:szCs w:val="21"/>
              </w:rPr>
              <w:t>110.4～148.8</w:t>
            </w:r>
          </w:p>
        </w:tc>
        <w:tc>
          <w:tcPr>
            <w:tcW w:w="1365" w:type="dxa"/>
            <w:vAlign w:val="center"/>
          </w:tcPr>
          <w:p>
            <w:pPr>
              <w:ind w:left="-105" w:leftChars="-50" w:right="-105" w:rightChars="-50"/>
              <w:jc w:val="center"/>
              <w:rPr>
                <w:szCs w:val="21"/>
              </w:rPr>
            </w:pPr>
            <w:r>
              <w:rPr>
                <w:szCs w:val="21"/>
              </w:rPr>
              <w:t>103.2～138.2</w:t>
            </w:r>
          </w:p>
        </w:tc>
        <w:tc>
          <w:tcPr>
            <w:tcW w:w="1365" w:type="dxa"/>
            <w:vAlign w:val="center"/>
          </w:tcPr>
          <w:p>
            <w:pPr>
              <w:ind w:left="-105" w:leftChars="-50" w:right="-105" w:rightChars="-50"/>
              <w:jc w:val="center"/>
              <w:rPr>
                <w:szCs w:val="21"/>
              </w:rPr>
            </w:pPr>
            <w:r>
              <w:rPr>
                <w:szCs w:val="21"/>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Align w:val="center"/>
          </w:tcPr>
          <w:p>
            <w:pPr>
              <w:ind w:left="-105" w:leftChars="-50" w:right="-105" w:rightChars="-50"/>
              <w:jc w:val="center"/>
              <w:rPr>
                <w:szCs w:val="21"/>
              </w:rPr>
            </w:pPr>
            <w:r>
              <w:rPr>
                <w:szCs w:val="21"/>
              </w:rPr>
              <w:t>100</w:t>
            </w:r>
          </w:p>
        </w:tc>
        <w:tc>
          <w:tcPr>
            <w:tcW w:w="1299" w:type="dxa"/>
            <w:vAlign w:val="center"/>
          </w:tcPr>
          <w:p>
            <w:pPr>
              <w:ind w:left="-105" w:leftChars="-50" w:right="-105" w:rightChars="-50"/>
              <w:jc w:val="center"/>
              <w:rPr>
                <w:szCs w:val="21"/>
              </w:rPr>
            </w:pPr>
            <w:r>
              <w:rPr>
                <w:szCs w:val="21"/>
              </w:rPr>
              <w:t>10</w:t>
            </w:r>
          </w:p>
        </w:tc>
        <w:tc>
          <w:tcPr>
            <w:tcW w:w="1343" w:type="dxa"/>
            <w:vAlign w:val="center"/>
          </w:tcPr>
          <w:p>
            <w:pPr>
              <w:ind w:left="-105" w:leftChars="-50" w:right="-105" w:rightChars="-50"/>
              <w:jc w:val="center"/>
              <w:rPr>
                <w:szCs w:val="21"/>
              </w:rPr>
            </w:pPr>
            <w:r>
              <w:rPr>
                <w:szCs w:val="21"/>
              </w:rPr>
              <w:t>20</w:t>
            </w:r>
          </w:p>
        </w:tc>
        <w:tc>
          <w:tcPr>
            <w:tcW w:w="1365" w:type="dxa"/>
            <w:vAlign w:val="center"/>
          </w:tcPr>
          <w:p>
            <w:pPr>
              <w:ind w:left="-105" w:leftChars="-50" w:right="-105" w:rightChars="-50"/>
              <w:jc w:val="center"/>
              <w:rPr>
                <w:szCs w:val="21"/>
              </w:rPr>
            </w:pPr>
            <w:r>
              <w:rPr>
                <w:szCs w:val="21"/>
              </w:rPr>
              <w:t>0.6～0.8</w:t>
            </w:r>
          </w:p>
        </w:tc>
        <w:tc>
          <w:tcPr>
            <w:tcW w:w="1365" w:type="dxa"/>
            <w:vAlign w:val="center"/>
          </w:tcPr>
          <w:p>
            <w:pPr>
              <w:ind w:left="-105" w:leftChars="-50" w:right="-105" w:rightChars="-50"/>
              <w:jc w:val="center"/>
              <w:rPr>
                <w:szCs w:val="21"/>
              </w:rPr>
            </w:pPr>
            <w:r>
              <w:rPr>
                <w:szCs w:val="21"/>
              </w:rPr>
              <w:t>230.4</w:t>
            </w:r>
          </w:p>
        </w:tc>
        <w:tc>
          <w:tcPr>
            <w:tcW w:w="1365" w:type="dxa"/>
            <w:vAlign w:val="center"/>
          </w:tcPr>
          <w:p>
            <w:pPr>
              <w:ind w:left="-105" w:leftChars="-50" w:right="-105" w:rightChars="-50"/>
              <w:jc w:val="center"/>
              <w:rPr>
                <w:szCs w:val="21"/>
              </w:rPr>
            </w:pPr>
            <w:r>
              <w:rPr>
                <w:szCs w:val="21"/>
              </w:rPr>
              <w:t>259.2～388.8</w:t>
            </w:r>
          </w:p>
        </w:tc>
        <w:tc>
          <w:tcPr>
            <w:tcW w:w="1365" w:type="dxa"/>
            <w:vAlign w:val="center"/>
          </w:tcPr>
          <w:p>
            <w:pPr>
              <w:ind w:left="-105" w:leftChars="-50" w:right="-105" w:rightChars="-50"/>
              <w:jc w:val="center"/>
              <w:rPr>
                <w:szCs w:val="21"/>
              </w:rPr>
            </w:pPr>
            <w:r>
              <w:rPr>
                <w:szCs w:val="21"/>
              </w:rPr>
              <w:t>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86" w:type="dxa"/>
            <w:vAlign w:val="center"/>
          </w:tcPr>
          <w:p>
            <w:pPr>
              <w:ind w:left="-105" w:leftChars="-50" w:right="-105" w:rightChars="-50"/>
              <w:jc w:val="center"/>
              <w:rPr>
                <w:szCs w:val="21"/>
              </w:rPr>
            </w:pPr>
            <w:r>
              <w:rPr>
                <w:szCs w:val="21"/>
              </w:rPr>
              <w:t>162</w:t>
            </w:r>
          </w:p>
        </w:tc>
        <w:tc>
          <w:tcPr>
            <w:tcW w:w="1299" w:type="dxa"/>
            <w:vAlign w:val="center"/>
          </w:tcPr>
          <w:p>
            <w:pPr>
              <w:ind w:left="-105" w:leftChars="-50" w:right="-105" w:rightChars="-50"/>
              <w:jc w:val="center"/>
              <w:rPr>
                <w:szCs w:val="21"/>
              </w:rPr>
            </w:pPr>
            <w:r>
              <w:rPr>
                <w:szCs w:val="21"/>
              </w:rPr>
              <w:t>19</w:t>
            </w:r>
          </w:p>
        </w:tc>
        <w:tc>
          <w:tcPr>
            <w:tcW w:w="1343" w:type="dxa"/>
            <w:vAlign w:val="center"/>
          </w:tcPr>
          <w:p>
            <w:pPr>
              <w:ind w:left="-105" w:leftChars="-50" w:right="-105" w:rightChars="-50"/>
              <w:jc w:val="center"/>
              <w:rPr>
                <w:szCs w:val="21"/>
              </w:rPr>
            </w:pPr>
            <w:r>
              <w:rPr>
                <w:szCs w:val="21"/>
              </w:rPr>
              <w:t>40</w:t>
            </w:r>
          </w:p>
        </w:tc>
        <w:tc>
          <w:tcPr>
            <w:tcW w:w="1365" w:type="dxa"/>
            <w:vAlign w:val="center"/>
          </w:tcPr>
          <w:p>
            <w:pPr>
              <w:ind w:left="-105" w:leftChars="-50" w:right="-105" w:rightChars="-50"/>
              <w:jc w:val="center"/>
              <w:rPr>
                <w:szCs w:val="21"/>
              </w:rPr>
            </w:pPr>
            <w:r>
              <w:rPr>
                <w:szCs w:val="21"/>
              </w:rPr>
              <w:t>0.6～0.8</w:t>
            </w:r>
          </w:p>
        </w:tc>
        <w:tc>
          <w:tcPr>
            <w:tcW w:w="1365" w:type="dxa"/>
            <w:vAlign w:val="center"/>
          </w:tcPr>
          <w:p>
            <w:pPr>
              <w:ind w:left="-105" w:leftChars="-50" w:right="-105" w:rightChars="-50"/>
              <w:jc w:val="center"/>
              <w:rPr>
                <w:szCs w:val="21"/>
              </w:rPr>
            </w:pPr>
            <w:r>
              <w:rPr>
                <w:szCs w:val="21"/>
              </w:rPr>
              <w:t>720</w:t>
            </w:r>
            <w:r>
              <w:rPr>
                <w:rFonts w:hint="eastAsia"/>
                <w:szCs w:val="21"/>
              </w:rPr>
              <w:t>.0</w:t>
            </w:r>
          </w:p>
        </w:tc>
        <w:tc>
          <w:tcPr>
            <w:tcW w:w="1365" w:type="dxa"/>
            <w:vAlign w:val="center"/>
          </w:tcPr>
          <w:p>
            <w:pPr>
              <w:ind w:left="-105" w:leftChars="-50" w:right="-105" w:rightChars="-50"/>
              <w:jc w:val="center"/>
              <w:rPr>
                <w:szCs w:val="21"/>
              </w:rPr>
            </w:pPr>
            <w:r>
              <w:rPr>
                <w:szCs w:val="21"/>
              </w:rPr>
              <w:t>600</w:t>
            </w:r>
            <w:r>
              <w:rPr>
                <w:rFonts w:hint="eastAsia"/>
                <w:szCs w:val="21"/>
              </w:rPr>
              <w:t>.0</w:t>
            </w:r>
            <w:r>
              <w:rPr>
                <w:szCs w:val="21"/>
              </w:rPr>
              <w:t>～72</w:t>
            </w:r>
            <w:r>
              <w:rPr>
                <w:rFonts w:hint="eastAsia"/>
                <w:szCs w:val="21"/>
              </w:rPr>
              <w:t>0.</w:t>
            </w:r>
            <w:r>
              <w:rPr>
                <w:szCs w:val="21"/>
              </w:rPr>
              <w:t>0</w:t>
            </w:r>
          </w:p>
        </w:tc>
        <w:tc>
          <w:tcPr>
            <w:tcW w:w="1365" w:type="dxa"/>
            <w:vAlign w:val="center"/>
          </w:tcPr>
          <w:p>
            <w:pPr>
              <w:ind w:left="-105" w:leftChars="-50" w:right="-105" w:rightChars="-50"/>
              <w:jc w:val="center"/>
              <w:rPr>
                <w:szCs w:val="21"/>
              </w:rPr>
            </w:pPr>
            <w:r>
              <w:rPr>
                <w:szCs w:val="21"/>
              </w:rPr>
              <w:t>10.0～20.0</w:t>
            </w:r>
          </w:p>
        </w:tc>
      </w:tr>
    </w:tbl>
    <w:p>
      <w:pPr>
        <w:spacing w:line="360" w:lineRule="auto"/>
        <w:ind w:firstLine="482"/>
        <w:rPr>
          <w:sz w:val="24"/>
        </w:rPr>
      </w:pPr>
      <w:r>
        <w:rPr>
          <w:sz w:val="24"/>
        </w:rPr>
        <w:t>3  管井的单井出水能力可按下式计算：</w:t>
      </w:r>
    </w:p>
    <w:p>
      <w:pPr>
        <w:spacing w:line="360" w:lineRule="auto"/>
        <w:ind w:firstLine="480"/>
        <w:jc w:val="right"/>
        <w:rPr>
          <w:sz w:val="24"/>
        </w:rPr>
      </w:pPr>
      <w:r>
        <w:rPr>
          <w:sz w:val="24"/>
        </w:rPr>
        <w:t xml:space="preserve">  </w:t>
      </w:r>
      <w:r>
        <w:rPr>
          <w:position w:val="-12"/>
        </w:rPr>
        <w:object>
          <v:shape id="_x0000_i1117" o:spt="75" type="#_x0000_t75" style="height:21.05pt;width:73.9pt;" o:ole="t" filled="f" coordsize="21600,21600">
            <v:path/>
            <v:fill on="f" focussize="0,0"/>
            <v:stroke/>
            <v:imagedata r:id="rId229" o:title=""/>
            <o:lock v:ext="edit" aspectratio="t"/>
            <w10:wrap type="none"/>
            <w10:anchorlock/>
          </v:shape>
          <o:OLEObject Type="Embed" ProgID="Equation.DSMT4" ShapeID="_x0000_i1117" DrawAspect="Content" ObjectID="_1468075817" r:id="rId228">
            <o:LockedField>false</o:LockedField>
          </o:OLEObject>
        </w:object>
      </w:r>
      <w:r>
        <w:rPr>
          <w:sz w:val="24"/>
        </w:rPr>
        <w:t xml:space="preserve">                  （7.5.4）</w:t>
      </w:r>
    </w:p>
    <w:p>
      <w:pPr>
        <w:spacing w:line="360" w:lineRule="auto"/>
        <w:jc w:val="left"/>
        <w:rPr>
          <w:sz w:val="24"/>
        </w:rPr>
      </w:pPr>
      <w:r>
        <w:rPr>
          <w:sz w:val="24"/>
        </w:rPr>
        <w:t>式中：</w:t>
      </w:r>
      <w:r>
        <w:rPr>
          <w:i/>
          <w:iCs/>
          <w:sz w:val="24"/>
        </w:rPr>
        <w:t>q</w:t>
      </w:r>
      <w:r>
        <w:rPr>
          <w:i/>
          <w:iCs/>
          <w:sz w:val="24"/>
          <w:vertAlign w:val="subscript"/>
        </w:rPr>
        <w:t xml:space="preserve">0 </w:t>
      </w:r>
      <w:r>
        <w:rPr>
          <w:sz w:val="24"/>
        </w:rPr>
        <w:t>—单井出水能力（m</w:t>
      </w:r>
      <w:r>
        <w:rPr>
          <w:sz w:val="24"/>
          <w:vertAlign w:val="superscript"/>
        </w:rPr>
        <w:t>3</w:t>
      </w:r>
      <w:r>
        <w:rPr>
          <w:sz w:val="24"/>
        </w:rPr>
        <w:t>/d）；</w:t>
      </w:r>
    </w:p>
    <w:p>
      <w:pPr>
        <w:spacing w:line="360" w:lineRule="auto"/>
        <w:ind w:firstLine="720" w:firstLineChars="300"/>
        <w:rPr>
          <w:sz w:val="24"/>
        </w:rPr>
      </w:pPr>
      <w:r>
        <w:rPr>
          <w:i/>
          <w:iCs/>
          <w:sz w:val="24"/>
        </w:rPr>
        <w:t>r</w:t>
      </w:r>
      <w:r>
        <w:rPr>
          <w:sz w:val="24"/>
          <w:vertAlign w:val="subscript"/>
        </w:rPr>
        <w:t xml:space="preserve">s </w:t>
      </w:r>
      <w:r>
        <w:rPr>
          <w:sz w:val="24"/>
        </w:rPr>
        <w:t>—过滤器半径（m）；</w:t>
      </w:r>
    </w:p>
    <w:p>
      <w:pPr>
        <w:spacing w:line="360" w:lineRule="auto"/>
        <w:ind w:firstLine="720" w:firstLineChars="300"/>
        <w:jc w:val="left"/>
        <w:rPr>
          <w:sz w:val="24"/>
        </w:rPr>
      </w:pPr>
      <w:r>
        <w:rPr>
          <w:i/>
          <w:iCs/>
          <w:sz w:val="24"/>
        </w:rPr>
        <w:t xml:space="preserve">l </w:t>
      </w:r>
      <w:r>
        <w:rPr>
          <w:sz w:val="24"/>
        </w:rPr>
        <w:t>—过滤器进水部分长度（m）；</w:t>
      </w:r>
    </w:p>
    <w:p>
      <w:pPr>
        <w:spacing w:line="360" w:lineRule="auto"/>
        <w:ind w:firstLine="720" w:firstLineChars="300"/>
        <w:jc w:val="left"/>
        <w:rPr>
          <w:sz w:val="24"/>
        </w:rPr>
      </w:pPr>
      <w:r>
        <w:rPr>
          <w:i/>
          <w:iCs/>
          <w:sz w:val="24"/>
        </w:rPr>
        <w:t xml:space="preserve">k </w:t>
      </w:r>
      <w:r>
        <w:rPr>
          <w:sz w:val="24"/>
        </w:rPr>
        <w:t>—含水层渗透系数（m/d）。</w:t>
      </w:r>
    </w:p>
    <w:p>
      <w:pPr>
        <w:spacing w:line="360" w:lineRule="auto"/>
        <w:jc w:val="left"/>
        <w:rPr>
          <w:sz w:val="24"/>
        </w:rPr>
      </w:pPr>
      <w:bookmarkStart w:id="116" w:name="OLE_LINK31"/>
      <w:r>
        <w:rPr>
          <w:b/>
          <w:bCs/>
          <w:kern w:val="0"/>
          <w:sz w:val="24"/>
        </w:rPr>
        <w:t>7.5.</w:t>
      </w:r>
      <w:r>
        <w:rPr>
          <w:rFonts w:hint="eastAsia"/>
          <w:b/>
          <w:bCs/>
          <w:kern w:val="0"/>
          <w:sz w:val="24"/>
        </w:rPr>
        <w:t>5</w:t>
      </w:r>
      <w:r>
        <w:rPr>
          <w:b/>
          <w:bCs/>
          <w:kern w:val="0"/>
          <w:sz w:val="24"/>
        </w:rPr>
        <w:t xml:space="preserve"> </w:t>
      </w:r>
      <w:bookmarkEnd w:id="116"/>
      <w:r>
        <w:rPr>
          <w:b/>
          <w:bCs/>
          <w:kern w:val="0"/>
          <w:sz w:val="24"/>
        </w:rPr>
        <w:t xml:space="preserve"> </w:t>
      </w:r>
      <w:r>
        <w:rPr>
          <w:sz w:val="24"/>
        </w:rPr>
        <w:t>当降水井布置在基坑外侧时，基坑内地下水水位降深可按地方标准《云南省建筑基坑支护技术规程》</w:t>
      </w:r>
      <w:r>
        <w:rPr>
          <w:rFonts w:hint="eastAsia"/>
          <w:sz w:val="24"/>
        </w:rPr>
        <w:t>DBJ 53/T-71</w:t>
      </w:r>
      <w:r>
        <w:rPr>
          <w:sz w:val="24"/>
        </w:rPr>
        <w:t>计算。</w:t>
      </w:r>
    </w:p>
    <w:p>
      <w:pPr>
        <w:spacing w:line="360" w:lineRule="auto"/>
        <w:jc w:val="left"/>
        <w:rPr>
          <w:sz w:val="24"/>
        </w:rPr>
      </w:pPr>
      <w:bookmarkStart w:id="117" w:name="OLE_LINK32"/>
      <w:r>
        <w:rPr>
          <w:b/>
          <w:bCs/>
          <w:kern w:val="0"/>
          <w:sz w:val="24"/>
        </w:rPr>
        <w:t>7.5.</w:t>
      </w:r>
      <w:r>
        <w:rPr>
          <w:rFonts w:hint="eastAsia"/>
          <w:b/>
          <w:bCs/>
          <w:kern w:val="0"/>
          <w:sz w:val="24"/>
        </w:rPr>
        <w:t>6</w:t>
      </w:r>
      <w:r>
        <w:rPr>
          <w:b/>
          <w:bCs/>
          <w:kern w:val="0"/>
          <w:sz w:val="24"/>
        </w:rPr>
        <w:t xml:space="preserve"> </w:t>
      </w:r>
      <w:bookmarkEnd w:id="117"/>
      <w:r>
        <w:rPr>
          <w:b/>
          <w:bCs/>
          <w:kern w:val="0"/>
          <w:sz w:val="24"/>
        </w:rPr>
        <w:t xml:space="preserve"> </w:t>
      </w:r>
      <w:r>
        <w:rPr>
          <w:sz w:val="24"/>
        </w:rPr>
        <w:t>按地下水稳定渗流计算井距、井的水位降深和基坑涌水量时，影响半径（</w:t>
      </w:r>
      <w:r>
        <w:rPr>
          <w:i/>
          <w:iCs/>
          <w:sz w:val="24"/>
        </w:rPr>
        <w:t>R</w:t>
      </w:r>
      <w:r>
        <w:rPr>
          <w:sz w:val="24"/>
        </w:rPr>
        <w:t>）</w:t>
      </w:r>
      <w:r>
        <w:rPr>
          <w:iCs/>
          <w:sz w:val="24"/>
        </w:rPr>
        <w:t>通过试验确定。缺少试验时，</w:t>
      </w:r>
      <w:r>
        <w:rPr>
          <w:sz w:val="24"/>
        </w:rPr>
        <w:t>可按下列公式计算并结合当地经验取值：</w:t>
      </w:r>
    </w:p>
    <w:p>
      <w:pPr>
        <w:spacing w:line="360" w:lineRule="auto"/>
        <w:ind w:firstLine="480" w:firstLineChars="200"/>
        <w:jc w:val="left"/>
        <w:rPr>
          <w:sz w:val="24"/>
        </w:rPr>
      </w:pPr>
      <w:r>
        <w:rPr>
          <w:sz w:val="24"/>
        </w:rPr>
        <w:t>1</w:t>
      </w:r>
      <w:r>
        <w:rPr>
          <w:b/>
          <w:sz w:val="24"/>
        </w:rPr>
        <w:t xml:space="preserve">  </w:t>
      </w:r>
      <w:r>
        <w:rPr>
          <w:sz w:val="24"/>
        </w:rPr>
        <w:t>潜水含水层</w:t>
      </w:r>
    </w:p>
    <w:p>
      <w:pPr>
        <w:spacing w:line="360" w:lineRule="auto"/>
        <w:ind w:firstLine="840" w:firstLineChars="350"/>
        <w:jc w:val="right"/>
        <w:rPr>
          <w:sz w:val="24"/>
        </w:rPr>
      </w:pPr>
      <w:r>
        <w:rPr>
          <w:position w:val="-12"/>
          <w:sz w:val="24"/>
        </w:rPr>
        <w:object>
          <v:shape id="_x0000_i1118" o:spt="75" type="#_x0000_t75" style="height:21.05pt;width:67pt;" o:ole="t" filled="f" coordsize="21600,21600">
            <v:path/>
            <v:fill on="f" focussize="0,0"/>
            <v:stroke/>
            <v:imagedata r:id="rId231" o:title=""/>
            <o:lock v:ext="edit" aspectratio="t"/>
            <w10:wrap type="none"/>
            <w10:anchorlock/>
          </v:shape>
          <o:OLEObject Type="Embed" ProgID="Equation.3" ShapeID="_x0000_i1118" DrawAspect="Content" ObjectID="_1468075818" r:id="rId230">
            <o:LockedField>false</o:LockedField>
          </o:OLEObject>
        </w:object>
      </w:r>
      <w:r>
        <w:rPr>
          <w:sz w:val="24"/>
        </w:rPr>
        <w:t xml:space="preserve">                         (7.5.</w:t>
      </w:r>
      <w:r>
        <w:rPr>
          <w:rFonts w:hint="eastAsia"/>
          <w:sz w:val="24"/>
        </w:rPr>
        <w:t>6</w:t>
      </w:r>
      <w:r>
        <w:rPr>
          <w:sz w:val="24"/>
        </w:rPr>
        <w:t>-1)</w:t>
      </w:r>
    </w:p>
    <w:p>
      <w:pPr>
        <w:spacing w:line="360" w:lineRule="auto"/>
        <w:ind w:firstLine="480" w:firstLineChars="200"/>
        <w:jc w:val="left"/>
        <w:rPr>
          <w:sz w:val="24"/>
        </w:rPr>
      </w:pPr>
      <w:r>
        <w:rPr>
          <w:sz w:val="24"/>
        </w:rPr>
        <w:t>2</w:t>
      </w:r>
      <w:r>
        <w:rPr>
          <w:b/>
          <w:sz w:val="24"/>
        </w:rPr>
        <w:t xml:space="preserve">  </w:t>
      </w:r>
      <w:r>
        <w:rPr>
          <w:sz w:val="24"/>
        </w:rPr>
        <w:t>承压含水层</w:t>
      </w:r>
    </w:p>
    <w:p>
      <w:pPr>
        <w:spacing w:line="360" w:lineRule="auto"/>
        <w:ind w:left="420" w:firstLine="480"/>
        <w:jc w:val="right"/>
        <w:rPr>
          <w:sz w:val="24"/>
        </w:rPr>
      </w:pPr>
      <w:r>
        <w:rPr>
          <w:position w:val="-12"/>
          <w:sz w:val="24"/>
        </w:rPr>
        <w:object>
          <v:shape id="_x0000_i1119" o:spt="75" type="#_x0000_t75" style="height:21.05pt;width:63.55pt;" o:ole="t" filled="f" coordsize="21600,21600">
            <v:path/>
            <v:fill on="f" focussize="0,0"/>
            <v:stroke/>
            <v:imagedata r:id="rId233" o:title=""/>
            <o:lock v:ext="edit" aspectratio="t"/>
            <w10:wrap type="none"/>
            <w10:anchorlock/>
          </v:shape>
          <o:OLEObject Type="Embed" ProgID="Equation.3" ShapeID="_x0000_i1119" DrawAspect="Content" ObjectID="_1468075819" r:id="rId232">
            <o:LockedField>false</o:LockedField>
          </o:OLEObject>
        </w:object>
      </w:r>
      <w:r>
        <w:rPr>
          <w:sz w:val="24"/>
        </w:rPr>
        <w:t xml:space="preserve">                          (7.5.</w:t>
      </w:r>
      <w:r>
        <w:rPr>
          <w:rFonts w:hint="eastAsia"/>
          <w:sz w:val="24"/>
        </w:rPr>
        <w:t>6</w:t>
      </w:r>
      <w:r>
        <w:rPr>
          <w:sz w:val="24"/>
        </w:rPr>
        <w:t>-2)</w:t>
      </w:r>
    </w:p>
    <w:p>
      <w:pPr>
        <w:spacing w:line="360" w:lineRule="auto"/>
        <w:jc w:val="left"/>
        <w:rPr>
          <w:sz w:val="24"/>
        </w:rPr>
      </w:pPr>
      <w:r>
        <w:rPr>
          <w:sz w:val="24"/>
        </w:rPr>
        <w:t>式中：</w:t>
      </w:r>
      <w:r>
        <w:rPr>
          <w:i/>
          <w:iCs/>
          <w:sz w:val="24"/>
        </w:rPr>
        <w:t>R</w:t>
      </w:r>
      <w:r>
        <w:rPr>
          <w:sz w:val="24"/>
        </w:rPr>
        <w:t>—影响半径（m）；</w:t>
      </w:r>
    </w:p>
    <w:p>
      <w:pPr>
        <w:spacing w:line="360" w:lineRule="auto"/>
        <w:ind w:firstLine="600" w:firstLineChars="250"/>
        <w:jc w:val="left"/>
        <w:rPr>
          <w:sz w:val="24"/>
        </w:rPr>
      </w:pPr>
      <w:r>
        <w:rPr>
          <w:i/>
          <w:iCs/>
          <w:sz w:val="24"/>
        </w:rPr>
        <w:t>s</w:t>
      </w:r>
      <w:r>
        <w:rPr>
          <w:iCs/>
          <w:sz w:val="24"/>
          <w:vertAlign w:val="subscript"/>
        </w:rPr>
        <w:t>w</w:t>
      </w:r>
      <w:r>
        <w:rPr>
          <w:sz w:val="24"/>
        </w:rPr>
        <w:t>—井水位降深（m），当井水位降深小于10m时，取</w:t>
      </w:r>
      <w:r>
        <w:rPr>
          <w:i/>
          <w:iCs/>
          <w:sz w:val="24"/>
        </w:rPr>
        <w:t>s</w:t>
      </w:r>
      <w:r>
        <w:rPr>
          <w:iCs/>
          <w:sz w:val="24"/>
          <w:vertAlign w:val="subscript"/>
        </w:rPr>
        <w:t>w</w:t>
      </w:r>
      <w:r>
        <w:rPr>
          <w:iCs/>
          <w:sz w:val="24"/>
        </w:rPr>
        <w:t>＝10m；</w:t>
      </w:r>
    </w:p>
    <w:p>
      <w:pPr>
        <w:spacing w:line="360" w:lineRule="auto"/>
        <w:ind w:firstLine="720" w:firstLineChars="300"/>
        <w:jc w:val="left"/>
        <w:rPr>
          <w:sz w:val="24"/>
        </w:rPr>
      </w:pPr>
      <w:r>
        <w:rPr>
          <w:i/>
          <w:iCs/>
          <w:sz w:val="24"/>
        </w:rPr>
        <w:t>k</w:t>
      </w:r>
      <w:r>
        <w:rPr>
          <w:sz w:val="24"/>
        </w:rPr>
        <w:t>—含水层的渗透系数（m/d）；</w:t>
      </w:r>
    </w:p>
    <w:p>
      <w:pPr>
        <w:spacing w:line="360" w:lineRule="auto"/>
        <w:ind w:firstLine="720" w:firstLineChars="300"/>
        <w:jc w:val="left"/>
        <w:rPr>
          <w:sz w:val="24"/>
        </w:rPr>
      </w:pPr>
      <w:r>
        <w:rPr>
          <w:i/>
          <w:iCs/>
          <w:sz w:val="24"/>
        </w:rPr>
        <w:t>H</w:t>
      </w:r>
      <w:r>
        <w:rPr>
          <w:i/>
          <w:iCs/>
          <w:sz w:val="24"/>
        </w:rPr>
        <w:softHyphen/>
      </w:r>
      <w:r>
        <w:rPr>
          <w:i/>
          <w:iCs/>
          <w:sz w:val="24"/>
        </w:rPr>
        <w:t>—</w:t>
      </w:r>
      <w:r>
        <w:rPr>
          <w:sz w:val="24"/>
        </w:rPr>
        <w:t>潜水含水层厚度（m）。</w:t>
      </w:r>
    </w:p>
    <w:p>
      <w:pPr>
        <w:spacing w:line="360" w:lineRule="auto"/>
        <w:jc w:val="left"/>
        <w:rPr>
          <w:b/>
          <w:bCs/>
          <w:kern w:val="0"/>
          <w:sz w:val="24"/>
        </w:rPr>
      </w:pPr>
      <w:r>
        <w:rPr>
          <w:b/>
          <w:bCs/>
          <w:kern w:val="0"/>
          <w:sz w:val="24"/>
        </w:rPr>
        <w:t>7.5.</w:t>
      </w:r>
      <w:r>
        <w:rPr>
          <w:rFonts w:hint="eastAsia"/>
          <w:b/>
          <w:bCs/>
          <w:kern w:val="0"/>
          <w:sz w:val="24"/>
        </w:rPr>
        <w:t>7</w:t>
      </w:r>
      <w:r>
        <w:rPr>
          <w:b/>
          <w:bCs/>
          <w:kern w:val="0"/>
          <w:sz w:val="24"/>
        </w:rPr>
        <w:t xml:space="preserve">  </w:t>
      </w:r>
      <w:r>
        <w:rPr>
          <w:rFonts w:hint="eastAsia"/>
          <w:sz w:val="24"/>
        </w:rPr>
        <w:t>真空井点、喷射井点、管井的构造及施工要求应满足《云南省建筑基坑支护技术规程》DBJ 53/T-71的要求。</w:t>
      </w:r>
    </w:p>
    <w:p>
      <w:pPr>
        <w:spacing w:line="360" w:lineRule="auto"/>
        <w:jc w:val="left"/>
        <w:rPr>
          <w:sz w:val="24"/>
        </w:rPr>
      </w:pPr>
      <w:r>
        <w:rPr>
          <w:b/>
          <w:sz w:val="24"/>
        </w:rPr>
        <w:t>7.5.</w:t>
      </w:r>
      <w:r>
        <w:rPr>
          <w:rFonts w:hint="eastAsia"/>
          <w:b/>
          <w:sz w:val="24"/>
        </w:rPr>
        <w:t>8</w:t>
      </w:r>
      <w:r>
        <w:rPr>
          <w:b/>
          <w:sz w:val="24"/>
        </w:rPr>
        <w:t xml:space="preserve">  </w:t>
      </w:r>
      <w:r>
        <w:rPr>
          <w:rFonts w:hint="eastAsia"/>
          <w:sz w:val="24"/>
        </w:rPr>
        <w:t>降水</w:t>
      </w:r>
      <w:r>
        <w:rPr>
          <w:sz w:val="24"/>
        </w:rPr>
        <w:t>系统在使用期的维护应符合下列规定：</w:t>
      </w:r>
    </w:p>
    <w:p>
      <w:pPr>
        <w:spacing w:line="360" w:lineRule="auto"/>
        <w:ind w:firstLine="480" w:firstLineChars="200"/>
        <w:jc w:val="left"/>
        <w:rPr>
          <w:bCs/>
          <w:sz w:val="24"/>
        </w:rPr>
      </w:pPr>
      <w:r>
        <w:rPr>
          <w:bCs/>
          <w:sz w:val="24"/>
        </w:rPr>
        <w:t>1  降水期间应对井水位和抽水量进行监测</w:t>
      </w:r>
      <w:r>
        <w:rPr>
          <w:rFonts w:hint="eastAsia"/>
          <w:bCs/>
          <w:sz w:val="24"/>
        </w:rPr>
        <w:t>；</w:t>
      </w:r>
    </w:p>
    <w:p>
      <w:pPr>
        <w:spacing w:line="360" w:lineRule="auto"/>
        <w:ind w:firstLine="480" w:firstLineChars="200"/>
        <w:jc w:val="left"/>
        <w:rPr>
          <w:bCs/>
          <w:sz w:val="24"/>
        </w:rPr>
      </w:pPr>
      <w:r>
        <w:rPr>
          <w:bCs/>
          <w:sz w:val="24"/>
        </w:rPr>
        <w:t>2  采用管井时，井口宜高于地面200mm以上</w:t>
      </w:r>
      <w:r>
        <w:rPr>
          <w:rFonts w:hint="eastAsia"/>
          <w:bCs/>
          <w:sz w:val="24"/>
        </w:rPr>
        <w:t>，并</w:t>
      </w:r>
      <w:r>
        <w:rPr>
          <w:bCs/>
          <w:sz w:val="24"/>
        </w:rPr>
        <w:t>应对井口采取防护措施。</w:t>
      </w:r>
    </w:p>
    <w:p>
      <w:pPr>
        <w:spacing w:line="360" w:lineRule="auto"/>
        <w:jc w:val="left"/>
        <w:rPr>
          <w:b/>
          <w:sz w:val="24"/>
        </w:rPr>
      </w:pPr>
      <w:r>
        <w:rPr>
          <w:b/>
          <w:sz w:val="24"/>
        </w:rPr>
        <w:t>7.5.</w:t>
      </w:r>
      <w:r>
        <w:rPr>
          <w:rFonts w:hint="eastAsia"/>
          <w:b/>
          <w:sz w:val="24"/>
        </w:rPr>
        <w:t>9</w:t>
      </w:r>
      <w:r>
        <w:rPr>
          <w:b/>
          <w:sz w:val="24"/>
        </w:rPr>
        <w:t xml:space="preserve">  </w:t>
      </w:r>
      <w:r>
        <w:rPr>
          <w:rFonts w:hint="eastAsia"/>
          <w:sz w:val="24"/>
        </w:rPr>
        <w:t>降水</w:t>
      </w:r>
      <w:r>
        <w:rPr>
          <w:sz w:val="24"/>
        </w:rPr>
        <w:t>系统的使用期应满足主体结构的施工要求，停止降水的时间应满足主体结构抗浮要求。</w:t>
      </w:r>
    </w:p>
    <w:p>
      <w:pPr>
        <w:spacing w:line="360" w:lineRule="auto"/>
        <w:jc w:val="left"/>
        <w:rPr>
          <w:b/>
          <w:sz w:val="24"/>
        </w:rPr>
      </w:pPr>
      <w:r>
        <w:rPr>
          <w:b/>
          <w:sz w:val="24"/>
        </w:rPr>
        <w:t>7.5.1</w:t>
      </w:r>
      <w:r>
        <w:rPr>
          <w:rFonts w:hint="eastAsia"/>
          <w:b/>
          <w:sz w:val="24"/>
        </w:rPr>
        <w:t>0</w:t>
      </w:r>
      <w:r>
        <w:rPr>
          <w:b/>
          <w:sz w:val="24"/>
        </w:rPr>
        <w:t xml:space="preserve">  </w:t>
      </w:r>
      <w:r>
        <w:rPr>
          <w:sz w:val="24"/>
        </w:rPr>
        <w:t>停止降水后，应对降水井采取可靠的封井措施。</w:t>
      </w:r>
    </w:p>
    <w:p>
      <w:pPr>
        <w:spacing w:line="360" w:lineRule="auto"/>
        <w:jc w:val="center"/>
        <w:outlineLvl w:val="1"/>
        <w:rPr>
          <w:b/>
          <w:sz w:val="24"/>
        </w:rPr>
      </w:pPr>
      <w:bookmarkStart w:id="118" w:name="_Toc87018356"/>
      <w:bookmarkStart w:id="119" w:name="_Toc87018287"/>
      <w:r>
        <w:rPr>
          <w:b/>
          <w:sz w:val="24"/>
        </w:rPr>
        <w:t>7.6  水位监测与地下水回灌</w:t>
      </w:r>
      <w:bookmarkEnd w:id="118"/>
      <w:bookmarkEnd w:id="119"/>
    </w:p>
    <w:p>
      <w:pPr>
        <w:autoSpaceDE w:val="0"/>
        <w:autoSpaceDN w:val="0"/>
        <w:adjustRightInd w:val="0"/>
        <w:spacing w:line="360" w:lineRule="auto"/>
        <w:jc w:val="left"/>
        <w:rPr>
          <w:kern w:val="0"/>
          <w:sz w:val="24"/>
        </w:rPr>
      </w:pPr>
      <w:bookmarkStart w:id="120" w:name="OLE_LINK43"/>
      <w:r>
        <w:rPr>
          <w:b/>
          <w:bCs/>
          <w:kern w:val="0"/>
          <w:sz w:val="24"/>
        </w:rPr>
        <w:t xml:space="preserve">7.6.1  </w:t>
      </w:r>
      <w:r>
        <w:rPr>
          <w:sz w:val="24"/>
        </w:rPr>
        <w:t>地下水位监测宜单独设置水位观测孔，土方开挖前一周对各观测孔联测，联测不少于3次，取平均值作为初始水位。</w:t>
      </w:r>
    </w:p>
    <w:p>
      <w:pPr>
        <w:autoSpaceDE w:val="0"/>
        <w:autoSpaceDN w:val="0"/>
        <w:adjustRightInd w:val="0"/>
        <w:spacing w:line="360" w:lineRule="auto"/>
        <w:jc w:val="left"/>
        <w:rPr>
          <w:kern w:val="0"/>
          <w:sz w:val="24"/>
        </w:rPr>
      </w:pPr>
      <w:r>
        <w:rPr>
          <w:b/>
          <w:bCs/>
          <w:kern w:val="0"/>
          <w:sz w:val="24"/>
        </w:rPr>
        <w:t xml:space="preserve">7.6.2  </w:t>
      </w:r>
      <w:r>
        <w:rPr>
          <w:kern w:val="0"/>
          <w:sz w:val="24"/>
        </w:rPr>
        <w:t>基坑降水导致地面沉降，影响基坑周边建筑物、地下管线正常使用时，宜采用回灌措施。</w:t>
      </w:r>
    </w:p>
    <w:p>
      <w:pPr>
        <w:autoSpaceDE w:val="0"/>
        <w:autoSpaceDN w:val="0"/>
        <w:adjustRightInd w:val="0"/>
        <w:spacing w:line="360" w:lineRule="auto"/>
        <w:jc w:val="left"/>
        <w:rPr>
          <w:kern w:val="0"/>
          <w:sz w:val="24"/>
        </w:rPr>
      </w:pPr>
      <w:r>
        <w:rPr>
          <w:rFonts w:hint="eastAsia"/>
          <w:b/>
          <w:kern w:val="0"/>
          <w:sz w:val="24"/>
        </w:rPr>
        <w:t xml:space="preserve">7.6.3  </w:t>
      </w:r>
      <w:r>
        <w:rPr>
          <w:kern w:val="0"/>
          <w:sz w:val="24"/>
        </w:rPr>
        <w:t>回灌可采用井点、地沟等形式。当建筑物离基坑较远且为均匀透水层时，可采用地沟回灌；当建筑物离基坑较近且浅部有弱透水层时，可采用井点回灌。</w:t>
      </w:r>
    </w:p>
    <w:bookmarkEnd w:id="120"/>
    <w:p>
      <w:pPr>
        <w:autoSpaceDE w:val="0"/>
        <w:autoSpaceDN w:val="0"/>
        <w:adjustRightInd w:val="0"/>
        <w:spacing w:line="360" w:lineRule="auto"/>
        <w:jc w:val="left"/>
        <w:rPr>
          <w:kern w:val="0"/>
          <w:sz w:val="24"/>
        </w:rPr>
      </w:pPr>
      <w:bookmarkStart w:id="121" w:name="OLE_LINK41"/>
      <w:r>
        <w:rPr>
          <w:b/>
          <w:bCs/>
          <w:kern w:val="0"/>
          <w:sz w:val="24"/>
        </w:rPr>
        <w:t>7.6.</w:t>
      </w:r>
      <w:r>
        <w:rPr>
          <w:rFonts w:hint="eastAsia"/>
          <w:b/>
          <w:bCs/>
          <w:kern w:val="0"/>
          <w:sz w:val="24"/>
        </w:rPr>
        <w:t>4</w:t>
      </w:r>
      <w:r>
        <w:rPr>
          <w:b/>
          <w:bCs/>
          <w:kern w:val="0"/>
          <w:sz w:val="24"/>
        </w:rPr>
        <w:t xml:space="preserve">  </w:t>
      </w:r>
      <w:r>
        <w:rPr>
          <w:kern w:val="0"/>
          <w:sz w:val="24"/>
        </w:rPr>
        <w:t>回灌系统由回灌井点或地沟、自动回灌装置、地下水位观测孔等组成。</w:t>
      </w:r>
    </w:p>
    <w:p>
      <w:pPr>
        <w:autoSpaceDE w:val="0"/>
        <w:autoSpaceDN w:val="0"/>
        <w:adjustRightInd w:val="0"/>
        <w:spacing w:line="360" w:lineRule="auto"/>
        <w:jc w:val="left"/>
        <w:rPr>
          <w:kern w:val="0"/>
          <w:sz w:val="24"/>
        </w:rPr>
      </w:pPr>
      <w:bookmarkStart w:id="122" w:name="OLE_LINK42"/>
      <w:r>
        <w:rPr>
          <w:b/>
          <w:bCs/>
          <w:kern w:val="0"/>
          <w:sz w:val="24"/>
        </w:rPr>
        <w:t>7.6.</w:t>
      </w:r>
      <w:r>
        <w:rPr>
          <w:rFonts w:hint="eastAsia"/>
          <w:b/>
          <w:bCs/>
          <w:kern w:val="0"/>
          <w:sz w:val="24"/>
        </w:rPr>
        <w:t>5</w:t>
      </w:r>
      <w:r>
        <w:rPr>
          <w:b/>
          <w:bCs/>
          <w:kern w:val="0"/>
          <w:sz w:val="24"/>
        </w:rPr>
        <w:t xml:space="preserve">  </w:t>
      </w:r>
      <w:r>
        <w:rPr>
          <w:kern w:val="0"/>
          <w:sz w:val="24"/>
        </w:rPr>
        <w:t>井点回灌应符合下列规定：</w:t>
      </w:r>
    </w:p>
    <w:p>
      <w:pPr>
        <w:autoSpaceDE w:val="0"/>
        <w:autoSpaceDN w:val="0"/>
        <w:adjustRightInd w:val="0"/>
        <w:spacing w:line="360" w:lineRule="auto"/>
        <w:ind w:firstLine="480" w:firstLineChars="200"/>
        <w:jc w:val="left"/>
        <w:rPr>
          <w:kern w:val="0"/>
          <w:sz w:val="24"/>
        </w:rPr>
      </w:pPr>
      <w:r>
        <w:rPr>
          <w:kern w:val="0"/>
          <w:sz w:val="24"/>
        </w:rPr>
        <w:t>1  回灌井应靠近被保护建筑物；回灌井数量</w:t>
      </w:r>
      <w:r>
        <w:rPr>
          <w:rFonts w:hint="eastAsia"/>
          <w:kern w:val="0"/>
          <w:sz w:val="24"/>
        </w:rPr>
        <w:t>及过滤器长度</w:t>
      </w:r>
      <w:r>
        <w:rPr>
          <w:kern w:val="0"/>
          <w:sz w:val="24"/>
        </w:rPr>
        <w:t>应根据</w:t>
      </w:r>
      <w:r>
        <w:rPr>
          <w:rFonts w:hint="eastAsia"/>
          <w:kern w:val="0"/>
          <w:sz w:val="24"/>
        </w:rPr>
        <w:t>需要</w:t>
      </w:r>
      <w:r>
        <w:rPr>
          <w:kern w:val="0"/>
          <w:sz w:val="24"/>
        </w:rPr>
        <w:t>确定，回灌井与降水井的距离不宜小于6.0m</w:t>
      </w:r>
      <w:r>
        <w:rPr>
          <w:rFonts w:hint="eastAsia"/>
          <w:kern w:val="0"/>
          <w:sz w:val="24"/>
        </w:rPr>
        <w:t>；</w:t>
      </w:r>
    </w:p>
    <w:p>
      <w:pPr>
        <w:autoSpaceDE w:val="0"/>
        <w:autoSpaceDN w:val="0"/>
        <w:adjustRightInd w:val="0"/>
        <w:spacing w:line="360" w:lineRule="auto"/>
        <w:ind w:firstLine="480" w:firstLineChars="200"/>
        <w:jc w:val="left"/>
        <w:rPr>
          <w:kern w:val="0"/>
          <w:sz w:val="24"/>
        </w:rPr>
      </w:pPr>
      <w:r>
        <w:rPr>
          <w:kern w:val="0"/>
          <w:sz w:val="24"/>
        </w:rPr>
        <w:t>2  回灌井深度宜进入稳定水面以下3.0m，进入渗透性较好的土层中不少于1.0m</w:t>
      </w:r>
      <w:r>
        <w:rPr>
          <w:rFonts w:hint="eastAsia"/>
          <w:kern w:val="0"/>
          <w:sz w:val="24"/>
        </w:rPr>
        <w:t>；</w:t>
      </w:r>
    </w:p>
    <w:p>
      <w:pPr>
        <w:autoSpaceDE w:val="0"/>
        <w:autoSpaceDN w:val="0"/>
        <w:adjustRightInd w:val="0"/>
        <w:spacing w:line="360" w:lineRule="auto"/>
        <w:ind w:firstLine="480" w:firstLineChars="200"/>
        <w:jc w:val="left"/>
        <w:rPr>
          <w:kern w:val="0"/>
          <w:sz w:val="24"/>
        </w:rPr>
      </w:pPr>
      <w:r>
        <w:rPr>
          <w:rFonts w:hint="eastAsia"/>
          <w:kern w:val="0"/>
          <w:sz w:val="24"/>
        </w:rPr>
        <w:t>3</w:t>
      </w:r>
      <w:r>
        <w:rPr>
          <w:kern w:val="0"/>
          <w:sz w:val="24"/>
        </w:rPr>
        <w:t xml:space="preserve">  地下水位观测孔应布置在回灌区内，定时观测</w:t>
      </w:r>
      <w:r>
        <w:rPr>
          <w:rFonts w:hint="eastAsia"/>
          <w:kern w:val="0"/>
          <w:sz w:val="24"/>
        </w:rPr>
        <w:t>、</w:t>
      </w:r>
      <w:r>
        <w:rPr>
          <w:kern w:val="0"/>
          <w:sz w:val="24"/>
        </w:rPr>
        <w:t>及时分析。</w:t>
      </w:r>
    </w:p>
    <w:bookmarkEnd w:id="122"/>
    <w:p>
      <w:pPr>
        <w:autoSpaceDE w:val="0"/>
        <w:autoSpaceDN w:val="0"/>
        <w:adjustRightInd w:val="0"/>
        <w:spacing w:line="360" w:lineRule="auto"/>
        <w:jc w:val="left"/>
        <w:rPr>
          <w:kern w:val="0"/>
          <w:sz w:val="24"/>
        </w:rPr>
      </w:pPr>
      <w:r>
        <w:rPr>
          <w:b/>
          <w:bCs/>
          <w:kern w:val="0"/>
          <w:sz w:val="24"/>
        </w:rPr>
        <w:t>7.6.</w:t>
      </w:r>
      <w:r>
        <w:rPr>
          <w:rFonts w:hint="eastAsia"/>
          <w:b/>
          <w:bCs/>
          <w:kern w:val="0"/>
          <w:sz w:val="24"/>
        </w:rPr>
        <w:t>6</w:t>
      </w:r>
      <w:r>
        <w:rPr>
          <w:b/>
          <w:bCs/>
          <w:kern w:val="0"/>
          <w:sz w:val="24"/>
        </w:rPr>
        <w:t xml:space="preserve">  </w:t>
      </w:r>
      <w:r>
        <w:rPr>
          <w:kern w:val="0"/>
          <w:sz w:val="24"/>
        </w:rPr>
        <w:t>回灌系统管理符合下列规定：</w:t>
      </w:r>
    </w:p>
    <w:p>
      <w:pPr>
        <w:autoSpaceDE w:val="0"/>
        <w:autoSpaceDN w:val="0"/>
        <w:adjustRightInd w:val="0"/>
        <w:spacing w:line="360" w:lineRule="auto"/>
        <w:ind w:firstLine="480" w:firstLineChars="200"/>
        <w:jc w:val="left"/>
        <w:rPr>
          <w:kern w:val="0"/>
          <w:sz w:val="24"/>
        </w:rPr>
      </w:pPr>
      <w:r>
        <w:rPr>
          <w:kern w:val="0"/>
          <w:sz w:val="24"/>
        </w:rPr>
        <w:t>1  回灌水宜采用清水或自坑内抽取未受污染的地下水，宜采用自动回灌系统，回灌水量可通过水位观测孔中的水位变化进行控制和调节，不宜超过原水位标高</w:t>
      </w:r>
      <w:r>
        <w:rPr>
          <w:rFonts w:hint="eastAsia"/>
          <w:kern w:val="0"/>
          <w:sz w:val="24"/>
        </w:rPr>
        <w:t>；</w:t>
      </w:r>
    </w:p>
    <w:p>
      <w:pPr>
        <w:autoSpaceDE w:val="0"/>
        <w:autoSpaceDN w:val="0"/>
        <w:adjustRightInd w:val="0"/>
        <w:spacing w:line="360" w:lineRule="auto"/>
        <w:ind w:firstLine="480" w:firstLineChars="200"/>
        <w:jc w:val="left"/>
        <w:rPr>
          <w:kern w:val="0"/>
          <w:sz w:val="24"/>
        </w:rPr>
      </w:pPr>
      <w:bookmarkStart w:id="123" w:name="OLE_LINK44"/>
      <w:r>
        <w:rPr>
          <w:kern w:val="0"/>
          <w:sz w:val="24"/>
        </w:rPr>
        <w:t>2</w:t>
      </w:r>
      <w:bookmarkEnd w:id="123"/>
      <w:r>
        <w:rPr>
          <w:kern w:val="0"/>
          <w:sz w:val="24"/>
        </w:rPr>
        <w:t xml:space="preserve">  降水与回灌应协调动态控制。</w:t>
      </w:r>
    </w:p>
    <w:bookmarkEnd w:id="99"/>
    <w:bookmarkEnd w:id="121"/>
    <w:p>
      <w:pPr>
        <w:autoSpaceDE w:val="0"/>
        <w:autoSpaceDN w:val="0"/>
        <w:adjustRightInd w:val="0"/>
        <w:spacing w:line="360" w:lineRule="auto"/>
        <w:ind w:firstLine="480" w:firstLineChars="200"/>
        <w:jc w:val="left"/>
        <w:rPr>
          <w:sz w:val="24"/>
        </w:rPr>
      </w:pPr>
      <w:bookmarkStart w:id="124" w:name="_Toc279137646"/>
    </w:p>
    <w:p>
      <w:pPr>
        <w:spacing w:line="360" w:lineRule="auto"/>
        <w:jc w:val="center"/>
        <w:outlineLvl w:val="0"/>
        <w:rPr>
          <w:b/>
          <w:sz w:val="24"/>
        </w:rPr>
        <w:sectPr>
          <w:pgSz w:w="11907" w:h="16840"/>
          <w:pgMar w:top="1418" w:right="1134" w:bottom="1134" w:left="1701" w:header="851" w:footer="851" w:gutter="0"/>
          <w:cols w:space="720" w:num="1"/>
          <w:docGrid w:linePitch="312" w:charSpace="0"/>
        </w:sectPr>
      </w:pPr>
    </w:p>
    <w:p>
      <w:pPr>
        <w:spacing w:line="360" w:lineRule="auto"/>
        <w:jc w:val="center"/>
        <w:outlineLvl w:val="0"/>
        <w:rPr>
          <w:b/>
          <w:sz w:val="28"/>
          <w:szCs w:val="28"/>
        </w:rPr>
      </w:pPr>
      <w:bookmarkStart w:id="125" w:name="_Toc87018357"/>
      <w:bookmarkStart w:id="126" w:name="_Toc87018288"/>
      <w:r>
        <w:rPr>
          <w:b/>
          <w:sz w:val="28"/>
          <w:szCs w:val="28"/>
        </w:rPr>
        <w:t>8　基坑及周边环境监测</w:t>
      </w:r>
      <w:bookmarkEnd w:id="125"/>
      <w:bookmarkEnd w:id="126"/>
    </w:p>
    <w:p>
      <w:pPr>
        <w:spacing w:line="360" w:lineRule="auto"/>
        <w:jc w:val="center"/>
        <w:outlineLvl w:val="1"/>
        <w:rPr>
          <w:b/>
          <w:sz w:val="24"/>
        </w:rPr>
      </w:pPr>
      <w:bookmarkStart w:id="127" w:name="_Toc87018289"/>
      <w:bookmarkStart w:id="128" w:name="_Toc87018358"/>
      <w:r>
        <w:rPr>
          <w:b/>
          <w:sz w:val="24"/>
        </w:rPr>
        <w:t>8.1　一般规定</w:t>
      </w:r>
      <w:bookmarkEnd w:id="127"/>
      <w:bookmarkEnd w:id="128"/>
    </w:p>
    <w:p>
      <w:pPr>
        <w:spacing w:line="360" w:lineRule="auto"/>
        <w:rPr>
          <w:sz w:val="24"/>
        </w:rPr>
      </w:pPr>
      <w:r>
        <w:rPr>
          <w:b/>
          <w:sz w:val="24"/>
        </w:rPr>
        <w:t>8.1.1</w:t>
      </w:r>
      <w:r>
        <w:rPr>
          <w:sz w:val="24"/>
        </w:rPr>
        <w:t xml:space="preserve">  基坑</w:t>
      </w:r>
      <w:r>
        <w:rPr>
          <w:rFonts w:hint="eastAsia"/>
          <w:sz w:val="24"/>
        </w:rPr>
        <w:t>施工</w:t>
      </w:r>
      <w:r>
        <w:rPr>
          <w:sz w:val="24"/>
        </w:rPr>
        <w:t>过程与支护结构使用期内，</w:t>
      </w:r>
      <w:r>
        <w:rPr>
          <w:rFonts w:hint="eastAsia"/>
          <w:sz w:val="24"/>
        </w:rPr>
        <w:t>应对</w:t>
      </w:r>
      <w:r>
        <w:rPr>
          <w:sz w:val="24"/>
        </w:rPr>
        <w:t>支护结构和</w:t>
      </w:r>
      <w:r>
        <w:rPr>
          <w:rFonts w:hint="eastAsia"/>
          <w:sz w:val="24"/>
        </w:rPr>
        <w:t>周边环境进行</w:t>
      </w:r>
      <w:r>
        <w:rPr>
          <w:sz w:val="24"/>
        </w:rPr>
        <w:t>监测。</w:t>
      </w:r>
    </w:p>
    <w:p>
      <w:pPr>
        <w:spacing w:line="360" w:lineRule="auto"/>
        <w:rPr>
          <w:sz w:val="24"/>
        </w:rPr>
      </w:pPr>
      <w:r>
        <w:rPr>
          <w:b/>
          <w:sz w:val="24"/>
        </w:rPr>
        <w:t>8.1.2</w:t>
      </w:r>
      <w:r>
        <w:rPr>
          <w:sz w:val="24"/>
        </w:rPr>
        <w:t xml:space="preserve">  基坑工程的现场监测应采用仪器监测与巡视检查相结合的方法。</w:t>
      </w:r>
    </w:p>
    <w:p>
      <w:pPr>
        <w:spacing w:line="360" w:lineRule="auto"/>
        <w:rPr>
          <w:sz w:val="24"/>
        </w:rPr>
      </w:pPr>
      <w:r>
        <w:rPr>
          <w:b/>
          <w:sz w:val="24"/>
        </w:rPr>
        <w:t>8.1.3</w:t>
      </w:r>
      <w:r>
        <w:rPr>
          <w:sz w:val="24"/>
        </w:rPr>
        <w:t xml:space="preserve">  基坑</w:t>
      </w:r>
      <w:r>
        <w:rPr>
          <w:rFonts w:hint="eastAsia"/>
          <w:sz w:val="24"/>
        </w:rPr>
        <w:t>支护监测</w:t>
      </w:r>
      <w:r>
        <w:rPr>
          <w:sz w:val="24"/>
        </w:rPr>
        <w:t>设计应根据</w:t>
      </w:r>
      <w:r>
        <w:rPr>
          <w:rFonts w:hint="eastAsia"/>
          <w:sz w:val="24"/>
        </w:rPr>
        <w:t>基坑工程安全等级</w:t>
      </w:r>
      <w:r>
        <w:rPr>
          <w:sz w:val="24"/>
        </w:rPr>
        <w:t>、变形控制要求以及地下水控制方法，按表</w:t>
      </w:r>
      <w:r>
        <w:rPr>
          <w:rFonts w:hint="eastAsia"/>
          <w:sz w:val="24"/>
        </w:rPr>
        <w:t>8.1.3</w:t>
      </w:r>
      <w:r>
        <w:rPr>
          <w:sz w:val="24"/>
        </w:rPr>
        <w:t>选择监测项目，并应根据支护结构</w:t>
      </w:r>
      <w:r>
        <w:rPr>
          <w:rFonts w:hint="eastAsia"/>
          <w:sz w:val="24"/>
        </w:rPr>
        <w:t>型</w:t>
      </w:r>
      <w:r>
        <w:rPr>
          <w:sz w:val="24"/>
        </w:rPr>
        <w:t>式、基坑周边环境的重要性及地质条件的复杂性确定监测点部位及数量。</w:t>
      </w:r>
    </w:p>
    <w:p>
      <w:pPr>
        <w:spacing w:line="360" w:lineRule="auto"/>
        <w:jc w:val="center"/>
        <w:rPr>
          <w:b/>
          <w:sz w:val="24"/>
        </w:rPr>
      </w:pPr>
      <w:r>
        <w:rPr>
          <w:b/>
          <w:sz w:val="24"/>
        </w:rPr>
        <w:t>表8.1.3  基坑监测项目表</w:t>
      </w:r>
    </w:p>
    <w:tbl>
      <w:tblPr>
        <w:tblStyle w:val="26"/>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1968"/>
        <w:gridCol w:w="1843"/>
        <w:gridCol w:w="155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trPr>
        <w:tc>
          <w:tcPr>
            <w:tcW w:w="3544" w:type="dxa"/>
            <w:gridSpan w:val="2"/>
            <w:vMerge w:val="restart"/>
            <w:tcBorders>
              <w:tl2br w:val="nil"/>
            </w:tcBorders>
            <w:shd w:val="clear" w:color="auto" w:fill="auto"/>
            <w:vAlign w:val="center"/>
          </w:tcPr>
          <w:p>
            <w:pPr>
              <w:spacing w:line="360" w:lineRule="auto"/>
              <w:jc w:val="center"/>
            </w:pPr>
            <w:r>
              <w:t>监测项目</w:t>
            </w:r>
          </w:p>
        </w:tc>
        <w:tc>
          <w:tcPr>
            <w:tcW w:w="5245" w:type="dxa"/>
            <w:gridSpan w:val="3"/>
            <w:shd w:val="clear" w:color="auto" w:fill="auto"/>
            <w:vAlign w:val="center"/>
          </w:tcPr>
          <w:p>
            <w:pPr>
              <w:spacing w:line="360" w:lineRule="auto"/>
              <w:jc w:val="center"/>
            </w:pPr>
            <w:r>
              <w:rPr>
                <w:rFonts w:hint="eastAsia"/>
              </w:rPr>
              <w:t>基坑工程</w:t>
            </w:r>
            <w:r>
              <w:t>安全等级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blHeader/>
        </w:trPr>
        <w:tc>
          <w:tcPr>
            <w:tcW w:w="3544" w:type="dxa"/>
            <w:gridSpan w:val="2"/>
            <w:vMerge w:val="continue"/>
            <w:tcBorders>
              <w:tl2br w:val="nil"/>
            </w:tcBorders>
            <w:shd w:val="clear" w:color="auto" w:fill="auto"/>
          </w:tcPr>
          <w:p/>
        </w:tc>
        <w:tc>
          <w:tcPr>
            <w:tcW w:w="1843" w:type="dxa"/>
            <w:shd w:val="clear" w:color="auto" w:fill="auto"/>
            <w:vAlign w:val="center"/>
          </w:tcPr>
          <w:p>
            <w:pPr>
              <w:jc w:val="center"/>
            </w:pPr>
            <w:r>
              <w:t>一级</w:t>
            </w:r>
          </w:p>
        </w:tc>
        <w:tc>
          <w:tcPr>
            <w:tcW w:w="1559" w:type="dxa"/>
            <w:shd w:val="clear" w:color="auto" w:fill="auto"/>
            <w:vAlign w:val="center"/>
          </w:tcPr>
          <w:p>
            <w:pPr>
              <w:jc w:val="center"/>
            </w:pPr>
            <w:r>
              <w:t>二级</w:t>
            </w:r>
          </w:p>
        </w:tc>
        <w:tc>
          <w:tcPr>
            <w:tcW w:w="1843" w:type="dxa"/>
            <w:shd w:val="clear" w:color="auto" w:fill="auto"/>
            <w:vAlign w:val="center"/>
          </w:tcPr>
          <w:p>
            <w:pPr>
              <w:jc w:val="center"/>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支护结构顶部水平位移</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应测</w:t>
            </w:r>
          </w:p>
        </w:tc>
        <w:tc>
          <w:tcPr>
            <w:tcW w:w="1843" w:type="dxa"/>
            <w:shd w:val="clear" w:color="auto" w:fill="auto"/>
            <w:vAlign w:val="center"/>
          </w:tcPr>
          <w:p>
            <w:pPr>
              <w:jc w:val="center"/>
            </w:pPr>
            <w: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支护结构顶部竖向位移</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应测</w:t>
            </w:r>
          </w:p>
        </w:tc>
        <w:tc>
          <w:tcPr>
            <w:tcW w:w="1843" w:type="dxa"/>
            <w:shd w:val="clear" w:color="auto" w:fill="auto"/>
            <w:vAlign w:val="center"/>
          </w:tcPr>
          <w:p>
            <w:pPr>
              <w:jc w:val="center"/>
            </w:pPr>
            <w: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深层水平位移</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应测</w:t>
            </w:r>
          </w:p>
        </w:tc>
        <w:tc>
          <w:tcPr>
            <w:tcW w:w="1843" w:type="dxa"/>
            <w:shd w:val="clear" w:color="auto" w:fill="auto"/>
            <w:vAlign w:val="center"/>
          </w:tcPr>
          <w:p>
            <w:pPr>
              <w:jc w:val="center"/>
            </w:pPr>
            <w: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rPr>
                <w:rFonts w:hint="eastAsia"/>
              </w:rPr>
              <w:t>挡土构件</w:t>
            </w:r>
            <w:r>
              <w:t>内力</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宜测</w:t>
            </w:r>
          </w:p>
        </w:tc>
        <w:tc>
          <w:tcPr>
            <w:tcW w:w="1843" w:type="dxa"/>
            <w:shd w:val="clear" w:color="auto" w:fill="auto"/>
            <w:vAlign w:val="center"/>
          </w:tcPr>
          <w:p>
            <w:pPr>
              <w:jc w:val="center"/>
            </w:pPr>
            <w: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支撑内力</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rPr>
                <w:rFonts w:hint="eastAsia"/>
              </w:rPr>
              <w:t>应</w:t>
            </w:r>
            <w:r>
              <w:t>测</w:t>
            </w:r>
          </w:p>
        </w:tc>
        <w:tc>
          <w:tcPr>
            <w:tcW w:w="1843" w:type="dxa"/>
            <w:shd w:val="clear" w:color="auto" w:fill="auto"/>
            <w:vAlign w:val="center"/>
          </w:tcPr>
          <w:p>
            <w:pPr>
              <w:jc w:val="center"/>
            </w:pPr>
            <w: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立柱竖向位移</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rPr>
                <w:rFonts w:hint="eastAsia"/>
              </w:rPr>
              <w:t>宜</w:t>
            </w:r>
            <w:r>
              <w:t>测</w:t>
            </w:r>
          </w:p>
        </w:tc>
        <w:tc>
          <w:tcPr>
            <w:tcW w:w="1843" w:type="dxa"/>
            <w:shd w:val="clear" w:color="auto" w:fill="auto"/>
            <w:vAlign w:val="center"/>
          </w:tcPr>
          <w:p>
            <w:pPr>
              <w:jc w:val="center"/>
            </w:pPr>
            <w: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立柱内力</w:t>
            </w:r>
          </w:p>
        </w:tc>
        <w:tc>
          <w:tcPr>
            <w:tcW w:w="1843" w:type="dxa"/>
            <w:shd w:val="clear" w:color="auto" w:fill="auto"/>
            <w:vAlign w:val="center"/>
          </w:tcPr>
          <w:p>
            <w:pPr>
              <w:jc w:val="center"/>
            </w:pPr>
            <w:r>
              <w:t>宜测</w:t>
            </w:r>
          </w:p>
        </w:tc>
        <w:tc>
          <w:tcPr>
            <w:tcW w:w="1559" w:type="dxa"/>
            <w:shd w:val="clear" w:color="auto" w:fill="auto"/>
            <w:vAlign w:val="center"/>
          </w:tcPr>
          <w:p>
            <w:pPr>
              <w:jc w:val="center"/>
            </w:pPr>
            <w:r>
              <w:t>可测</w:t>
            </w:r>
          </w:p>
        </w:tc>
        <w:tc>
          <w:tcPr>
            <w:tcW w:w="1843" w:type="dxa"/>
            <w:shd w:val="clear" w:color="auto" w:fill="auto"/>
            <w:vAlign w:val="center"/>
          </w:tcPr>
          <w:p>
            <w:pPr>
              <w:jc w:val="center"/>
            </w:pPr>
            <w: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锚杆内力</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rPr>
                <w:rFonts w:hint="eastAsia"/>
              </w:rPr>
              <w:t>应</w:t>
            </w:r>
            <w:r>
              <w:t>测</w:t>
            </w:r>
          </w:p>
        </w:tc>
        <w:tc>
          <w:tcPr>
            <w:tcW w:w="1843" w:type="dxa"/>
            <w:shd w:val="clear" w:color="auto" w:fill="auto"/>
            <w:vAlign w:val="center"/>
          </w:tcPr>
          <w:p>
            <w:pPr>
              <w:jc w:val="center"/>
            </w:pPr>
            <w: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土钉内力</w:t>
            </w:r>
          </w:p>
        </w:tc>
        <w:tc>
          <w:tcPr>
            <w:tcW w:w="1843" w:type="dxa"/>
            <w:shd w:val="clear" w:color="auto" w:fill="auto"/>
            <w:vAlign w:val="center"/>
          </w:tcPr>
          <w:p>
            <w:pPr>
              <w:jc w:val="center"/>
            </w:pPr>
            <w:r>
              <w:t>宜测</w:t>
            </w:r>
          </w:p>
        </w:tc>
        <w:tc>
          <w:tcPr>
            <w:tcW w:w="1559" w:type="dxa"/>
            <w:shd w:val="clear" w:color="auto" w:fill="auto"/>
            <w:vAlign w:val="center"/>
          </w:tcPr>
          <w:p>
            <w:pPr>
              <w:jc w:val="center"/>
            </w:pPr>
            <w:r>
              <w:t>可测</w:t>
            </w:r>
          </w:p>
        </w:tc>
        <w:tc>
          <w:tcPr>
            <w:tcW w:w="1843" w:type="dxa"/>
            <w:shd w:val="clear" w:color="auto" w:fill="auto"/>
            <w:vAlign w:val="center"/>
          </w:tcPr>
          <w:p>
            <w:pPr>
              <w:jc w:val="center"/>
            </w:pPr>
            <w: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坑底隆起</w:t>
            </w:r>
            <w:r>
              <w:rPr>
                <w:rFonts w:hint="eastAsia"/>
              </w:rPr>
              <w:t>或</w:t>
            </w:r>
            <w:r>
              <w:t>回弹</w:t>
            </w:r>
          </w:p>
        </w:tc>
        <w:tc>
          <w:tcPr>
            <w:tcW w:w="1843" w:type="dxa"/>
            <w:shd w:val="clear" w:color="auto" w:fill="auto"/>
            <w:vAlign w:val="center"/>
          </w:tcPr>
          <w:p>
            <w:pPr>
              <w:jc w:val="center"/>
            </w:pPr>
            <w:r>
              <w:t>宜测</w:t>
            </w:r>
          </w:p>
        </w:tc>
        <w:tc>
          <w:tcPr>
            <w:tcW w:w="1559" w:type="dxa"/>
            <w:shd w:val="clear" w:color="auto" w:fill="auto"/>
            <w:vAlign w:val="center"/>
          </w:tcPr>
          <w:p>
            <w:pPr>
              <w:jc w:val="center"/>
            </w:pPr>
            <w:r>
              <w:t>宜测</w:t>
            </w:r>
          </w:p>
        </w:tc>
        <w:tc>
          <w:tcPr>
            <w:tcW w:w="1843" w:type="dxa"/>
            <w:shd w:val="clear" w:color="auto" w:fill="auto"/>
            <w:vAlign w:val="center"/>
          </w:tcPr>
          <w:p>
            <w:pPr>
              <w:jc w:val="center"/>
            </w:pPr>
            <w: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tcBorders>
              <w:bottom w:val="single" w:color="auto" w:sz="4" w:space="0"/>
            </w:tcBorders>
            <w:shd w:val="clear" w:color="auto" w:fill="auto"/>
            <w:vAlign w:val="center"/>
          </w:tcPr>
          <w:p>
            <w:r>
              <w:t>孔隙水压力</w:t>
            </w:r>
          </w:p>
        </w:tc>
        <w:tc>
          <w:tcPr>
            <w:tcW w:w="1843" w:type="dxa"/>
            <w:tcBorders>
              <w:bottom w:val="single" w:color="auto" w:sz="4" w:space="0"/>
            </w:tcBorders>
            <w:shd w:val="clear" w:color="auto" w:fill="auto"/>
            <w:vAlign w:val="center"/>
          </w:tcPr>
          <w:p>
            <w:pPr>
              <w:jc w:val="center"/>
            </w:pPr>
            <w:r>
              <w:t>宜测</w:t>
            </w:r>
          </w:p>
        </w:tc>
        <w:tc>
          <w:tcPr>
            <w:tcW w:w="1559" w:type="dxa"/>
            <w:tcBorders>
              <w:bottom w:val="single" w:color="auto" w:sz="4" w:space="0"/>
            </w:tcBorders>
            <w:shd w:val="clear" w:color="auto" w:fill="auto"/>
            <w:vAlign w:val="center"/>
          </w:tcPr>
          <w:p>
            <w:pPr>
              <w:jc w:val="center"/>
            </w:pPr>
            <w:r>
              <w:t>可测</w:t>
            </w:r>
          </w:p>
        </w:tc>
        <w:tc>
          <w:tcPr>
            <w:tcW w:w="1843" w:type="dxa"/>
            <w:tcBorders>
              <w:bottom w:val="single" w:color="auto" w:sz="4" w:space="0"/>
            </w:tcBorders>
            <w:shd w:val="clear" w:color="auto" w:fill="auto"/>
            <w:vAlign w:val="center"/>
          </w:tcPr>
          <w:p>
            <w:pPr>
              <w:jc w:val="center"/>
            </w:pPr>
            <w: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76" w:type="dxa"/>
            <w:vMerge w:val="restart"/>
            <w:tcBorders>
              <w:top w:val="nil"/>
            </w:tcBorders>
            <w:shd w:val="clear" w:color="auto" w:fill="auto"/>
            <w:vAlign w:val="center"/>
          </w:tcPr>
          <w:p>
            <w:r>
              <w:t>地下水水位</w:t>
            </w:r>
          </w:p>
        </w:tc>
        <w:tc>
          <w:tcPr>
            <w:tcW w:w="1968" w:type="dxa"/>
            <w:tcBorders>
              <w:top w:val="nil"/>
            </w:tcBorders>
            <w:shd w:val="clear" w:color="auto" w:fill="auto"/>
            <w:vAlign w:val="center"/>
          </w:tcPr>
          <w:p>
            <w:r>
              <w:t>基坑外</w:t>
            </w:r>
          </w:p>
        </w:tc>
        <w:tc>
          <w:tcPr>
            <w:tcW w:w="1843" w:type="dxa"/>
            <w:tcBorders>
              <w:top w:val="nil"/>
            </w:tcBorders>
            <w:shd w:val="clear" w:color="auto" w:fill="auto"/>
            <w:vAlign w:val="center"/>
          </w:tcPr>
          <w:p>
            <w:pPr>
              <w:jc w:val="center"/>
            </w:pPr>
            <w:r>
              <w:t>应测</w:t>
            </w:r>
          </w:p>
        </w:tc>
        <w:tc>
          <w:tcPr>
            <w:tcW w:w="1559" w:type="dxa"/>
            <w:tcBorders>
              <w:top w:val="nil"/>
            </w:tcBorders>
            <w:shd w:val="clear" w:color="auto" w:fill="auto"/>
            <w:vAlign w:val="center"/>
          </w:tcPr>
          <w:p>
            <w:pPr>
              <w:jc w:val="center"/>
            </w:pPr>
            <w:r>
              <w:t>应测</w:t>
            </w:r>
          </w:p>
        </w:tc>
        <w:tc>
          <w:tcPr>
            <w:tcW w:w="1843" w:type="dxa"/>
            <w:tcBorders>
              <w:top w:val="nil"/>
            </w:tcBorders>
            <w:shd w:val="clear" w:color="auto" w:fill="auto"/>
            <w:vAlign w:val="center"/>
          </w:tcPr>
          <w:p>
            <w:pPr>
              <w:jc w:val="center"/>
            </w:pPr>
            <w: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76" w:type="dxa"/>
            <w:vMerge w:val="continue"/>
            <w:shd w:val="clear" w:color="auto" w:fill="auto"/>
          </w:tcPr>
          <w:p/>
        </w:tc>
        <w:tc>
          <w:tcPr>
            <w:tcW w:w="1968" w:type="dxa"/>
            <w:shd w:val="clear" w:color="auto" w:fill="auto"/>
            <w:vAlign w:val="center"/>
          </w:tcPr>
          <w:p>
            <w:r>
              <w:t>基坑内</w:t>
            </w:r>
          </w:p>
        </w:tc>
        <w:tc>
          <w:tcPr>
            <w:tcW w:w="1843" w:type="dxa"/>
            <w:shd w:val="clear" w:color="auto" w:fill="auto"/>
            <w:vAlign w:val="center"/>
          </w:tcPr>
          <w:p>
            <w:pPr>
              <w:jc w:val="center"/>
            </w:pPr>
            <w:r>
              <w:t>宜测</w:t>
            </w:r>
          </w:p>
        </w:tc>
        <w:tc>
          <w:tcPr>
            <w:tcW w:w="1559" w:type="dxa"/>
            <w:shd w:val="clear" w:color="auto" w:fill="auto"/>
            <w:vAlign w:val="center"/>
          </w:tcPr>
          <w:p>
            <w:pPr>
              <w:jc w:val="center"/>
            </w:pPr>
            <w:r>
              <w:t>宜测</w:t>
            </w:r>
          </w:p>
        </w:tc>
        <w:tc>
          <w:tcPr>
            <w:tcW w:w="1843" w:type="dxa"/>
            <w:shd w:val="clear" w:color="auto" w:fill="auto"/>
            <w:vAlign w:val="center"/>
          </w:tcPr>
          <w:p>
            <w:pPr>
              <w:jc w:val="center"/>
            </w:pPr>
            <w: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土体分层竖向位移</w:t>
            </w:r>
          </w:p>
        </w:tc>
        <w:tc>
          <w:tcPr>
            <w:tcW w:w="1843" w:type="dxa"/>
            <w:shd w:val="clear" w:color="auto" w:fill="auto"/>
            <w:vAlign w:val="center"/>
          </w:tcPr>
          <w:p>
            <w:pPr>
              <w:jc w:val="center"/>
            </w:pPr>
            <w:r>
              <w:t>宜测</w:t>
            </w:r>
          </w:p>
        </w:tc>
        <w:tc>
          <w:tcPr>
            <w:tcW w:w="1559" w:type="dxa"/>
            <w:shd w:val="clear" w:color="auto" w:fill="auto"/>
            <w:vAlign w:val="center"/>
          </w:tcPr>
          <w:p>
            <w:pPr>
              <w:jc w:val="center"/>
            </w:pPr>
            <w:r>
              <w:t>可测</w:t>
            </w:r>
          </w:p>
        </w:tc>
        <w:tc>
          <w:tcPr>
            <w:tcW w:w="1843" w:type="dxa"/>
            <w:shd w:val="clear" w:color="auto" w:fill="auto"/>
            <w:vAlign w:val="center"/>
          </w:tcPr>
          <w:p>
            <w:pPr>
              <w:jc w:val="center"/>
            </w:pPr>
            <w: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76" w:type="dxa"/>
            <w:vMerge w:val="restart"/>
            <w:shd w:val="clear" w:color="auto" w:fill="auto"/>
            <w:vAlign w:val="center"/>
          </w:tcPr>
          <w:p>
            <w:r>
              <w:t>周边地表</w:t>
            </w:r>
          </w:p>
        </w:tc>
        <w:tc>
          <w:tcPr>
            <w:tcW w:w="1968" w:type="dxa"/>
            <w:shd w:val="clear" w:color="auto" w:fill="auto"/>
            <w:vAlign w:val="center"/>
          </w:tcPr>
          <w:p>
            <w:r>
              <w:t>竖向位移</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应测</w:t>
            </w:r>
          </w:p>
        </w:tc>
        <w:tc>
          <w:tcPr>
            <w:tcW w:w="1843" w:type="dxa"/>
            <w:shd w:val="clear" w:color="auto" w:fill="auto"/>
            <w:vAlign w:val="center"/>
          </w:tcPr>
          <w:p>
            <w:pPr>
              <w:jc w:val="center"/>
            </w:pPr>
            <w: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76" w:type="dxa"/>
            <w:vMerge w:val="continue"/>
            <w:shd w:val="clear" w:color="auto" w:fill="auto"/>
          </w:tcPr>
          <w:p/>
        </w:tc>
        <w:tc>
          <w:tcPr>
            <w:tcW w:w="1968" w:type="dxa"/>
            <w:shd w:val="clear" w:color="auto" w:fill="auto"/>
            <w:vAlign w:val="center"/>
          </w:tcPr>
          <w:p>
            <w:r>
              <w:t>裂缝</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应测</w:t>
            </w:r>
          </w:p>
        </w:tc>
        <w:tc>
          <w:tcPr>
            <w:tcW w:w="1843" w:type="dxa"/>
            <w:shd w:val="clear" w:color="auto" w:fill="auto"/>
            <w:vAlign w:val="center"/>
          </w:tcPr>
          <w:p>
            <w:pPr>
              <w:jc w:val="center"/>
            </w:pPr>
            <w:r>
              <w:t>宜测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76" w:type="dxa"/>
            <w:vMerge w:val="restart"/>
            <w:shd w:val="clear" w:color="auto" w:fill="auto"/>
            <w:vAlign w:val="center"/>
          </w:tcPr>
          <w:p>
            <w:r>
              <w:t>周边建筑物</w:t>
            </w:r>
          </w:p>
        </w:tc>
        <w:tc>
          <w:tcPr>
            <w:tcW w:w="1968" w:type="dxa"/>
            <w:shd w:val="clear" w:color="auto" w:fill="auto"/>
            <w:vAlign w:val="center"/>
          </w:tcPr>
          <w:p>
            <w:r>
              <w:t>竖向位移</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应测</w:t>
            </w:r>
          </w:p>
        </w:tc>
        <w:tc>
          <w:tcPr>
            <w:tcW w:w="1843" w:type="dxa"/>
            <w:shd w:val="clear" w:color="auto" w:fill="auto"/>
            <w:vAlign w:val="center"/>
          </w:tcPr>
          <w:p>
            <w:pPr>
              <w:jc w:val="center"/>
            </w:pPr>
            <w: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76" w:type="dxa"/>
            <w:vMerge w:val="continue"/>
            <w:shd w:val="clear" w:color="auto" w:fill="auto"/>
            <w:vAlign w:val="center"/>
          </w:tcPr>
          <w:p/>
        </w:tc>
        <w:tc>
          <w:tcPr>
            <w:tcW w:w="1968" w:type="dxa"/>
            <w:shd w:val="clear" w:color="auto" w:fill="auto"/>
            <w:vAlign w:val="center"/>
          </w:tcPr>
          <w:p>
            <w:r>
              <w:t>倾斜</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宜测</w:t>
            </w:r>
          </w:p>
        </w:tc>
        <w:tc>
          <w:tcPr>
            <w:tcW w:w="1843" w:type="dxa"/>
            <w:shd w:val="clear" w:color="auto" w:fill="auto"/>
            <w:vAlign w:val="center"/>
          </w:tcPr>
          <w:p>
            <w:pPr>
              <w:jc w:val="center"/>
            </w:pPr>
            <w:r>
              <w:t>可测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1576" w:type="dxa"/>
            <w:vMerge w:val="continue"/>
            <w:shd w:val="clear" w:color="auto" w:fill="auto"/>
          </w:tcPr>
          <w:p/>
        </w:tc>
        <w:tc>
          <w:tcPr>
            <w:tcW w:w="1968" w:type="dxa"/>
            <w:shd w:val="clear" w:color="auto" w:fill="auto"/>
            <w:vAlign w:val="center"/>
          </w:tcPr>
          <w:p>
            <w:r>
              <w:t>裂缝</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应测</w:t>
            </w:r>
          </w:p>
        </w:tc>
        <w:tc>
          <w:tcPr>
            <w:tcW w:w="1843" w:type="dxa"/>
            <w:shd w:val="clear" w:color="auto" w:fill="auto"/>
            <w:vAlign w:val="center"/>
          </w:tcPr>
          <w:p>
            <w:pPr>
              <w:jc w:val="center"/>
            </w:pPr>
            <w:r>
              <w:t>应测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3544" w:type="dxa"/>
            <w:gridSpan w:val="2"/>
            <w:shd w:val="clear" w:color="auto" w:fill="auto"/>
            <w:vAlign w:val="center"/>
          </w:tcPr>
          <w:p>
            <w:r>
              <w:t>周边地下管线变形</w:t>
            </w:r>
          </w:p>
        </w:tc>
        <w:tc>
          <w:tcPr>
            <w:tcW w:w="1843" w:type="dxa"/>
            <w:shd w:val="clear" w:color="auto" w:fill="auto"/>
            <w:vAlign w:val="center"/>
          </w:tcPr>
          <w:p>
            <w:pPr>
              <w:jc w:val="center"/>
            </w:pPr>
            <w:r>
              <w:t>应测</w:t>
            </w:r>
          </w:p>
        </w:tc>
        <w:tc>
          <w:tcPr>
            <w:tcW w:w="1559" w:type="dxa"/>
            <w:shd w:val="clear" w:color="auto" w:fill="auto"/>
            <w:vAlign w:val="center"/>
          </w:tcPr>
          <w:p>
            <w:pPr>
              <w:jc w:val="center"/>
            </w:pPr>
            <w:r>
              <w:t>应测</w:t>
            </w:r>
          </w:p>
        </w:tc>
        <w:tc>
          <w:tcPr>
            <w:tcW w:w="1843" w:type="dxa"/>
            <w:shd w:val="clear" w:color="auto" w:fill="auto"/>
            <w:vAlign w:val="center"/>
          </w:tcPr>
          <w:p>
            <w:pPr>
              <w:jc w:val="center"/>
            </w:pPr>
            <w:r>
              <w:t>应测</w:t>
            </w:r>
          </w:p>
        </w:tc>
      </w:tr>
    </w:tbl>
    <w:p>
      <w:pPr>
        <w:spacing w:line="360" w:lineRule="auto"/>
        <w:rPr>
          <w:szCs w:val="21"/>
        </w:rPr>
      </w:pPr>
      <w:r>
        <w:rPr>
          <w:rFonts w:hint="eastAsia"/>
          <w:szCs w:val="21"/>
        </w:rPr>
        <w:t>注</w:t>
      </w:r>
      <w:r>
        <w:rPr>
          <w:szCs w:val="21"/>
        </w:rPr>
        <w:t>：</w:t>
      </w:r>
      <w:r>
        <w:rPr>
          <w:rFonts w:hint="eastAsia"/>
          <w:szCs w:val="21"/>
        </w:rPr>
        <w:t>1、</w:t>
      </w:r>
      <w:r>
        <w:rPr>
          <w:szCs w:val="21"/>
        </w:rPr>
        <w:t>有</w:t>
      </w:r>
      <w:r>
        <w:rPr>
          <w:rFonts w:hint="eastAsia"/>
          <w:szCs w:val="21"/>
        </w:rPr>
        <w:t>特殊</w:t>
      </w:r>
      <w:r>
        <w:rPr>
          <w:szCs w:val="21"/>
        </w:rPr>
        <w:t>要求的</w:t>
      </w:r>
      <w:r>
        <w:rPr>
          <w:rFonts w:hint="eastAsia"/>
          <w:szCs w:val="21"/>
        </w:rPr>
        <w:t>工程</w:t>
      </w:r>
      <w:r>
        <w:rPr>
          <w:szCs w:val="21"/>
        </w:rPr>
        <w:t>项目</w:t>
      </w:r>
      <w:r>
        <w:rPr>
          <w:rFonts w:hint="eastAsia"/>
          <w:szCs w:val="21"/>
        </w:rPr>
        <w:t>，</w:t>
      </w:r>
      <w:r>
        <w:rPr>
          <w:szCs w:val="21"/>
        </w:rPr>
        <w:t>尚应根据建设</w:t>
      </w:r>
      <w:r>
        <w:rPr>
          <w:rFonts w:hint="eastAsia"/>
          <w:szCs w:val="21"/>
        </w:rPr>
        <w:t>方</w:t>
      </w:r>
      <w:r>
        <w:rPr>
          <w:szCs w:val="21"/>
        </w:rPr>
        <w:t>及相关单位的特殊要求增加</w:t>
      </w:r>
      <w:r>
        <w:rPr>
          <w:rFonts w:hint="eastAsia"/>
          <w:szCs w:val="21"/>
        </w:rPr>
        <w:t>相应</w:t>
      </w:r>
      <w:r>
        <w:rPr>
          <w:szCs w:val="21"/>
        </w:rPr>
        <w:t>的</w:t>
      </w:r>
      <w:r>
        <w:rPr>
          <w:rFonts w:hint="eastAsia"/>
          <w:szCs w:val="21"/>
        </w:rPr>
        <w:t>监</w:t>
      </w:r>
      <w:r>
        <w:rPr>
          <w:szCs w:val="21"/>
        </w:rPr>
        <w:t>测项目。</w:t>
      </w:r>
    </w:p>
    <w:p>
      <w:pPr>
        <w:spacing w:line="360" w:lineRule="auto"/>
        <w:ind w:firstLine="420" w:firstLineChars="200"/>
        <w:rPr>
          <w:szCs w:val="21"/>
        </w:rPr>
      </w:pPr>
      <w:r>
        <w:rPr>
          <w:rFonts w:hint="eastAsia"/>
          <w:szCs w:val="21"/>
        </w:rPr>
        <w:t>2、对岩土条件较好的基坑根据需要布置</w:t>
      </w:r>
      <w:r>
        <w:t>深层水平位移</w:t>
      </w:r>
      <w:r>
        <w:rPr>
          <w:rFonts w:hint="eastAsia"/>
        </w:rPr>
        <w:t>监测点。</w:t>
      </w:r>
    </w:p>
    <w:p>
      <w:pPr>
        <w:spacing w:line="360" w:lineRule="auto"/>
        <w:rPr>
          <w:sz w:val="24"/>
        </w:rPr>
      </w:pPr>
      <w:r>
        <w:rPr>
          <w:b/>
          <w:sz w:val="24"/>
        </w:rPr>
        <w:t>8.1.</w:t>
      </w:r>
      <w:r>
        <w:rPr>
          <w:rFonts w:hint="eastAsia"/>
          <w:b/>
          <w:sz w:val="24"/>
        </w:rPr>
        <w:t>4</w:t>
      </w:r>
      <w:r>
        <w:rPr>
          <w:sz w:val="24"/>
        </w:rPr>
        <w:t xml:space="preserve">  监测方法的选择应根据基坑等级、精度要求、现场条件、设计要求、地区经验和方法的适用性等因素综合确定</w:t>
      </w:r>
      <w:r>
        <w:rPr>
          <w:rFonts w:hint="eastAsia"/>
          <w:sz w:val="24"/>
        </w:rPr>
        <w:t>；</w:t>
      </w:r>
      <w:r>
        <w:rPr>
          <w:sz w:val="24"/>
        </w:rPr>
        <w:t>监测仪器的精度、分辨率及测量精度应能</w:t>
      </w:r>
      <w:r>
        <w:rPr>
          <w:rFonts w:hint="eastAsia"/>
          <w:sz w:val="24"/>
        </w:rPr>
        <w:t>满足</w:t>
      </w:r>
      <w:r>
        <w:rPr>
          <w:sz w:val="24"/>
        </w:rPr>
        <w:t>监测</w:t>
      </w:r>
      <w:r>
        <w:rPr>
          <w:rFonts w:hint="eastAsia"/>
          <w:sz w:val="24"/>
        </w:rPr>
        <w:t>要求</w:t>
      </w:r>
      <w:r>
        <w:rPr>
          <w:sz w:val="24"/>
        </w:rPr>
        <w:t>。</w:t>
      </w:r>
    </w:p>
    <w:p>
      <w:pPr>
        <w:spacing w:line="360" w:lineRule="auto"/>
        <w:rPr>
          <w:sz w:val="24"/>
        </w:rPr>
      </w:pPr>
      <w:r>
        <w:rPr>
          <w:b/>
          <w:sz w:val="24"/>
        </w:rPr>
        <w:t>8.1.</w:t>
      </w:r>
      <w:r>
        <w:rPr>
          <w:rFonts w:hint="eastAsia"/>
          <w:b/>
          <w:sz w:val="24"/>
        </w:rPr>
        <w:t>5</w:t>
      </w:r>
      <w:r>
        <w:rPr>
          <w:b/>
          <w:sz w:val="24"/>
        </w:rPr>
        <w:t xml:space="preserve"> </w:t>
      </w:r>
      <w:r>
        <w:rPr>
          <w:sz w:val="24"/>
        </w:rPr>
        <w:t xml:space="preserve"> 各类水平位移观测、沉降观测的基准点应设置在变形影响范围外，且基准点数量不应少于2个。</w:t>
      </w:r>
    </w:p>
    <w:p>
      <w:pPr>
        <w:spacing w:line="360" w:lineRule="auto"/>
        <w:rPr>
          <w:sz w:val="24"/>
        </w:rPr>
      </w:pPr>
      <w:r>
        <w:rPr>
          <w:b/>
          <w:sz w:val="24"/>
        </w:rPr>
        <w:t>8.1.</w:t>
      </w:r>
      <w:r>
        <w:rPr>
          <w:rFonts w:hint="eastAsia"/>
          <w:b/>
          <w:sz w:val="24"/>
        </w:rPr>
        <w:t>6</w:t>
      </w:r>
      <w:r>
        <w:rPr>
          <w:sz w:val="24"/>
        </w:rPr>
        <w:t xml:space="preserve">  各监测项目应在基坑</w:t>
      </w:r>
      <w:r>
        <w:rPr>
          <w:rFonts w:hint="eastAsia"/>
          <w:sz w:val="24"/>
        </w:rPr>
        <w:t>施工</w:t>
      </w:r>
      <w:r>
        <w:rPr>
          <w:sz w:val="24"/>
        </w:rPr>
        <w:t>前</w:t>
      </w:r>
      <w:r>
        <w:rPr>
          <w:rFonts w:hint="eastAsia"/>
          <w:sz w:val="24"/>
        </w:rPr>
        <w:t>或</w:t>
      </w:r>
      <w:r>
        <w:rPr>
          <w:sz w:val="24"/>
        </w:rPr>
        <w:t>测点安装后测得稳定的初始值，且次数不应少于2次。</w:t>
      </w:r>
    </w:p>
    <w:p>
      <w:pPr>
        <w:spacing w:line="360" w:lineRule="auto"/>
        <w:rPr>
          <w:sz w:val="24"/>
        </w:rPr>
      </w:pPr>
      <w:r>
        <w:rPr>
          <w:rFonts w:hint="eastAsia"/>
          <w:b/>
          <w:sz w:val="24"/>
        </w:rPr>
        <w:t>8.1.7</w:t>
      </w:r>
      <w:r>
        <w:rPr>
          <w:rFonts w:hint="eastAsia"/>
          <w:sz w:val="24"/>
        </w:rPr>
        <w:t xml:space="preserve">  监测</w:t>
      </w:r>
      <w:r>
        <w:rPr>
          <w:sz w:val="24"/>
        </w:rPr>
        <w:t>资料以</w:t>
      </w:r>
      <w:r>
        <w:rPr>
          <w:rFonts w:hint="eastAsia"/>
          <w:sz w:val="24"/>
        </w:rPr>
        <w:t>文字</w:t>
      </w:r>
      <w:r>
        <w:rPr>
          <w:sz w:val="24"/>
        </w:rPr>
        <w:t>结合图表形式提交，应说明施工时间</w:t>
      </w:r>
      <w:r>
        <w:rPr>
          <w:rFonts w:hint="eastAsia"/>
          <w:sz w:val="24"/>
        </w:rPr>
        <w:t>、</w:t>
      </w:r>
      <w:r>
        <w:rPr>
          <w:sz w:val="24"/>
        </w:rPr>
        <w:t>天气情况、工况及相应施工参数</w:t>
      </w:r>
      <w:r>
        <w:rPr>
          <w:rFonts w:hint="eastAsia"/>
          <w:sz w:val="24"/>
        </w:rPr>
        <w:t>，</w:t>
      </w:r>
      <w:r>
        <w:rPr>
          <w:sz w:val="24"/>
        </w:rPr>
        <w:t>对监测项目监测值的变化进行分析评价，对发展趋势进行预测。</w:t>
      </w:r>
    </w:p>
    <w:p>
      <w:pPr>
        <w:spacing w:line="360" w:lineRule="auto"/>
        <w:rPr>
          <w:sz w:val="24"/>
        </w:rPr>
      </w:pPr>
      <w:r>
        <w:rPr>
          <w:b/>
          <w:sz w:val="24"/>
        </w:rPr>
        <w:t>8.1.</w:t>
      </w:r>
      <w:r>
        <w:rPr>
          <w:rFonts w:hint="eastAsia"/>
          <w:b/>
          <w:sz w:val="24"/>
        </w:rPr>
        <w:t>9</w:t>
      </w:r>
      <w:r>
        <w:rPr>
          <w:sz w:val="24"/>
        </w:rPr>
        <w:t xml:space="preserve">  </w:t>
      </w:r>
      <w:r>
        <w:rPr>
          <w:rFonts w:hint="eastAsia"/>
          <w:sz w:val="24"/>
        </w:rPr>
        <w:t>地铁、隧道、</w:t>
      </w:r>
      <w:r>
        <w:rPr>
          <w:sz w:val="24"/>
        </w:rPr>
        <w:t>历史文物</w:t>
      </w:r>
      <w:r>
        <w:rPr>
          <w:rFonts w:hint="eastAsia"/>
          <w:sz w:val="24"/>
        </w:rPr>
        <w:t>等周边环境的监测方法和监测精度尚应符合《城市轨道交通工程监测技术规范》</w:t>
      </w:r>
      <w:r>
        <w:rPr>
          <w:sz w:val="24"/>
        </w:rPr>
        <w:t>GB50911</w:t>
      </w:r>
      <w:r>
        <w:rPr>
          <w:rFonts w:hint="eastAsia"/>
          <w:sz w:val="24"/>
        </w:rPr>
        <w:t>、《城市轨道交通工程测量规范》GB/T50308、《城市轨道交通结构安全保护技术规范》</w:t>
      </w:r>
      <w:r>
        <w:rPr>
          <w:sz w:val="24"/>
        </w:rPr>
        <w:t>CJJ/T 202</w:t>
      </w:r>
      <w:r>
        <w:rPr>
          <w:rFonts w:hint="eastAsia"/>
          <w:sz w:val="24"/>
        </w:rPr>
        <w:t>等相关标准的规定和地方规范、法规、管理办法以及主管部门的要求等。</w:t>
      </w:r>
    </w:p>
    <w:p>
      <w:pPr>
        <w:spacing w:line="360" w:lineRule="auto"/>
        <w:jc w:val="center"/>
        <w:outlineLvl w:val="1"/>
        <w:rPr>
          <w:b/>
          <w:sz w:val="24"/>
        </w:rPr>
      </w:pPr>
      <w:bookmarkStart w:id="129" w:name="_Toc87018290"/>
      <w:bookmarkStart w:id="130" w:name="_Toc87018359"/>
      <w:r>
        <w:rPr>
          <w:b/>
          <w:sz w:val="24"/>
        </w:rPr>
        <w:t>8.2　</w:t>
      </w:r>
      <w:r>
        <w:rPr>
          <w:rFonts w:hint="eastAsia"/>
          <w:b/>
          <w:sz w:val="24"/>
        </w:rPr>
        <w:t>基坑</w:t>
      </w:r>
      <w:r>
        <w:rPr>
          <w:b/>
          <w:sz w:val="24"/>
        </w:rPr>
        <w:t>监测</w:t>
      </w:r>
      <w:r>
        <w:rPr>
          <w:rFonts w:hint="eastAsia"/>
          <w:b/>
          <w:sz w:val="24"/>
        </w:rPr>
        <w:t>点布置</w:t>
      </w:r>
      <w:bookmarkEnd w:id="129"/>
      <w:bookmarkEnd w:id="130"/>
    </w:p>
    <w:p>
      <w:pPr>
        <w:spacing w:line="360" w:lineRule="auto"/>
        <w:rPr>
          <w:sz w:val="24"/>
        </w:rPr>
      </w:pPr>
      <w:r>
        <w:rPr>
          <w:b/>
          <w:sz w:val="24"/>
        </w:rPr>
        <w:t>8.2.1</w:t>
      </w:r>
      <w:r>
        <w:rPr>
          <w:sz w:val="24"/>
        </w:rPr>
        <w:t xml:space="preserve">  基坑边坡顶部的水平和竖向位移监测点应沿基坑周边布置，基坑周边中部、阳角处应布置监测点，基坑周边有建筑物的部位及地质条件较差的部位应</w:t>
      </w:r>
      <w:r>
        <w:rPr>
          <w:rFonts w:hint="eastAsia"/>
          <w:sz w:val="24"/>
        </w:rPr>
        <w:t>布</w:t>
      </w:r>
      <w:r>
        <w:rPr>
          <w:sz w:val="24"/>
        </w:rPr>
        <w:t>置监测点。</w:t>
      </w:r>
    </w:p>
    <w:p>
      <w:pPr>
        <w:spacing w:line="360" w:lineRule="auto"/>
        <w:rPr>
          <w:sz w:val="24"/>
        </w:rPr>
      </w:pPr>
      <w:r>
        <w:rPr>
          <w:b/>
          <w:sz w:val="24"/>
        </w:rPr>
        <w:t>8.2.</w:t>
      </w:r>
      <w:r>
        <w:rPr>
          <w:rFonts w:hint="eastAsia"/>
          <w:b/>
          <w:sz w:val="24"/>
        </w:rPr>
        <w:t>2</w:t>
      </w:r>
      <w:r>
        <w:rPr>
          <w:sz w:val="24"/>
        </w:rPr>
        <w:t xml:space="preserve">  </w:t>
      </w:r>
      <w:r>
        <w:rPr>
          <w:rFonts w:hint="eastAsia"/>
          <w:sz w:val="24"/>
        </w:rPr>
        <w:t>基坑顶</w:t>
      </w:r>
      <w:r>
        <w:rPr>
          <w:sz w:val="24"/>
        </w:rPr>
        <w:t>部水平和竖向位移监测点的间距不宜大于20m</w:t>
      </w:r>
      <w:r>
        <w:rPr>
          <w:rFonts w:hint="eastAsia"/>
          <w:sz w:val="24"/>
        </w:rPr>
        <w:t>，且</w:t>
      </w:r>
      <w:r>
        <w:rPr>
          <w:sz w:val="24"/>
        </w:rPr>
        <w:t>基坑各边的监测点不应少于3个</w:t>
      </w:r>
      <w:r>
        <w:rPr>
          <w:rFonts w:hint="eastAsia"/>
          <w:sz w:val="24"/>
        </w:rPr>
        <w:t>；软土区、地层变化大的基坑应适当加密监测点。</w:t>
      </w:r>
    </w:p>
    <w:p>
      <w:pPr>
        <w:spacing w:line="360" w:lineRule="auto"/>
        <w:rPr>
          <w:sz w:val="24"/>
        </w:rPr>
      </w:pPr>
      <w:r>
        <w:rPr>
          <w:b/>
          <w:sz w:val="24"/>
        </w:rPr>
        <w:t>8.2.</w:t>
      </w:r>
      <w:r>
        <w:rPr>
          <w:rFonts w:hint="eastAsia"/>
          <w:b/>
          <w:sz w:val="24"/>
        </w:rPr>
        <w:t>3</w:t>
      </w:r>
      <w:r>
        <w:rPr>
          <w:sz w:val="24"/>
        </w:rPr>
        <w:t xml:space="preserve">  深层水平位移监测孔宜布置在基坑</w:t>
      </w:r>
      <w:r>
        <w:rPr>
          <w:rFonts w:hint="eastAsia"/>
          <w:sz w:val="24"/>
        </w:rPr>
        <w:t>各</w:t>
      </w:r>
      <w:r>
        <w:rPr>
          <w:sz w:val="24"/>
        </w:rPr>
        <w:t>边</w:t>
      </w:r>
      <w:r>
        <w:rPr>
          <w:rFonts w:hint="eastAsia"/>
          <w:sz w:val="24"/>
        </w:rPr>
        <w:t>的中部、</w:t>
      </w:r>
      <w:r>
        <w:rPr>
          <w:sz w:val="24"/>
        </w:rPr>
        <w:t>基坑周边有建筑物的部位及地质条件较差的部位。深层水平位移监测点的间距宜为20m～50m，且基坑各边的监测点不应少于1个。</w:t>
      </w:r>
      <w:r>
        <w:rPr>
          <w:rFonts w:hint="eastAsia"/>
          <w:sz w:val="24"/>
        </w:rPr>
        <w:t>测斜管应布置在紧邻坑顶的土体内，</w:t>
      </w:r>
      <w:r>
        <w:rPr>
          <w:sz w:val="24"/>
        </w:rPr>
        <w:t>深度不应小于</w:t>
      </w:r>
      <w:r>
        <w:rPr>
          <w:rFonts w:hint="eastAsia"/>
          <w:sz w:val="24"/>
        </w:rPr>
        <w:t>挡土构件</w:t>
      </w:r>
      <w:r>
        <w:rPr>
          <w:sz w:val="24"/>
        </w:rPr>
        <w:t>的深度</w:t>
      </w:r>
      <w:r>
        <w:rPr>
          <w:rFonts w:hint="eastAsia"/>
          <w:sz w:val="24"/>
        </w:rPr>
        <w:t>，且不宜小于基坑深度的1.5倍；</w:t>
      </w:r>
      <w:r>
        <w:rPr>
          <w:sz w:val="24"/>
        </w:rPr>
        <w:t>测斜管顶部应设置水平位移监测点。</w:t>
      </w:r>
    </w:p>
    <w:p>
      <w:pPr>
        <w:spacing w:line="360" w:lineRule="auto"/>
        <w:rPr>
          <w:sz w:val="24"/>
        </w:rPr>
      </w:pPr>
      <w:r>
        <w:rPr>
          <w:b/>
          <w:sz w:val="24"/>
        </w:rPr>
        <w:t>8.2.</w:t>
      </w:r>
      <w:r>
        <w:rPr>
          <w:rFonts w:hint="eastAsia"/>
          <w:b/>
          <w:sz w:val="24"/>
        </w:rPr>
        <w:t>4</w:t>
      </w:r>
      <w:r>
        <w:rPr>
          <w:sz w:val="24"/>
        </w:rPr>
        <w:t xml:space="preserve">  </w:t>
      </w:r>
      <w:r>
        <w:rPr>
          <w:rFonts w:hint="eastAsia"/>
          <w:sz w:val="24"/>
        </w:rPr>
        <w:t>挡土构件</w:t>
      </w:r>
      <w:r>
        <w:rPr>
          <w:sz w:val="24"/>
        </w:rPr>
        <w:t>内力监测点应布置在</w:t>
      </w:r>
      <w:r>
        <w:rPr>
          <w:rFonts w:hint="eastAsia"/>
          <w:sz w:val="24"/>
        </w:rPr>
        <w:t>内</w:t>
      </w:r>
      <w:r>
        <w:rPr>
          <w:sz w:val="24"/>
        </w:rPr>
        <w:t>力、变形较大的部位。监测点平面间距</w:t>
      </w:r>
      <w:r>
        <w:rPr>
          <w:rFonts w:hint="eastAsia"/>
          <w:sz w:val="24"/>
        </w:rPr>
        <w:t>宜为</w:t>
      </w:r>
      <w:r>
        <w:rPr>
          <w:sz w:val="24"/>
        </w:rPr>
        <w:t>20m～50m，且基坑各边的监测</w:t>
      </w:r>
      <w:r>
        <w:rPr>
          <w:rFonts w:hint="eastAsia"/>
          <w:sz w:val="24"/>
        </w:rPr>
        <w:t>点</w:t>
      </w:r>
      <w:r>
        <w:rPr>
          <w:sz w:val="24"/>
        </w:rPr>
        <w:t>不应少于1个；</w:t>
      </w:r>
      <w:r>
        <w:rPr>
          <w:rFonts w:hint="eastAsia"/>
          <w:sz w:val="24"/>
        </w:rPr>
        <w:t>传感器</w:t>
      </w:r>
      <w:r>
        <w:rPr>
          <w:sz w:val="24"/>
        </w:rPr>
        <w:t>竖向间距宜为2m～4m</w:t>
      </w:r>
      <w:r>
        <w:rPr>
          <w:rFonts w:hint="eastAsia"/>
          <w:sz w:val="24"/>
        </w:rPr>
        <w:t>，</w:t>
      </w:r>
      <w:r>
        <w:rPr>
          <w:sz w:val="24"/>
        </w:rPr>
        <w:t>弯矩较大处</w:t>
      </w:r>
      <w:r>
        <w:rPr>
          <w:rFonts w:hint="eastAsia"/>
          <w:sz w:val="24"/>
        </w:rPr>
        <w:t>应设传感器</w:t>
      </w:r>
      <w:r>
        <w:rPr>
          <w:sz w:val="24"/>
        </w:rPr>
        <w:t>。</w:t>
      </w:r>
    </w:p>
    <w:p>
      <w:pPr>
        <w:spacing w:line="360" w:lineRule="auto"/>
        <w:rPr>
          <w:sz w:val="24"/>
        </w:rPr>
      </w:pPr>
      <w:r>
        <w:rPr>
          <w:b/>
          <w:sz w:val="24"/>
        </w:rPr>
        <w:t>8.2.</w:t>
      </w:r>
      <w:r>
        <w:rPr>
          <w:rFonts w:hint="eastAsia"/>
          <w:b/>
          <w:sz w:val="24"/>
        </w:rPr>
        <w:t>5</w:t>
      </w:r>
      <w:r>
        <w:rPr>
          <w:sz w:val="24"/>
        </w:rPr>
        <w:t xml:space="preserve">  支撑内力监测点宜</w:t>
      </w:r>
      <w:r>
        <w:rPr>
          <w:rFonts w:hint="eastAsia"/>
          <w:sz w:val="24"/>
        </w:rPr>
        <w:t>布</w:t>
      </w:r>
      <w:r>
        <w:rPr>
          <w:sz w:val="24"/>
        </w:rPr>
        <w:t>置在支撑内力较大或在整个支撑系统中起控制作用的杆件上，每层支撑的内力监测点不应少于3个。多层</w:t>
      </w:r>
      <w:r>
        <w:rPr>
          <w:rFonts w:hint="eastAsia"/>
          <w:sz w:val="24"/>
        </w:rPr>
        <w:t>内</w:t>
      </w:r>
      <w:r>
        <w:rPr>
          <w:sz w:val="24"/>
        </w:rPr>
        <w:t>支撑宜在同一剖面的每层支撑上</w:t>
      </w:r>
      <w:r>
        <w:rPr>
          <w:rFonts w:hint="eastAsia"/>
          <w:sz w:val="24"/>
        </w:rPr>
        <w:t>布</w:t>
      </w:r>
      <w:r>
        <w:rPr>
          <w:sz w:val="24"/>
        </w:rPr>
        <w:t>置</w:t>
      </w:r>
      <w:r>
        <w:rPr>
          <w:rFonts w:hint="eastAsia"/>
          <w:sz w:val="24"/>
        </w:rPr>
        <w:t>监</w:t>
      </w:r>
      <w:r>
        <w:rPr>
          <w:sz w:val="24"/>
        </w:rPr>
        <w:t>测点。监测截面宜布置在支撑长度的1/3部位</w:t>
      </w:r>
      <w:r>
        <w:rPr>
          <w:rFonts w:hint="eastAsia"/>
          <w:sz w:val="24"/>
        </w:rPr>
        <w:t>，</w:t>
      </w:r>
      <w:r>
        <w:rPr>
          <w:sz w:val="24"/>
        </w:rPr>
        <w:t>钢支撑</w:t>
      </w:r>
      <w:r>
        <w:rPr>
          <w:rFonts w:hint="eastAsia"/>
          <w:sz w:val="24"/>
        </w:rPr>
        <w:t>也可布置在</w:t>
      </w:r>
      <w:r>
        <w:rPr>
          <w:sz w:val="24"/>
        </w:rPr>
        <w:t>支撑的端头。</w:t>
      </w:r>
    </w:p>
    <w:p>
      <w:pPr>
        <w:spacing w:line="360" w:lineRule="auto"/>
        <w:rPr>
          <w:sz w:val="24"/>
        </w:rPr>
      </w:pPr>
      <w:r>
        <w:rPr>
          <w:b/>
          <w:sz w:val="24"/>
        </w:rPr>
        <w:t>8.2.</w:t>
      </w:r>
      <w:r>
        <w:rPr>
          <w:rFonts w:hint="eastAsia"/>
          <w:b/>
          <w:sz w:val="24"/>
        </w:rPr>
        <w:t>6</w:t>
      </w:r>
      <w:r>
        <w:rPr>
          <w:sz w:val="24"/>
        </w:rPr>
        <w:t xml:space="preserve">  立柱竖向位移监测点宜布置在多根支撑交汇处、地质条件复杂处的立柱上，监测点</w:t>
      </w:r>
      <w:r>
        <w:rPr>
          <w:rFonts w:hint="eastAsia"/>
          <w:sz w:val="24"/>
        </w:rPr>
        <w:t>数量</w:t>
      </w:r>
      <w:r>
        <w:rPr>
          <w:sz w:val="24"/>
        </w:rPr>
        <w:t>不应少于立柱总根数的5%，且不少于3</w:t>
      </w:r>
      <w:r>
        <w:rPr>
          <w:rFonts w:hint="eastAsia"/>
          <w:sz w:val="24"/>
        </w:rPr>
        <w:t>个；</w:t>
      </w:r>
      <w:r>
        <w:rPr>
          <w:sz w:val="24"/>
        </w:rPr>
        <w:t>逆作法施工的基坑不应少于10%，且不少于5</w:t>
      </w:r>
      <w:r>
        <w:rPr>
          <w:rFonts w:hint="eastAsia"/>
          <w:sz w:val="24"/>
        </w:rPr>
        <w:t>个</w:t>
      </w:r>
      <w:r>
        <w:rPr>
          <w:sz w:val="24"/>
        </w:rPr>
        <w:t>。</w:t>
      </w:r>
    </w:p>
    <w:p>
      <w:pPr>
        <w:spacing w:line="360" w:lineRule="auto"/>
        <w:rPr>
          <w:sz w:val="24"/>
        </w:rPr>
      </w:pPr>
      <w:r>
        <w:rPr>
          <w:b/>
          <w:sz w:val="24"/>
        </w:rPr>
        <w:t>8.2.</w:t>
      </w:r>
      <w:r>
        <w:rPr>
          <w:rFonts w:hint="eastAsia"/>
          <w:b/>
          <w:sz w:val="24"/>
        </w:rPr>
        <w:t>7</w:t>
      </w:r>
      <w:r>
        <w:rPr>
          <w:b/>
          <w:sz w:val="24"/>
        </w:rPr>
        <w:t xml:space="preserve"> </w:t>
      </w:r>
      <w:r>
        <w:rPr>
          <w:sz w:val="24"/>
        </w:rPr>
        <w:t xml:space="preserve"> 立柱内力监测点宜布置在</w:t>
      </w:r>
      <w:r>
        <w:rPr>
          <w:rFonts w:hint="eastAsia"/>
          <w:sz w:val="24"/>
        </w:rPr>
        <w:t>受</w:t>
      </w:r>
      <w:r>
        <w:rPr>
          <w:sz w:val="24"/>
        </w:rPr>
        <w:t>力较大的立柱上，监测点宜布置在坑底以上</w:t>
      </w:r>
      <w:r>
        <w:rPr>
          <w:rFonts w:hint="eastAsia"/>
          <w:sz w:val="24"/>
        </w:rPr>
        <w:t>各层</w:t>
      </w:r>
      <w:r>
        <w:rPr>
          <w:sz w:val="24"/>
        </w:rPr>
        <w:t>立柱</w:t>
      </w:r>
      <w:r>
        <w:rPr>
          <w:rFonts w:hint="eastAsia"/>
          <w:sz w:val="24"/>
        </w:rPr>
        <w:t>下部</w:t>
      </w:r>
      <w:r>
        <w:rPr>
          <w:sz w:val="24"/>
        </w:rPr>
        <w:t>的1/3部位</w:t>
      </w:r>
      <w:r>
        <w:rPr>
          <w:rFonts w:hint="eastAsia"/>
          <w:sz w:val="24"/>
        </w:rPr>
        <w:t>，</w:t>
      </w:r>
      <w:r>
        <w:rPr>
          <w:sz w:val="24"/>
        </w:rPr>
        <w:t>每个截面内传感器埋设</w:t>
      </w:r>
      <w:r>
        <w:rPr>
          <w:rFonts w:hint="eastAsia"/>
          <w:sz w:val="24"/>
        </w:rPr>
        <w:t>数量</w:t>
      </w:r>
      <w:r>
        <w:rPr>
          <w:sz w:val="24"/>
        </w:rPr>
        <w:t>不</w:t>
      </w:r>
      <w:r>
        <w:rPr>
          <w:rFonts w:hint="eastAsia"/>
          <w:sz w:val="24"/>
        </w:rPr>
        <w:t>宜</w:t>
      </w:r>
      <w:r>
        <w:rPr>
          <w:sz w:val="24"/>
        </w:rPr>
        <w:t>少于4个。</w:t>
      </w:r>
    </w:p>
    <w:p>
      <w:pPr>
        <w:spacing w:line="360" w:lineRule="auto"/>
        <w:rPr>
          <w:sz w:val="24"/>
        </w:rPr>
      </w:pPr>
      <w:r>
        <w:rPr>
          <w:b/>
          <w:sz w:val="24"/>
        </w:rPr>
        <w:t>8.2.</w:t>
      </w:r>
      <w:r>
        <w:rPr>
          <w:rFonts w:hint="eastAsia"/>
          <w:b/>
          <w:sz w:val="24"/>
        </w:rPr>
        <w:t>8</w:t>
      </w:r>
      <w:r>
        <w:rPr>
          <w:sz w:val="24"/>
        </w:rPr>
        <w:t xml:space="preserve">  锚杆、土钉内力监测</w:t>
      </w:r>
    </w:p>
    <w:p>
      <w:pPr>
        <w:spacing w:line="360" w:lineRule="auto"/>
        <w:ind w:firstLine="480" w:firstLineChars="200"/>
        <w:jc w:val="left"/>
        <w:rPr>
          <w:sz w:val="24"/>
        </w:rPr>
      </w:pPr>
      <w:r>
        <w:rPr>
          <w:sz w:val="24"/>
        </w:rPr>
        <w:t>1  锚杆、土钉内力监测点应选择在受力较大的位置，基坑每边中部、阳角处和地质</w:t>
      </w:r>
      <w:r>
        <w:rPr>
          <w:rFonts w:hint="eastAsia"/>
          <w:sz w:val="24"/>
        </w:rPr>
        <w:t>条件或环境</w:t>
      </w:r>
      <w:r>
        <w:rPr>
          <w:sz w:val="24"/>
        </w:rPr>
        <w:t>条件复杂的区段宜布置监测点</w:t>
      </w:r>
      <w:r>
        <w:rPr>
          <w:rFonts w:hint="eastAsia"/>
          <w:sz w:val="24"/>
        </w:rPr>
        <w:t>；</w:t>
      </w:r>
    </w:p>
    <w:p>
      <w:pPr>
        <w:spacing w:line="360" w:lineRule="auto"/>
        <w:ind w:firstLine="480" w:firstLineChars="200"/>
        <w:jc w:val="left"/>
        <w:rPr>
          <w:sz w:val="24"/>
        </w:rPr>
      </w:pPr>
      <w:r>
        <w:rPr>
          <w:sz w:val="24"/>
        </w:rPr>
        <w:t>2  每层锚杆内力监测点数量</w:t>
      </w:r>
      <w:r>
        <w:rPr>
          <w:rFonts w:hint="eastAsia"/>
          <w:sz w:val="24"/>
        </w:rPr>
        <w:t>应不少于</w:t>
      </w:r>
      <w:r>
        <w:rPr>
          <w:sz w:val="24"/>
        </w:rPr>
        <w:t>该层锚杆总数的1%，并不应少于3根，各层监测点位置在竖向上宜保持一致</w:t>
      </w:r>
      <w:r>
        <w:rPr>
          <w:rFonts w:hint="eastAsia"/>
          <w:sz w:val="24"/>
        </w:rPr>
        <w:t>；</w:t>
      </w:r>
    </w:p>
    <w:p>
      <w:pPr>
        <w:spacing w:line="360" w:lineRule="auto"/>
        <w:ind w:firstLine="480" w:firstLineChars="200"/>
        <w:jc w:val="left"/>
        <w:rPr>
          <w:sz w:val="24"/>
        </w:rPr>
      </w:pPr>
      <w:r>
        <w:rPr>
          <w:sz w:val="24"/>
        </w:rPr>
        <w:t xml:space="preserve">3  </w:t>
      </w:r>
      <w:r>
        <w:rPr>
          <w:rFonts w:hint="eastAsia"/>
          <w:sz w:val="24"/>
        </w:rPr>
        <w:t>每层</w:t>
      </w:r>
      <w:r>
        <w:rPr>
          <w:sz w:val="24"/>
        </w:rPr>
        <w:t>土钉内力监测点数量</w:t>
      </w:r>
      <w:r>
        <w:rPr>
          <w:rFonts w:hint="eastAsia"/>
          <w:sz w:val="24"/>
        </w:rPr>
        <w:t>应不少于该层土钉</w:t>
      </w:r>
      <w:r>
        <w:rPr>
          <w:sz w:val="24"/>
        </w:rPr>
        <w:t>总数的</w:t>
      </w:r>
      <w:r>
        <w:rPr>
          <w:rFonts w:hint="eastAsia"/>
          <w:sz w:val="24"/>
        </w:rPr>
        <w:t>0.3</w:t>
      </w:r>
      <w:r>
        <w:rPr>
          <w:sz w:val="24"/>
        </w:rPr>
        <w:t>%，并不应少于3根，各层监测点位置在竖向上宜保持一致。每根土钉杆体上的</w:t>
      </w:r>
      <w:r>
        <w:rPr>
          <w:rFonts w:hint="eastAsia"/>
          <w:sz w:val="24"/>
        </w:rPr>
        <w:t>传感器</w:t>
      </w:r>
      <w:r>
        <w:rPr>
          <w:sz w:val="24"/>
        </w:rPr>
        <w:t>应设在</w:t>
      </w:r>
      <w:r>
        <w:rPr>
          <w:rFonts w:hint="eastAsia"/>
          <w:sz w:val="24"/>
        </w:rPr>
        <w:t>潜在</w:t>
      </w:r>
      <w:r>
        <w:rPr>
          <w:sz w:val="24"/>
        </w:rPr>
        <w:t>破裂面处，其他位置若需监测，</w:t>
      </w:r>
      <w:r>
        <w:rPr>
          <w:rFonts w:hint="eastAsia"/>
          <w:sz w:val="24"/>
        </w:rPr>
        <w:t>传感器</w:t>
      </w:r>
      <w:r>
        <w:rPr>
          <w:sz w:val="24"/>
        </w:rPr>
        <w:t>间距宜为2m～3m。</w:t>
      </w:r>
    </w:p>
    <w:p>
      <w:pPr>
        <w:spacing w:line="360" w:lineRule="auto"/>
        <w:rPr>
          <w:sz w:val="24"/>
        </w:rPr>
      </w:pPr>
      <w:r>
        <w:rPr>
          <w:b/>
          <w:sz w:val="24"/>
        </w:rPr>
        <w:t>8.2.</w:t>
      </w:r>
      <w:r>
        <w:rPr>
          <w:rFonts w:hint="eastAsia"/>
          <w:b/>
          <w:sz w:val="24"/>
        </w:rPr>
        <w:t>9</w:t>
      </w:r>
      <w:r>
        <w:rPr>
          <w:sz w:val="24"/>
        </w:rPr>
        <w:t xml:space="preserve">  坑底隆起</w:t>
      </w:r>
      <w:r>
        <w:rPr>
          <w:rFonts w:hint="eastAsia"/>
          <w:sz w:val="24"/>
        </w:rPr>
        <w:t>或</w:t>
      </w:r>
      <w:r>
        <w:rPr>
          <w:sz w:val="24"/>
        </w:rPr>
        <w:t>回弹监测点剖面应选择在基坑中部以及其他能反映变形特征的位置，剖面间距宜为20m～50m，剖面数量不应少于2个。同一剖面上监测点间距宜为10m～20m，数量不宜少于3个。</w:t>
      </w:r>
    </w:p>
    <w:p>
      <w:pPr>
        <w:spacing w:line="360" w:lineRule="auto"/>
        <w:rPr>
          <w:sz w:val="24"/>
        </w:rPr>
      </w:pPr>
      <w:r>
        <w:rPr>
          <w:b/>
          <w:sz w:val="24"/>
        </w:rPr>
        <w:t>8.2.1</w:t>
      </w:r>
      <w:r>
        <w:rPr>
          <w:rFonts w:hint="eastAsia"/>
          <w:b/>
          <w:sz w:val="24"/>
        </w:rPr>
        <w:t>0</w:t>
      </w:r>
      <w:r>
        <w:rPr>
          <w:sz w:val="24"/>
        </w:rPr>
        <w:t xml:space="preserve">  孔隙水压力监测点应按土层分布情况布设，竖向间距宜为2m～5m，涉及多层承压水时应适当加密，宜布置在水压力变化影响深度范围内基坑受力、变形较大部位。</w:t>
      </w:r>
    </w:p>
    <w:p>
      <w:pPr>
        <w:spacing w:line="360" w:lineRule="auto"/>
        <w:rPr>
          <w:sz w:val="24"/>
        </w:rPr>
      </w:pPr>
      <w:r>
        <w:rPr>
          <w:b/>
          <w:sz w:val="24"/>
        </w:rPr>
        <w:t>8.2.1</w:t>
      </w:r>
      <w:r>
        <w:rPr>
          <w:rFonts w:hint="eastAsia"/>
          <w:b/>
          <w:sz w:val="24"/>
        </w:rPr>
        <w:t>1</w:t>
      </w:r>
      <w:r>
        <w:rPr>
          <w:b/>
          <w:sz w:val="24"/>
        </w:rPr>
        <w:t xml:space="preserve">  </w:t>
      </w:r>
      <w:r>
        <w:rPr>
          <w:sz w:val="24"/>
        </w:rPr>
        <w:t>基坑地下水位监测点布置应符合下列要求：</w:t>
      </w:r>
    </w:p>
    <w:p>
      <w:pPr>
        <w:spacing w:line="360" w:lineRule="auto"/>
        <w:ind w:firstLine="480" w:firstLineChars="200"/>
        <w:jc w:val="left"/>
        <w:rPr>
          <w:sz w:val="24"/>
        </w:rPr>
      </w:pPr>
      <w:r>
        <w:rPr>
          <w:rFonts w:hint="eastAsia"/>
          <w:sz w:val="24"/>
        </w:rPr>
        <w:t>1  基坑内采用管井降水时，监测点宜布置在基坑中央和两相邻降水井的中间部位；当采用真空井点、喷射井点降水时，监测点宜布置在基坑中央和周边拐角处，监测点数量应视具体情况确定；</w:t>
      </w:r>
    </w:p>
    <w:p>
      <w:pPr>
        <w:spacing w:line="360" w:lineRule="auto"/>
        <w:ind w:firstLine="480" w:firstLineChars="200"/>
        <w:jc w:val="left"/>
        <w:rPr>
          <w:sz w:val="24"/>
        </w:rPr>
      </w:pPr>
      <w:r>
        <w:rPr>
          <w:rFonts w:hint="eastAsia"/>
          <w:sz w:val="24"/>
        </w:rPr>
        <w:t>2  基坑外监测点应沿基坑、被保护对象的周边或在基坑与被保护对象之间布置，监测点间距宜为20m~50m；相邻建筑、重要的管线或管线密集处应布置监测点；当有截水帷幕时，宜布置在截水帷幕的外侧约2m处；必要时宜在垂直坑壁方向布置监测剖面；</w:t>
      </w:r>
    </w:p>
    <w:p>
      <w:pPr>
        <w:spacing w:line="360" w:lineRule="auto"/>
        <w:ind w:firstLine="480" w:firstLineChars="200"/>
        <w:jc w:val="left"/>
        <w:rPr>
          <w:sz w:val="24"/>
        </w:rPr>
      </w:pPr>
      <w:r>
        <w:rPr>
          <w:rFonts w:hint="eastAsia"/>
          <w:sz w:val="24"/>
        </w:rPr>
        <w:t>3  水位观测管的管底埋置深度应在最低设计水位或最低允许水位之下3m~5m。承压水水位观测管的滤管应埋置在所测的承压含水层中；</w:t>
      </w:r>
    </w:p>
    <w:p>
      <w:pPr>
        <w:spacing w:line="360" w:lineRule="auto"/>
        <w:ind w:firstLine="480" w:firstLineChars="200"/>
        <w:jc w:val="left"/>
        <w:rPr>
          <w:sz w:val="24"/>
        </w:rPr>
      </w:pPr>
      <w:r>
        <w:rPr>
          <w:rFonts w:hint="eastAsia"/>
          <w:sz w:val="24"/>
        </w:rPr>
        <w:t>4  设置回灌井时，监测点应设置在回灌井点与被保护对象之间。</w:t>
      </w:r>
    </w:p>
    <w:p>
      <w:pPr>
        <w:spacing w:line="360" w:lineRule="auto"/>
        <w:jc w:val="center"/>
        <w:outlineLvl w:val="1"/>
        <w:rPr>
          <w:b/>
          <w:sz w:val="24"/>
        </w:rPr>
      </w:pPr>
      <w:bookmarkStart w:id="131" w:name="_Toc87018291"/>
      <w:bookmarkStart w:id="132" w:name="_Toc87018360"/>
      <w:r>
        <w:rPr>
          <w:b/>
          <w:sz w:val="24"/>
        </w:rPr>
        <w:t>8.3　周边环境监测</w:t>
      </w:r>
      <w:r>
        <w:rPr>
          <w:rFonts w:hint="eastAsia"/>
          <w:b/>
          <w:sz w:val="24"/>
        </w:rPr>
        <w:t>点布置</w:t>
      </w:r>
      <w:bookmarkEnd w:id="131"/>
      <w:bookmarkEnd w:id="132"/>
    </w:p>
    <w:p>
      <w:pPr>
        <w:spacing w:line="360" w:lineRule="auto"/>
        <w:rPr>
          <w:sz w:val="24"/>
        </w:rPr>
      </w:pPr>
      <w:r>
        <w:rPr>
          <w:b/>
          <w:sz w:val="24"/>
        </w:rPr>
        <w:t>8.3.1</w:t>
      </w:r>
      <w:r>
        <w:rPr>
          <w:sz w:val="24"/>
        </w:rPr>
        <w:t xml:space="preserve">  周边地面沉降监测点应</w:t>
      </w:r>
      <w:r>
        <w:rPr>
          <w:rFonts w:hint="eastAsia"/>
          <w:sz w:val="24"/>
        </w:rPr>
        <w:t>布</w:t>
      </w:r>
      <w:r>
        <w:rPr>
          <w:sz w:val="24"/>
        </w:rPr>
        <w:t>置在支护结构外侧的土层表面或柔性地面上。</w:t>
      </w:r>
      <w:r>
        <w:rPr>
          <w:rFonts w:hint="eastAsia"/>
          <w:sz w:val="24"/>
        </w:rPr>
        <w:t>最近的监测点</w:t>
      </w:r>
      <w:r>
        <w:rPr>
          <w:sz w:val="24"/>
        </w:rPr>
        <w:t>与支护结构的水平距离宜在基坑深度的0.2倍范围以内。宜</w:t>
      </w:r>
      <w:r>
        <w:rPr>
          <w:rFonts w:hint="eastAsia"/>
          <w:sz w:val="24"/>
        </w:rPr>
        <w:t>沿</w:t>
      </w:r>
      <w:r>
        <w:rPr>
          <w:sz w:val="24"/>
        </w:rPr>
        <w:t>垂直</w:t>
      </w:r>
      <w:r>
        <w:rPr>
          <w:rFonts w:hint="eastAsia"/>
          <w:sz w:val="24"/>
        </w:rPr>
        <w:t>坑壁</w:t>
      </w:r>
      <w:r>
        <w:rPr>
          <w:sz w:val="24"/>
        </w:rPr>
        <w:t>方向在基坑</w:t>
      </w:r>
      <w:r>
        <w:rPr>
          <w:rFonts w:hint="eastAsia"/>
          <w:sz w:val="24"/>
        </w:rPr>
        <w:t>变形影响</w:t>
      </w:r>
      <w:r>
        <w:rPr>
          <w:sz w:val="24"/>
        </w:rPr>
        <w:t>范围内</w:t>
      </w:r>
      <w:r>
        <w:rPr>
          <w:rFonts w:hint="eastAsia"/>
          <w:sz w:val="24"/>
        </w:rPr>
        <w:t>布</w:t>
      </w:r>
      <w:r>
        <w:rPr>
          <w:sz w:val="24"/>
        </w:rPr>
        <w:t>置监测</w:t>
      </w:r>
      <w:r>
        <w:rPr>
          <w:rFonts w:hint="eastAsia"/>
          <w:sz w:val="24"/>
        </w:rPr>
        <w:t>剖</w:t>
      </w:r>
      <w:r>
        <w:rPr>
          <w:sz w:val="24"/>
        </w:rPr>
        <w:t>面，每个监测</w:t>
      </w:r>
      <w:r>
        <w:rPr>
          <w:rFonts w:hint="eastAsia"/>
          <w:sz w:val="24"/>
        </w:rPr>
        <w:t>剖</w:t>
      </w:r>
      <w:r>
        <w:rPr>
          <w:sz w:val="24"/>
        </w:rPr>
        <w:t>面的测点不宜少于</w:t>
      </w:r>
      <w:r>
        <w:rPr>
          <w:rFonts w:hint="eastAsia"/>
          <w:sz w:val="24"/>
        </w:rPr>
        <w:t>3</w:t>
      </w:r>
      <w:r>
        <w:rPr>
          <w:sz w:val="24"/>
        </w:rPr>
        <w:t>个。</w:t>
      </w:r>
    </w:p>
    <w:p>
      <w:pPr>
        <w:spacing w:line="360" w:lineRule="auto"/>
        <w:rPr>
          <w:sz w:val="24"/>
        </w:rPr>
      </w:pPr>
      <w:r>
        <w:rPr>
          <w:b/>
          <w:sz w:val="24"/>
        </w:rPr>
        <w:t>8.3.2</w:t>
      </w:r>
      <w:r>
        <w:rPr>
          <w:sz w:val="24"/>
        </w:rPr>
        <w:t xml:space="preserve">  周边地表裂缝监测点布置应符合下列要求：</w:t>
      </w:r>
    </w:p>
    <w:p>
      <w:pPr>
        <w:spacing w:line="360" w:lineRule="auto"/>
        <w:ind w:firstLine="480" w:firstLineChars="200"/>
        <w:jc w:val="left"/>
        <w:rPr>
          <w:sz w:val="24"/>
        </w:rPr>
      </w:pPr>
      <w:r>
        <w:rPr>
          <w:sz w:val="24"/>
        </w:rPr>
        <w:t>1  施工前应在基坑影响范围</w:t>
      </w:r>
      <w:r>
        <w:rPr>
          <w:rFonts w:hint="eastAsia"/>
          <w:sz w:val="24"/>
        </w:rPr>
        <w:t>内进行巡视</w:t>
      </w:r>
      <w:r>
        <w:rPr>
          <w:sz w:val="24"/>
        </w:rPr>
        <w:t>调查，对地表、道路出现的裂缝现状进行记录</w:t>
      </w:r>
      <w:r>
        <w:rPr>
          <w:rFonts w:hint="eastAsia"/>
          <w:sz w:val="24"/>
        </w:rPr>
        <w:t>并布置监测点；</w:t>
      </w:r>
    </w:p>
    <w:p>
      <w:pPr>
        <w:spacing w:line="360" w:lineRule="auto"/>
        <w:ind w:firstLine="480" w:firstLineChars="200"/>
        <w:jc w:val="left"/>
        <w:rPr>
          <w:sz w:val="24"/>
        </w:rPr>
      </w:pPr>
      <w:r>
        <w:rPr>
          <w:rFonts w:hint="eastAsia"/>
          <w:sz w:val="24"/>
        </w:rPr>
        <w:t>2</w:t>
      </w:r>
      <w:r>
        <w:rPr>
          <w:sz w:val="24"/>
        </w:rPr>
        <w:t xml:space="preserve">  </w:t>
      </w:r>
      <w:r>
        <w:rPr>
          <w:rFonts w:hint="eastAsia"/>
          <w:sz w:val="24"/>
        </w:rPr>
        <w:t>应</w:t>
      </w:r>
      <w:r>
        <w:rPr>
          <w:sz w:val="24"/>
        </w:rPr>
        <w:t>在裂缝最宽处和末端各布置裂缝宽度监测点</w:t>
      </w:r>
      <w:r>
        <w:rPr>
          <w:rFonts w:hint="eastAsia"/>
          <w:sz w:val="24"/>
        </w:rPr>
        <w:t>；</w:t>
      </w:r>
    </w:p>
    <w:p>
      <w:pPr>
        <w:spacing w:line="360" w:lineRule="auto"/>
        <w:ind w:firstLine="480" w:firstLineChars="200"/>
        <w:jc w:val="left"/>
        <w:rPr>
          <w:sz w:val="24"/>
        </w:rPr>
      </w:pPr>
      <w:r>
        <w:rPr>
          <w:rFonts w:hint="eastAsia"/>
          <w:sz w:val="24"/>
        </w:rPr>
        <w:t>3</w:t>
      </w:r>
      <w:r>
        <w:rPr>
          <w:sz w:val="24"/>
        </w:rPr>
        <w:t xml:space="preserve">  施工过程中发现新裂缝应增设监测点。</w:t>
      </w:r>
    </w:p>
    <w:p>
      <w:pPr>
        <w:spacing w:line="360" w:lineRule="auto"/>
        <w:rPr>
          <w:sz w:val="24"/>
        </w:rPr>
      </w:pPr>
      <w:r>
        <w:rPr>
          <w:b/>
          <w:sz w:val="24"/>
        </w:rPr>
        <w:t>8.3.3</w:t>
      </w:r>
      <w:r>
        <w:rPr>
          <w:sz w:val="24"/>
        </w:rPr>
        <w:t xml:space="preserve">  道路沉降观测点的间距不宜大于30m，且每条道路的监测点不应少于3个。必要时，可沿道路宽</w:t>
      </w:r>
      <w:r>
        <w:rPr>
          <w:rFonts w:hint="eastAsia"/>
          <w:sz w:val="24"/>
        </w:rPr>
        <w:t>度</w:t>
      </w:r>
      <w:r>
        <w:rPr>
          <w:sz w:val="24"/>
        </w:rPr>
        <w:t>方向布设多个测点。</w:t>
      </w:r>
    </w:p>
    <w:p>
      <w:pPr>
        <w:spacing w:line="360" w:lineRule="auto"/>
        <w:rPr>
          <w:sz w:val="24"/>
        </w:rPr>
      </w:pPr>
      <w:r>
        <w:rPr>
          <w:b/>
          <w:sz w:val="24"/>
        </w:rPr>
        <w:t>8.3.4</w:t>
      </w:r>
      <w:r>
        <w:rPr>
          <w:sz w:val="24"/>
        </w:rPr>
        <w:t xml:space="preserve">  周边建筑物沉降监测点应设置在建筑物的墙、柱上</w:t>
      </w:r>
      <w:r>
        <w:rPr>
          <w:rFonts w:hint="eastAsia"/>
          <w:sz w:val="24"/>
        </w:rPr>
        <w:t>，</w:t>
      </w:r>
      <w:r>
        <w:rPr>
          <w:sz w:val="24"/>
        </w:rPr>
        <w:t>测点间距不宜大于15m</w:t>
      </w:r>
      <w:r>
        <w:rPr>
          <w:rFonts w:hint="eastAsia"/>
          <w:sz w:val="24"/>
        </w:rPr>
        <w:t>，</w:t>
      </w:r>
      <w:r>
        <w:rPr>
          <w:sz w:val="24"/>
        </w:rPr>
        <w:t>布点范围应能反映建筑物</w:t>
      </w:r>
      <w:r>
        <w:rPr>
          <w:rFonts w:hint="eastAsia"/>
          <w:sz w:val="24"/>
        </w:rPr>
        <w:t>的差异变形</w:t>
      </w:r>
      <w:r>
        <w:rPr>
          <w:sz w:val="24"/>
        </w:rPr>
        <w:t>。可在建筑物内部布设测点。</w:t>
      </w:r>
    </w:p>
    <w:p>
      <w:pPr>
        <w:spacing w:line="360" w:lineRule="auto"/>
        <w:rPr>
          <w:sz w:val="24"/>
        </w:rPr>
      </w:pPr>
      <w:r>
        <w:rPr>
          <w:b/>
          <w:sz w:val="24"/>
        </w:rPr>
        <w:t>8.3.5</w:t>
      </w:r>
      <w:r>
        <w:rPr>
          <w:sz w:val="24"/>
        </w:rPr>
        <w:t xml:space="preserve">  周边建筑物倾斜监测点宜布置在建筑物角点、变形缝或抗震缝两侧的承重柱或墙上；监测点应沿主体顶部、底部对应布设，上、下监测点应布置在同一竖直线上。</w:t>
      </w:r>
    </w:p>
    <w:p>
      <w:pPr>
        <w:spacing w:line="360" w:lineRule="auto"/>
        <w:rPr>
          <w:sz w:val="24"/>
        </w:rPr>
      </w:pPr>
      <w:r>
        <w:rPr>
          <w:b/>
          <w:sz w:val="24"/>
        </w:rPr>
        <w:t xml:space="preserve">8.3.6 </w:t>
      </w:r>
      <w:r>
        <w:rPr>
          <w:sz w:val="24"/>
        </w:rPr>
        <w:t xml:space="preserve"> 周边建筑物的裂缝监测点应选择有代表性的裂缝进行布置，</w:t>
      </w:r>
      <w:r>
        <w:rPr>
          <w:rFonts w:hint="eastAsia"/>
          <w:sz w:val="24"/>
        </w:rPr>
        <w:t>监测期间</w:t>
      </w:r>
      <w:r>
        <w:rPr>
          <w:sz w:val="24"/>
        </w:rPr>
        <w:t>发现新裂缝或原有裂缝有增大时，应及时增设监测点。每一条裂缝的监测点不少于2个，监测点宜设在裂缝的最宽处及裂缝末端。</w:t>
      </w:r>
    </w:p>
    <w:p>
      <w:pPr>
        <w:spacing w:line="360" w:lineRule="auto"/>
        <w:rPr>
          <w:sz w:val="24"/>
        </w:rPr>
      </w:pPr>
      <w:r>
        <w:rPr>
          <w:b/>
          <w:sz w:val="24"/>
        </w:rPr>
        <w:t>8.3.</w:t>
      </w:r>
      <w:r>
        <w:rPr>
          <w:rFonts w:hint="eastAsia"/>
          <w:b/>
          <w:sz w:val="24"/>
        </w:rPr>
        <w:t>7</w:t>
      </w:r>
      <w:r>
        <w:rPr>
          <w:b/>
          <w:sz w:val="24"/>
        </w:rPr>
        <w:t xml:space="preserve"> </w:t>
      </w:r>
      <w:r>
        <w:rPr>
          <w:sz w:val="24"/>
        </w:rPr>
        <w:t xml:space="preserve"> 地下管线沉降监测，当采用测量地面沉降的间接方法时，其测点应布设在管线正上方。当管线上方为刚性</w:t>
      </w:r>
      <w:r>
        <w:rPr>
          <w:rFonts w:hint="eastAsia"/>
          <w:sz w:val="24"/>
        </w:rPr>
        <w:t>地</w:t>
      </w:r>
      <w:r>
        <w:rPr>
          <w:sz w:val="24"/>
        </w:rPr>
        <w:t>面时，宜将测点</w:t>
      </w:r>
      <w:r>
        <w:rPr>
          <w:rFonts w:hint="eastAsia"/>
          <w:sz w:val="24"/>
        </w:rPr>
        <w:t>埋设</w:t>
      </w:r>
      <w:r>
        <w:rPr>
          <w:sz w:val="24"/>
        </w:rPr>
        <w:t>于刚性</w:t>
      </w:r>
      <w:r>
        <w:rPr>
          <w:rFonts w:hint="eastAsia"/>
          <w:sz w:val="24"/>
        </w:rPr>
        <w:t>地</w:t>
      </w:r>
      <w:r>
        <w:rPr>
          <w:sz w:val="24"/>
        </w:rPr>
        <w:t>面下。对直埋的刚性管线，应在管线节点、竖井及两侧等易破裂处设置测点。测点水平间距不宜大于20m。</w:t>
      </w:r>
    </w:p>
    <w:p>
      <w:pPr>
        <w:spacing w:line="360" w:lineRule="auto"/>
        <w:jc w:val="center"/>
        <w:outlineLvl w:val="1"/>
        <w:rPr>
          <w:b/>
          <w:sz w:val="24"/>
        </w:rPr>
      </w:pPr>
      <w:bookmarkStart w:id="133" w:name="_Toc87018292"/>
      <w:bookmarkStart w:id="134" w:name="_Toc87018361"/>
      <w:r>
        <w:rPr>
          <w:b/>
          <w:sz w:val="24"/>
        </w:rPr>
        <w:t>8.4　监测频率及报警</w:t>
      </w:r>
      <w:bookmarkEnd w:id="133"/>
      <w:bookmarkEnd w:id="134"/>
    </w:p>
    <w:p>
      <w:pPr>
        <w:spacing w:line="360" w:lineRule="auto"/>
        <w:rPr>
          <w:sz w:val="24"/>
        </w:rPr>
      </w:pPr>
      <w:r>
        <w:rPr>
          <w:b/>
          <w:sz w:val="24"/>
        </w:rPr>
        <w:t>8.4.1</w:t>
      </w:r>
      <w:r>
        <w:rPr>
          <w:sz w:val="24"/>
        </w:rPr>
        <w:t xml:space="preserve">  </w:t>
      </w:r>
      <w:r>
        <w:rPr>
          <w:rFonts w:hint="eastAsia"/>
          <w:sz w:val="24"/>
        </w:rPr>
        <w:t>监测项目的监测频率应考虑基坑工程环境保护等级、基坑及地下工程的不同施工阶段以及周边环境、自然条件的变化。当监测值相对稳定时，可适当降低监测频率。对于应测项目，在无数据异常和事故征兆的情况下，开挖后仪器监测频率的确定可参照表8.4.1。</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jc w:val="center"/>
        <w:rPr>
          <w:b/>
          <w:sz w:val="24"/>
        </w:rPr>
      </w:pPr>
      <w:r>
        <w:rPr>
          <w:rFonts w:hint="eastAsia"/>
          <w:b/>
          <w:sz w:val="24"/>
        </w:rPr>
        <w:t>表8</w:t>
      </w:r>
      <w:r>
        <w:rPr>
          <w:b/>
          <w:sz w:val="24"/>
        </w:rPr>
        <w:t>.</w:t>
      </w:r>
      <w:r>
        <w:rPr>
          <w:rFonts w:hint="eastAsia"/>
          <w:b/>
          <w:sz w:val="24"/>
        </w:rPr>
        <w:t>4</w:t>
      </w:r>
      <w:r>
        <w:rPr>
          <w:b/>
          <w:sz w:val="24"/>
        </w:rPr>
        <w:t>.</w:t>
      </w:r>
      <w:r>
        <w:rPr>
          <w:rFonts w:hint="eastAsia"/>
          <w:b/>
          <w:sz w:val="24"/>
        </w:rPr>
        <w:t>1</w:t>
      </w:r>
      <w:r>
        <w:rPr>
          <w:b/>
          <w:sz w:val="24"/>
        </w:rPr>
        <w:t xml:space="preserve"> </w:t>
      </w:r>
      <w:r>
        <w:rPr>
          <w:rFonts w:hint="eastAsia"/>
          <w:b/>
          <w:sz w:val="24"/>
        </w:rPr>
        <w:t>现场仪器监测的监测频率</w:t>
      </w:r>
    </w:p>
    <w:tbl>
      <w:tblPr>
        <w:tblStyle w:val="2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089"/>
        <w:gridCol w:w="1356"/>
        <w:gridCol w:w="1459"/>
        <w:gridCol w:w="1460"/>
        <w:gridCol w:w="14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restart"/>
            <w:vAlign w:val="center"/>
          </w:tcPr>
          <w:p>
            <w:pPr>
              <w:ind w:left="-105" w:leftChars="-50" w:right="-105" w:rightChars="-50"/>
              <w:jc w:val="center"/>
              <w:rPr>
                <w:szCs w:val="21"/>
              </w:rPr>
            </w:pPr>
            <w:r>
              <w:rPr>
                <w:rFonts w:hint="eastAsia"/>
                <w:szCs w:val="21"/>
              </w:rPr>
              <w:t>基坑工程</w:t>
            </w:r>
          </w:p>
          <w:p>
            <w:pPr>
              <w:ind w:left="-105" w:leftChars="-50" w:right="-105" w:rightChars="-50"/>
              <w:jc w:val="center"/>
              <w:rPr>
                <w:szCs w:val="21"/>
              </w:rPr>
            </w:pPr>
            <w:r>
              <w:rPr>
                <w:rFonts w:hint="eastAsia"/>
                <w:szCs w:val="21"/>
              </w:rPr>
              <w:t>安全等级</w:t>
            </w:r>
          </w:p>
        </w:tc>
        <w:tc>
          <w:tcPr>
            <w:tcW w:w="2445" w:type="dxa"/>
            <w:gridSpan w:val="2"/>
            <w:vMerge w:val="restart"/>
            <w:vAlign w:val="center"/>
          </w:tcPr>
          <w:p>
            <w:pPr>
              <w:ind w:left="-105" w:leftChars="-50" w:right="-105" w:rightChars="-50"/>
              <w:jc w:val="center"/>
              <w:rPr>
                <w:szCs w:val="21"/>
              </w:rPr>
            </w:pPr>
            <w:r>
              <w:rPr>
                <w:szCs w:val="21"/>
              </w:rPr>
              <w:t>施工进程</w:t>
            </w:r>
          </w:p>
        </w:tc>
        <w:tc>
          <w:tcPr>
            <w:tcW w:w="5839" w:type="dxa"/>
            <w:gridSpan w:val="4"/>
            <w:vAlign w:val="center"/>
          </w:tcPr>
          <w:p>
            <w:pPr>
              <w:pStyle w:val="74"/>
              <w:ind w:left="-105" w:leftChars="-50" w:right="-105" w:rightChars="-50"/>
              <w:jc w:val="center"/>
              <w:rPr>
                <w:rFonts w:ascii="Times New Roman" w:hAnsi="Times New Roman" w:cs="Times New Roman"/>
                <w:sz w:val="21"/>
                <w:szCs w:val="21"/>
              </w:rPr>
            </w:pPr>
            <w:r>
              <w:rPr>
                <w:rFonts w:ascii="Times New Roman" w:hAnsi="Times New Roman" w:cs="Times New Roman"/>
                <w:sz w:val="21"/>
                <w:szCs w:val="21"/>
              </w:rPr>
              <w:t>基坑设计开挖深度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2445" w:type="dxa"/>
            <w:gridSpan w:val="2"/>
            <w:vMerge w:val="continue"/>
            <w:vAlign w:val="center"/>
          </w:tcPr>
          <w:p>
            <w:pPr>
              <w:jc w:val="center"/>
              <w:rPr>
                <w:szCs w:val="21"/>
              </w:rPr>
            </w:pPr>
          </w:p>
        </w:tc>
        <w:tc>
          <w:tcPr>
            <w:tcW w:w="1459" w:type="dxa"/>
          </w:tcPr>
          <w:p>
            <w:pPr>
              <w:autoSpaceDE w:val="0"/>
              <w:autoSpaceDN w:val="0"/>
              <w:adjustRightInd w:val="0"/>
              <w:jc w:val="center"/>
              <w:rPr>
                <w:color w:val="000000"/>
                <w:kern w:val="0"/>
                <w:szCs w:val="21"/>
              </w:rPr>
            </w:pPr>
            <w:r>
              <w:rPr>
                <w:rFonts w:hint="eastAsia"/>
                <w:color w:val="000000"/>
                <w:kern w:val="0"/>
                <w:szCs w:val="21"/>
              </w:rPr>
              <w:t>≤</w:t>
            </w:r>
            <w:r>
              <w:rPr>
                <w:color w:val="000000"/>
                <w:kern w:val="0"/>
                <w:szCs w:val="21"/>
              </w:rPr>
              <w:t>5m</w:t>
            </w:r>
          </w:p>
        </w:tc>
        <w:tc>
          <w:tcPr>
            <w:tcW w:w="1460" w:type="dxa"/>
          </w:tcPr>
          <w:p>
            <w:pPr>
              <w:autoSpaceDE w:val="0"/>
              <w:autoSpaceDN w:val="0"/>
              <w:adjustRightInd w:val="0"/>
              <w:jc w:val="center"/>
              <w:rPr>
                <w:color w:val="000000"/>
                <w:kern w:val="0"/>
                <w:szCs w:val="21"/>
              </w:rPr>
            </w:pPr>
            <w:r>
              <w:rPr>
                <w:color w:val="000000"/>
                <w:kern w:val="0"/>
                <w:szCs w:val="21"/>
              </w:rPr>
              <w:t>5～10m</w:t>
            </w:r>
          </w:p>
        </w:tc>
        <w:tc>
          <w:tcPr>
            <w:tcW w:w="1460" w:type="dxa"/>
          </w:tcPr>
          <w:p>
            <w:pPr>
              <w:autoSpaceDE w:val="0"/>
              <w:autoSpaceDN w:val="0"/>
              <w:adjustRightInd w:val="0"/>
              <w:jc w:val="center"/>
              <w:rPr>
                <w:color w:val="000000"/>
                <w:kern w:val="0"/>
                <w:szCs w:val="21"/>
              </w:rPr>
            </w:pPr>
            <w:r>
              <w:rPr>
                <w:color w:val="000000"/>
                <w:kern w:val="0"/>
                <w:szCs w:val="21"/>
              </w:rPr>
              <w:t>10～15m</w:t>
            </w:r>
          </w:p>
        </w:tc>
        <w:tc>
          <w:tcPr>
            <w:tcW w:w="1460" w:type="dxa"/>
          </w:tcPr>
          <w:p>
            <w:pPr>
              <w:autoSpaceDE w:val="0"/>
              <w:autoSpaceDN w:val="0"/>
              <w:adjustRightInd w:val="0"/>
              <w:jc w:val="center"/>
              <w:rPr>
                <w:color w:val="000000"/>
                <w:kern w:val="0"/>
                <w:szCs w:val="21"/>
              </w:rPr>
            </w:pPr>
            <w:r>
              <w:rPr>
                <w:rFonts w:hint="eastAsia"/>
                <w:color w:val="000000"/>
                <w:kern w:val="0"/>
                <w:szCs w:val="21"/>
              </w:rPr>
              <w:t>＞</w:t>
            </w:r>
            <w:r>
              <w:rPr>
                <w:color w:val="000000"/>
                <w:kern w:val="0"/>
                <w:szCs w:val="21"/>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restart"/>
            <w:vAlign w:val="center"/>
          </w:tcPr>
          <w:p>
            <w:pPr>
              <w:jc w:val="center"/>
              <w:rPr>
                <w:szCs w:val="21"/>
              </w:rPr>
            </w:pPr>
            <w:r>
              <w:rPr>
                <w:szCs w:val="21"/>
              </w:rPr>
              <w:t>一级</w:t>
            </w:r>
          </w:p>
        </w:tc>
        <w:tc>
          <w:tcPr>
            <w:tcW w:w="1089" w:type="dxa"/>
            <w:vMerge w:val="restart"/>
            <w:vAlign w:val="center"/>
          </w:tcPr>
          <w:p>
            <w:pPr>
              <w:pStyle w:val="74"/>
              <w:jc w:val="center"/>
              <w:rPr>
                <w:rFonts w:ascii="Times New Roman" w:hAnsi="Times New Roman" w:cs="Times New Roman"/>
                <w:sz w:val="21"/>
                <w:szCs w:val="21"/>
              </w:rPr>
            </w:pPr>
            <w:r>
              <w:rPr>
                <w:rFonts w:ascii="Times New Roman" w:hAnsi="Times New Roman" w:cs="Times New Roman"/>
                <w:sz w:val="21"/>
                <w:szCs w:val="21"/>
              </w:rPr>
              <w:t>开挖深度</w:t>
            </w:r>
          </w:p>
          <w:p>
            <w:pPr>
              <w:jc w:val="center"/>
              <w:rPr>
                <w:szCs w:val="21"/>
              </w:rPr>
            </w:pPr>
            <w:r>
              <w:rPr>
                <w:szCs w:val="21"/>
              </w:rPr>
              <w:t>（m）</w:t>
            </w:r>
          </w:p>
        </w:tc>
        <w:tc>
          <w:tcPr>
            <w:tcW w:w="1356" w:type="dxa"/>
          </w:tcPr>
          <w:p>
            <w:pPr>
              <w:pStyle w:val="74"/>
              <w:jc w:val="center"/>
              <w:rPr>
                <w:rFonts w:ascii="Times New Roman" w:hAnsi="Times New Roman" w:cs="Times New Roman"/>
                <w:sz w:val="21"/>
                <w:szCs w:val="21"/>
              </w:rPr>
            </w:pPr>
            <w:r>
              <w:rPr>
                <w:rFonts w:hint="eastAsia"/>
                <w:szCs w:val="21"/>
              </w:rPr>
              <w:t>≤</w:t>
            </w:r>
            <w:r>
              <w:rPr>
                <w:rFonts w:ascii="Times New Roman" w:hAnsi="Times New Roman" w:cs="Times New Roman"/>
                <w:sz w:val="21"/>
                <w:szCs w:val="21"/>
              </w:rPr>
              <w:t>5</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1次/2d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1次2d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1次/2d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continue"/>
            <w:vAlign w:val="center"/>
          </w:tcPr>
          <w:p>
            <w:pPr>
              <w:jc w:val="center"/>
              <w:rPr>
                <w:szCs w:val="21"/>
              </w:rPr>
            </w:pPr>
          </w:p>
        </w:tc>
        <w:tc>
          <w:tcPr>
            <w:tcW w:w="1356" w:type="dxa"/>
          </w:tcPr>
          <w:p>
            <w:pPr>
              <w:pStyle w:val="74"/>
              <w:jc w:val="center"/>
              <w:rPr>
                <w:rFonts w:ascii="Times New Roman" w:hAnsi="Times New Roman" w:cs="Times New Roman"/>
                <w:sz w:val="21"/>
                <w:szCs w:val="21"/>
              </w:rPr>
            </w:pPr>
            <w:r>
              <w:rPr>
                <w:rFonts w:ascii="Times New Roman" w:hAnsi="Times New Roman" w:cs="Times New Roman"/>
                <w:sz w:val="21"/>
                <w:szCs w:val="21"/>
              </w:rPr>
              <w:t>5～10</w:t>
            </w:r>
          </w:p>
        </w:tc>
        <w:tc>
          <w:tcPr>
            <w:tcW w:w="1459" w:type="dxa"/>
          </w:tcPr>
          <w:p>
            <w:pPr>
              <w:pStyle w:val="74"/>
              <w:jc w:val="center"/>
              <w:rPr>
                <w:rFonts w:ascii="Times New Roman" w:hAnsi="Times New Roman" w:cs="Times New Roman"/>
                <w:sz w:val="21"/>
                <w:szCs w:val="21"/>
              </w:rPr>
            </w:pP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continue"/>
            <w:vAlign w:val="center"/>
          </w:tcPr>
          <w:p>
            <w:pPr>
              <w:jc w:val="center"/>
              <w:rPr>
                <w:szCs w:val="21"/>
              </w:rPr>
            </w:pPr>
          </w:p>
        </w:tc>
        <w:tc>
          <w:tcPr>
            <w:tcW w:w="1356" w:type="dxa"/>
            <w:vAlign w:val="center"/>
          </w:tcPr>
          <w:p>
            <w:pPr>
              <w:pStyle w:val="74"/>
              <w:jc w:val="center"/>
              <w:rPr>
                <w:rFonts w:ascii="Times New Roman" w:hAnsi="Times New Roman" w:cs="Times New Roman"/>
                <w:sz w:val="21"/>
                <w:szCs w:val="21"/>
              </w:rPr>
            </w:pPr>
            <w:r>
              <w:rPr>
                <w:rFonts w:hint="eastAsia"/>
                <w:szCs w:val="21"/>
              </w:rPr>
              <w:t>＞</w:t>
            </w:r>
            <w:r>
              <w:rPr>
                <w:rFonts w:ascii="Times New Roman" w:hAnsi="Times New Roman" w:cs="Times New Roman"/>
                <w:sz w:val="21"/>
                <w:szCs w:val="21"/>
              </w:rPr>
              <w:t>10</w:t>
            </w:r>
          </w:p>
        </w:tc>
        <w:tc>
          <w:tcPr>
            <w:tcW w:w="1459" w:type="dxa"/>
            <w:vAlign w:val="center"/>
          </w:tcPr>
          <w:p>
            <w:pPr>
              <w:jc w:val="center"/>
              <w:rPr>
                <w:szCs w:val="21"/>
              </w:rPr>
            </w:pPr>
          </w:p>
        </w:tc>
        <w:tc>
          <w:tcPr>
            <w:tcW w:w="1460" w:type="dxa"/>
            <w:vAlign w:val="center"/>
          </w:tcPr>
          <w:p>
            <w:pPr>
              <w:jc w:val="center"/>
              <w:rPr>
                <w:szCs w:val="21"/>
              </w:rPr>
            </w:pP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2次/1d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2次/1d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restart"/>
            <w:vAlign w:val="center"/>
          </w:tcPr>
          <w:p>
            <w:pPr>
              <w:pStyle w:val="74"/>
              <w:jc w:val="center"/>
              <w:rPr>
                <w:rFonts w:ascii="Times New Roman" w:hAnsi="Times New Roman" w:cs="Times New Roman"/>
                <w:sz w:val="21"/>
                <w:szCs w:val="21"/>
              </w:rPr>
            </w:pPr>
            <w:r>
              <w:rPr>
                <w:rFonts w:ascii="Times New Roman" w:hAnsi="Times New Roman" w:cs="Times New Roman"/>
                <w:sz w:val="21"/>
                <w:szCs w:val="21"/>
              </w:rPr>
              <w:t>底板浇筑后时间</w:t>
            </w:r>
          </w:p>
          <w:p>
            <w:pPr>
              <w:jc w:val="center"/>
              <w:rPr>
                <w:szCs w:val="21"/>
              </w:rPr>
            </w:pPr>
            <w:r>
              <w:rPr>
                <w:szCs w:val="21"/>
              </w:rPr>
              <w:t>（d）</w:t>
            </w:r>
          </w:p>
        </w:tc>
        <w:tc>
          <w:tcPr>
            <w:tcW w:w="1356" w:type="dxa"/>
          </w:tcPr>
          <w:p>
            <w:pPr>
              <w:pStyle w:val="74"/>
              <w:jc w:val="center"/>
              <w:rPr>
                <w:rFonts w:ascii="Times New Roman" w:hAnsi="Times New Roman" w:cs="Times New Roman"/>
                <w:sz w:val="21"/>
                <w:szCs w:val="21"/>
              </w:rPr>
            </w:pPr>
            <w:r>
              <w:rPr>
                <w:rFonts w:hint="eastAsia"/>
                <w:szCs w:val="21"/>
              </w:rPr>
              <w:t>≤</w:t>
            </w:r>
            <w:r>
              <w:rPr>
                <w:rFonts w:ascii="Times New Roman" w:hAnsi="Times New Roman" w:cs="Times New Roman"/>
                <w:sz w:val="21"/>
                <w:szCs w:val="21"/>
              </w:rPr>
              <w:t>7</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2次/1d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2次/1d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continue"/>
            <w:vAlign w:val="center"/>
          </w:tcPr>
          <w:p>
            <w:pPr>
              <w:jc w:val="center"/>
              <w:rPr>
                <w:szCs w:val="21"/>
              </w:rPr>
            </w:pPr>
          </w:p>
        </w:tc>
        <w:tc>
          <w:tcPr>
            <w:tcW w:w="1356" w:type="dxa"/>
          </w:tcPr>
          <w:p>
            <w:pPr>
              <w:pStyle w:val="74"/>
              <w:jc w:val="center"/>
              <w:rPr>
                <w:rFonts w:ascii="Times New Roman" w:hAnsi="Times New Roman" w:cs="Times New Roman"/>
                <w:sz w:val="21"/>
                <w:szCs w:val="21"/>
              </w:rPr>
            </w:pPr>
            <w:r>
              <w:rPr>
                <w:rFonts w:ascii="Times New Roman" w:hAnsi="Times New Roman" w:cs="Times New Roman"/>
                <w:sz w:val="21"/>
                <w:szCs w:val="21"/>
              </w:rPr>
              <w:t>7～14</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1次/3d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1次/2d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continue"/>
            <w:vAlign w:val="center"/>
          </w:tcPr>
          <w:p>
            <w:pPr>
              <w:jc w:val="center"/>
              <w:rPr>
                <w:szCs w:val="21"/>
              </w:rPr>
            </w:pPr>
          </w:p>
        </w:tc>
        <w:tc>
          <w:tcPr>
            <w:tcW w:w="1356" w:type="dxa"/>
          </w:tcPr>
          <w:p>
            <w:pPr>
              <w:pStyle w:val="74"/>
              <w:jc w:val="center"/>
              <w:rPr>
                <w:rFonts w:ascii="Times New Roman" w:hAnsi="Times New Roman" w:cs="Times New Roman"/>
                <w:sz w:val="21"/>
                <w:szCs w:val="21"/>
              </w:rPr>
            </w:pPr>
            <w:r>
              <w:rPr>
                <w:rFonts w:ascii="Times New Roman" w:hAnsi="Times New Roman" w:cs="Times New Roman"/>
                <w:sz w:val="21"/>
                <w:szCs w:val="21"/>
              </w:rPr>
              <w:t>14～28</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1次/5d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1次/3d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1次/2d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continue"/>
            <w:vAlign w:val="center"/>
          </w:tcPr>
          <w:p>
            <w:pPr>
              <w:jc w:val="center"/>
              <w:rPr>
                <w:szCs w:val="21"/>
              </w:rPr>
            </w:pPr>
          </w:p>
        </w:tc>
        <w:tc>
          <w:tcPr>
            <w:tcW w:w="1356" w:type="dxa"/>
          </w:tcPr>
          <w:p>
            <w:pPr>
              <w:pStyle w:val="74"/>
              <w:jc w:val="center"/>
              <w:rPr>
                <w:rFonts w:ascii="Times New Roman" w:hAnsi="Times New Roman" w:cs="Times New Roman"/>
                <w:sz w:val="21"/>
                <w:szCs w:val="21"/>
              </w:rPr>
            </w:pPr>
            <w:r>
              <w:rPr>
                <w:rFonts w:hint="eastAsia"/>
                <w:szCs w:val="21"/>
              </w:rPr>
              <w:t>＞</w:t>
            </w:r>
            <w:r>
              <w:rPr>
                <w:rFonts w:ascii="Times New Roman" w:hAnsi="Times New Roman" w:cs="Times New Roman"/>
                <w:sz w:val="21"/>
                <w:szCs w:val="21"/>
              </w:rPr>
              <w:t>28</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1次/7d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1次/5d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1次/3d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restart"/>
            <w:vAlign w:val="center"/>
          </w:tcPr>
          <w:p>
            <w:pPr>
              <w:jc w:val="center"/>
              <w:rPr>
                <w:szCs w:val="21"/>
              </w:rPr>
            </w:pPr>
            <w:r>
              <w:rPr>
                <w:szCs w:val="21"/>
              </w:rPr>
              <w:t>二级</w:t>
            </w:r>
          </w:p>
        </w:tc>
        <w:tc>
          <w:tcPr>
            <w:tcW w:w="1089" w:type="dxa"/>
            <w:vMerge w:val="restart"/>
            <w:vAlign w:val="center"/>
          </w:tcPr>
          <w:p>
            <w:pPr>
              <w:pStyle w:val="74"/>
              <w:jc w:val="center"/>
              <w:rPr>
                <w:rFonts w:ascii="Times New Roman" w:hAnsi="Times New Roman" w:cs="Times New Roman"/>
                <w:sz w:val="21"/>
                <w:szCs w:val="21"/>
              </w:rPr>
            </w:pPr>
            <w:r>
              <w:rPr>
                <w:rFonts w:ascii="Times New Roman" w:hAnsi="Times New Roman" w:cs="Times New Roman"/>
                <w:sz w:val="21"/>
                <w:szCs w:val="21"/>
              </w:rPr>
              <w:t>开挖深度（m）</w:t>
            </w:r>
          </w:p>
        </w:tc>
        <w:tc>
          <w:tcPr>
            <w:tcW w:w="1356" w:type="dxa"/>
          </w:tcPr>
          <w:p>
            <w:pPr>
              <w:pStyle w:val="74"/>
              <w:jc w:val="center"/>
              <w:rPr>
                <w:rFonts w:ascii="Times New Roman" w:hAnsi="Times New Roman" w:cs="Times New Roman"/>
                <w:sz w:val="21"/>
                <w:szCs w:val="21"/>
              </w:rPr>
            </w:pPr>
            <w:r>
              <w:rPr>
                <w:rFonts w:hint="eastAsia"/>
                <w:szCs w:val="21"/>
              </w:rPr>
              <w:t>≤</w:t>
            </w:r>
            <w:r>
              <w:rPr>
                <w:rFonts w:ascii="Times New Roman" w:hAnsi="Times New Roman" w:cs="Times New Roman"/>
                <w:sz w:val="21"/>
                <w:szCs w:val="21"/>
              </w:rPr>
              <w:t>5</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1次/2d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1次/2d</w:t>
            </w:r>
          </w:p>
        </w:tc>
        <w:tc>
          <w:tcPr>
            <w:tcW w:w="1460" w:type="dxa"/>
            <w:vAlign w:val="center"/>
          </w:tcPr>
          <w:p>
            <w:pPr>
              <w:jc w:val="center"/>
              <w:rPr>
                <w:szCs w:val="21"/>
              </w:rPr>
            </w:pPr>
          </w:p>
        </w:tc>
        <w:tc>
          <w:tcPr>
            <w:tcW w:w="1460"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continue"/>
            <w:vAlign w:val="center"/>
          </w:tcPr>
          <w:p>
            <w:pPr>
              <w:jc w:val="center"/>
              <w:rPr>
                <w:szCs w:val="21"/>
              </w:rPr>
            </w:pPr>
          </w:p>
        </w:tc>
        <w:tc>
          <w:tcPr>
            <w:tcW w:w="1356" w:type="dxa"/>
            <w:vAlign w:val="center"/>
          </w:tcPr>
          <w:p>
            <w:pPr>
              <w:pStyle w:val="74"/>
              <w:jc w:val="center"/>
              <w:rPr>
                <w:rFonts w:ascii="Times New Roman" w:hAnsi="Times New Roman" w:cs="Times New Roman"/>
                <w:sz w:val="21"/>
                <w:szCs w:val="21"/>
              </w:rPr>
            </w:pPr>
            <w:r>
              <w:rPr>
                <w:rFonts w:ascii="Times New Roman" w:hAnsi="Times New Roman" w:cs="Times New Roman"/>
                <w:sz w:val="21"/>
                <w:szCs w:val="21"/>
              </w:rPr>
              <w:t>5～10</w:t>
            </w:r>
          </w:p>
        </w:tc>
        <w:tc>
          <w:tcPr>
            <w:tcW w:w="1459" w:type="dxa"/>
            <w:vAlign w:val="center"/>
          </w:tcPr>
          <w:p>
            <w:pPr>
              <w:jc w:val="center"/>
              <w:rPr>
                <w:szCs w:val="21"/>
              </w:rPr>
            </w:pPr>
          </w:p>
        </w:tc>
        <w:tc>
          <w:tcPr>
            <w:tcW w:w="1460" w:type="dxa"/>
            <w:vAlign w:val="center"/>
          </w:tcPr>
          <w:p>
            <w:pPr>
              <w:pStyle w:val="74"/>
              <w:jc w:val="center"/>
              <w:rPr>
                <w:rFonts w:ascii="Times New Roman" w:hAnsi="Times New Roman" w:cs="Times New Roman"/>
                <w:sz w:val="21"/>
                <w:szCs w:val="21"/>
              </w:rPr>
            </w:pPr>
            <w:r>
              <w:rPr>
                <w:rFonts w:ascii="Times New Roman" w:hAnsi="Times New Roman" w:cs="Times New Roman"/>
                <w:sz w:val="21"/>
                <w:szCs w:val="21"/>
              </w:rPr>
              <w:t>1次/1d</w:t>
            </w:r>
          </w:p>
        </w:tc>
        <w:tc>
          <w:tcPr>
            <w:tcW w:w="1460" w:type="dxa"/>
            <w:vAlign w:val="center"/>
          </w:tcPr>
          <w:p>
            <w:pPr>
              <w:jc w:val="center"/>
              <w:rPr>
                <w:szCs w:val="21"/>
              </w:rPr>
            </w:pPr>
          </w:p>
        </w:tc>
        <w:tc>
          <w:tcPr>
            <w:tcW w:w="1460"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restart"/>
            <w:vAlign w:val="center"/>
          </w:tcPr>
          <w:p>
            <w:pPr>
              <w:pStyle w:val="74"/>
              <w:jc w:val="center"/>
              <w:rPr>
                <w:rFonts w:ascii="Times New Roman" w:hAnsi="Times New Roman" w:cs="Times New Roman"/>
                <w:sz w:val="21"/>
                <w:szCs w:val="21"/>
              </w:rPr>
            </w:pPr>
            <w:r>
              <w:rPr>
                <w:rFonts w:ascii="Times New Roman" w:hAnsi="Times New Roman" w:cs="Times New Roman"/>
                <w:sz w:val="21"/>
                <w:szCs w:val="21"/>
              </w:rPr>
              <w:t>底板浇筑后时间</w:t>
            </w:r>
          </w:p>
          <w:p>
            <w:pPr>
              <w:jc w:val="center"/>
              <w:rPr>
                <w:szCs w:val="21"/>
              </w:rPr>
            </w:pPr>
            <w:r>
              <w:rPr>
                <w:szCs w:val="21"/>
              </w:rPr>
              <w:t>（d）</w:t>
            </w:r>
          </w:p>
        </w:tc>
        <w:tc>
          <w:tcPr>
            <w:tcW w:w="1356" w:type="dxa"/>
          </w:tcPr>
          <w:p>
            <w:pPr>
              <w:pStyle w:val="74"/>
              <w:jc w:val="center"/>
              <w:rPr>
                <w:rFonts w:ascii="Times New Roman" w:hAnsi="Times New Roman" w:cs="Times New Roman"/>
                <w:sz w:val="21"/>
                <w:szCs w:val="21"/>
              </w:rPr>
            </w:pPr>
            <w:r>
              <w:rPr>
                <w:rFonts w:hint="eastAsia"/>
                <w:szCs w:val="21"/>
              </w:rPr>
              <w:t>≤</w:t>
            </w:r>
            <w:r>
              <w:rPr>
                <w:rFonts w:ascii="Times New Roman" w:hAnsi="Times New Roman" w:cs="Times New Roman"/>
                <w:sz w:val="21"/>
                <w:szCs w:val="21"/>
              </w:rPr>
              <w:t>7</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1次/2d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1次/2d</w:t>
            </w:r>
          </w:p>
        </w:tc>
        <w:tc>
          <w:tcPr>
            <w:tcW w:w="1460" w:type="dxa"/>
            <w:vAlign w:val="center"/>
          </w:tcPr>
          <w:p>
            <w:pPr>
              <w:jc w:val="center"/>
              <w:rPr>
                <w:szCs w:val="21"/>
              </w:rPr>
            </w:pPr>
          </w:p>
        </w:tc>
        <w:tc>
          <w:tcPr>
            <w:tcW w:w="1460"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continue"/>
            <w:vAlign w:val="center"/>
          </w:tcPr>
          <w:p>
            <w:pPr>
              <w:jc w:val="center"/>
              <w:rPr>
                <w:szCs w:val="21"/>
              </w:rPr>
            </w:pPr>
          </w:p>
        </w:tc>
        <w:tc>
          <w:tcPr>
            <w:tcW w:w="1356" w:type="dxa"/>
          </w:tcPr>
          <w:p>
            <w:pPr>
              <w:pStyle w:val="74"/>
              <w:jc w:val="center"/>
              <w:rPr>
                <w:rFonts w:ascii="Times New Roman" w:hAnsi="Times New Roman" w:cs="Times New Roman"/>
                <w:sz w:val="21"/>
                <w:szCs w:val="21"/>
              </w:rPr>
            </w:pPr>
            <w:r>
              <w:rPr>
                <w:rFonts w:ascii="Times New Roman" w:hAnsi="Times New Roman" w:cs="Times New Roman"/>
                <w:sz w:val="21"/>
                <w:szCs w:val="21"/>
              </w:rPr>
              <w:t>7～14</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1次/3d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1次/3d</w:t>
            </w:r>
          </w:p>
        </w:tc>
        <w:tc>
          <w:tcPr>
            <w:tcW w:w="1460" w:type="dxa"/>
            <w:vAlign w:val="center"/>
          </w:tcPr>
          <w:p>
            <w:pPr>
              <w:jc w:val="center"/>
              <w:rPr>
                <w:szCs w:val="21"/>
              </w:rPr>
            </w:pPr>
          </w:p>
        </w:tc>
        <w:tc>
          <w:tcPr>
            <w:tcW w:w="1460"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continue"/>
            <w:vAlign w:val="center"/>
          </w:tcPr>
          <w:p>
            <w:pPr>
              <w:jc w:val="center"/>
              <w:rPr>
                <w:szCs w:val="21"/>
              </w:rPr>
            </w:pPr>
          </w:p>
        </w:tc>
        <w:tc>
          <w:tcPr>
            <w:tcW w:w="1356" w:type="dxa"/>
          </w:tcPr>
          <w:p>
            <w:pPr>
              <w:pStyle w:val="74"/>
              <w:jc w:val="center"/>
              <w:rPr>
                <w:rFonts w:ascii="Times New Roman" w:hAnsi="Times New Roman" w:cs="Times New Roman"/>
                <w:sz w:val="21"/>
                <w:szCs w:val="21"/>
              </w:rPr>
            </w:pPr>
            <w:r>
              <w:rPr>
                <w:rFonts w:ascii="Times New Roman" w:hAnsi="Times New Roman" w:cs="Times New Roman"/>
                <w:sz w:val="21"/>
                <w:szCs w:val="21"/>
              </w:rPr>
              <w:t>14～28</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1次/7d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1次/5d</w:t>
            </w:r>
          </w:p>
        </w:tc>
        <w:tc>
          <w:tcPr>
            <w:tcW w:w="1460" w:type="dxa"/>
            <w:vAlign w:val="center"/>
          </w:tcPr>
          <w:p>
            <w:pPr>
              <w:jc w:val="center"/>
              <w:rPr>
                <w:szCs w:val="21"/>
              </w:rPr>
            </w:pPr>
          </w:p>
        </w:tc>
        <w:tc>
          <w:tcPr>
            <w:tcW w:w="1460"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4" w:type="dxa"/>
            <w:vMerge w:val="continue"/>
            <w:vAlign w:val="center"/>
          </w:tcPr>
          <w:p>
            <w:pPr>
              <w:jc w:val="center"/>
              <w:rPr>
                <w:szCs w:val="21"/>
              </w:rPr>
            </w:pPr>
          </w:p>
        </w:tc>
        <w:tc>
          <w:tcPr>
            <w:tcW w:w="1089" w:type="dxa"/>
            <w:vMerge w:val="continue"/>
            <w:vAlign w:val="center"/>
          </w:tcPr>
          <w:p>
            <w:pPr>
              <w:jc w:val="center"/>
              <w:rPr>
                <w:szCs w:val="21"/>
              </w:rPr>
            </w:pPr>
          </w:p>
        </w:tc>
        <w:tc>
          <w:tcPr>
            <w:tcW w:w="1356" w:type="dxa"/>
          </w:tcPr>
          <w:p>
            <w:pPr>
              <w:pStyle w:val="74"/>
              <w:jc w:val="center"/>
              <w:rPr>
                <w:rFonts w:ascii="Times New Roman" w:hAnsi="Times New Roman" w:cs="Times New Roman"/>
                <w:sz w:val="21"/>
                <w:szCs w:val="21"/>
              </w:rPr>
            </w:pPr>
            <w:r>
              <w:rPr>
                <w:rFonts w:hint="eastAsia"/>
                <w:szCs w:val="21"/>
              </w:rPr>
              <w:t>＞</w:t>
            </w:r>
            <w:r>
              <w:rPr>
                <w:rFonts w:ascii="Times New Roman" w:hAnsi="Times New Roman" w:cs="Times New Roman"/>
                <w:sz w:val="21"/>
                <w:szCs w:val="21"/>
              </w:rPr>
              <w:t>28</w:t>
            </w:r>
          </w:p>
        </w:tc>
        <w:tc>
          <w:tcPr>
            <w:tcW w:w="1459" w:type="dxa"/>
          </w:tcPr>
          <w:p>
            <w:pPr>
              <w:pStyle w:val="74"/>
              <w:jc w:val="center"/>
              <w:rPr>
                <w:rFonts w:ascii="Times New Roman" w:hAnsi="Times New Roman" w:cs="Times New Roman"/>
                <w:sz w:val="21"/>
                <w:szCs w:val="21"/>
              </w:rPr>
            </w:pPr>
            <w:r>
              <w:rPr>
                <w:rFonts w:ascii="Times New Roman" w:hAnsi="Times New Roman" w:cs="Times New Roman"/>
                <w:sz w:val="21"/>
                <w:szCs w:val="21"/>
              </w:rPr>
              <w:t>1次/10d</w:t>
            </w:r>
          </w:p>
        </w:tc>
        <w:tc>
          <w:tcPr>
            <w:tcW w:w="1460" w:type="dxa"/>
          </w:tcPr>
          <w:p>
            <w:pPr>
              <w:pStyle w:val="74"/>
              <w:jc w:val="center"/>
              <w:rPr>
                <w:rFonts w:ascii="Times New Roman" w:hAnsi="Times New Roman" w:cs="Times New Roman"/>
                <w:sz w:val="21"/>
                <w:szCs w:val="21"/>
              </w:rPr>
            </w:pPr>
            <w:r>
              <w:rPr>
                <w:rFonts w:ascii="Times New Roman" w:hAnsi="Times New Roman" w:cs="Times New Roman"/>
                <w:sz w:val="21"/>
                <w:szCs w:val="21"/>
              </w:rPr>
              <w:t>1次/10d</w:t>
            </w:r>
          </w:p>
        </w:tc>
        <w:tc>
          <w:tcPr>
            <w:tcW w:w="1460" w:type="dxa"/>
            <w:vAlign w:val="center"/>
          </w:tcPr>
          <w:p>
            <w:pPr>
              <w:jc w:val="center"/>
              <w:rPr>
                <w:szCs w:val="21"/>
              </w:rPr>
            </w:pPr>
          </w:p>
        </w:tc>
        <w:tc>
          <w:tcPr>
            <w:tcW w:w="1460" w:type="dxa"/>
            <w:vAlign w:val="center"/>
          </w:tcPr>
          <w:p>
            <w:pPr>
              <w:jc w:val="center"/>
              <w:rPr>
                <w:szCs w:val="21"/>
              </w:rPr>
            </w:pPr>
          </w:p>
        </w:tc>
      </w:tr>
    </w:tbl>
    <w:p>
      <w:pPr>
        <w:autoSpaceDE w:val="0"/>
        <w:autoSpaceDN w:val="0"/>
        <w:adjustRightInd w:val="0"/>
        <w:spacing w:before="140" w:after="140"/>
        <w:rPr>
          <w:color w:val="000000"/>
          <w:kern w:val="0"/>
          <w:szCs w:val="21"/>
        </w:rPr>
      </w:pPr>
      <w:r>
        <w:rPr>
          <w:color w:val="000000"/>
          <w:kern w:val="0"/>
          <w:szCs w:val="21"/>
        </w:rPr>
        <w:t xml:space="preserve">注：1 当基坑工程等级为三级时，监测频率可视具体情况要求适当降低； </w:t>
      </w:r>
    </w:p>
    <w:p>
      <w:pPr>
        <w:autoSpaceDE w:val="0"/>
        <w:autoSpaceDN w:val="0"/>
        <w:adjustRightInd w:val="0"/>
        <w:spacing w:before="140" w:after="140"/>
        <w:ind w:left="420" w:leftChars="200"/>
        <w:jc w:val="left"/>
        <w:rPr>
          <w:color w:val="000000"/>
          <w:kern w:val="0"/>
          <w:szCs w:val="21"/>
        </w:rPr>
      </w:pPr>
      <w:r>
        <w:rPr>
          <w:color w:val="000000"/>
          <w:kern w:val="0"/>
          <w:szCs w:val="21"/>
        </w:rPr>
        <w:t xml:space="preserve">2 基坑工程施工至开挖前的监测频率视具体情况确定； </w:t>
      </w:r>
    </w:p>
    <w:p>
      <w:pPr>
        <w:autoSpaceDE w:val="0"/>
        <w:autoSpaceDN w:val="0"/>
        <w:adjustRightInd w:val="0"/>
        <w:spacing w:before="140" w:after="140"/>
        <w:ind w:left="420" w:leftChars="200"/>
        <w:jc w:val="left"/>
        <w:rPr>
          <w:color w:val="000000"/>
          <w:kern w:val="0"/>
          <w:szCs w:val="21"/>
        </w:rPr>
      </w:pPr>
      <w:r>
        <w:rPr>
          <w:color w:val="000000"/>
          <w:kern w:val="0"/>
          <w:szCs w:val="21"/>
        </w:rPr>
        <w:t xml:space="preserve">3 宜测、可测项目的仪器监测频率可视具体情况要求适当降低； </w:t>
      </w:r>
    </w:p>
    <w:p>
      <w:pPr>
        <w:ind w:left="420" w:leftChars="200"/>
        <w:jc w:val="left"/>
        <w:rPr>
          <w:b/>
          <w:sz w:val="24"/>
        </w:rPr>
      </w:pPr>
      <w:r>
        <w:rPr>
          <w:kern w:val="0"/>
          <w:szCs w:val="21"/>
        </w:rPr>
        <w:t>4 有支撑的支护结构各道支撑开始拆除到拆除完成后3d内监测频率应为1次/1d。</w:t>
      </w:r>
    </w:p>
    <w:p>
      <w:pPr>
        <w:spacing w:line="360" w:lineRule="auto"/>
        <w:rPr>
          <w:sz w:val="24"/>
        </w:rPr>
      </w:pPr>
      <w:r>
        <w:rPr>
          <w:b/>
          <w:sz w:val="24"/>
        </w:rPr>
        <w:t>8.4.</w:t>
      </w:r>
      <w:r>
        <w:rPr>
          <w:rFonts w:hint="eastAsia"/>
          <w:b/>
          <w:sz w:val="24"/>
        </w:rPr>
        <w:t>2</w:t>
      </w:r>
      <w:r>
        <w:rPr>
          <w:sz w:val="24"/>
        </w:rPr>
        <w:t xml:space="preserve">  </w:t>
      </w:r>
      <w:r>
        <w:rPr>
          <w:rFonts w:hint="eastAsia"/>
          <w:sz w:val="24"/>
        </w:rPr>
        <w:t xml:space="preserve">当出现下列情况之一时，应加强监测，提高监测频率，并及时向委托方及相关单位报告监测结果： </w:t>
      </w:r>
    </w:p>
    <w:p>
      <w:pPr>
        <w:spacing w:line="360" w:lineRule="auto"/>
        <w:ind w:firstLine="480" w:firstLineChars="200"/>
        <w:rPr>
          <w:sz w:val="24"/>
        </w:rPr>
      </w:pPr>
      <w:r>
        <w:rPr>
          <w:rFonts w:hint="eastAsia"/>
          <w:sz w:val="24"/>
        </w:rPr>
        <w:t>1  监测数据达到报警值；</w:t>
      </w:r>
    </w:p>
    <w:p>
      <w:pPr>
        <w:spacing w:line="360" w:lineRule="auto"/>
        <w:ind w:firstLine="480" w:firstLineChars="200"/>
        <w:rPr>
          <w:sz w:val="24"/>
        </w:rPr>
      </w:pPr>
      <w:r>
        <w:rPr>
          <w:rFonts w:hint="eastAsia"/>
          <w:sz w:val="24"/>
        </w:rPr>
        <w:t>2  监测数据变化量较大或者速率加快；</w:t>
      </w:r>
    </w:p>
    <w:p>
      <w:pPr>
        <w:spacing w:line="360" w:lineRule="auto"/>
        <w:ind w:firstLine="480" w:firstLineChars="200"/>
        <w:rPr>
          <w:sz w:val="24"/>
        </w:rPr>
      </w:pPr>
      <w:r>
        <w:rPr>
          <w:rFonts w:hint="eastAsia"/>
          <w:sz w:val="24"/>
        </w:rPr>
        <w:t>3  存在勘察中未发现的不良地质条件；</w:t>
      </w:r>
    </w:p>
    <w:p>
      <w:pPr>
        <w:spacing w:line="360" w:lineRule="auto"/>
        <w:ind w:firstLine="480" w:firstLineChars="200"/>
        <w:rPr>
          <w:sz w:val="24"/>
        </w:rPr>
      </w:pPr>
      <w:r>
        <w:rPr>
          <w:rFonts w:hint="eastAsia"/>
          <w:sz w:val="24"/>
        </w:rPr>
        <w:t>4  超深、超长开挖或未及时加撑等未按设计施工；</w:t>
      </w:r>
    </w:p>
    <w:p>
      <w:pPr>
        <w:spacing w:line="360" w:lineRule="auto"/>
        <w:ind w:firstLine="480" w:firstLineChars="200"/>
        <w:rPr>
          <w:sz w:val="24"/>
        </w:rPr>
      </w:pPr>
      <w:r>
        <w:rPr>
          <w:rFonts w:hint="eastAsia"/>
          <w:sz w:val="24"/>
        </w:rPr>
        <w:t>5  基坑及周边大量积水、长时间连续降雨、市政管道出现泄漏；</w:t>
      </w:r>
    </w:p>
    <w:p>
      <w:pPr>
        <w:spacing w:line="360" w:lineRule="auto"/>
        <w:ind w:firstLine="480" w:firstLineChars="200"/>
        <w:rPr>
          <w:sz w:val="24"/>
        </w:rPr>
      </w:pPr>
      <w:r>
        <w:rPr>
          <w:rFonts w:hint="eastAsia"/>
          <w:sz w:val="24"/>
        </w:rPr>
        <w:t>6  基坑附近地面荷载突然增大或超过设计限值；</w:t>
      </w:r>
    </w:p>
    <w:p>
      <w:pPr>
        <w:spacing w:line="360" w:lineRule="auto"/>
        <w:ind w:firstLine="480" w:firstLineChars="200"/>
        <w:rPr>
          <w:sz w:val="24"/>
        </w:rPr>
      </w:pPr>
      <w:r>
        <w:rPr>
          <w:rFonts w:hint="eastAsia"/>
          <w:sz w:val="24"/>
        </w:rPr>
        <w:t>7  支护结构出现开裂；</w:t>
      </w:r>
    </w:p>
    <w:p>
      <w:pPr>
        <w:spacing w:line="360" w:lineRule="auto"/>
        <w:ind w:firstLine="480" w:firstLineChars="200"/>
        <w:rPr>
          <w:sz w:val="24"/>
        </w:rPr>
      </w:pPr>
      <w:r>
        <w:rPr>
          <w:rFonts w:hint="eastAsia"/>
          <w:sz w:val="24"/>
        </w:rPr>
        <w:t>8  周边地面出现突然较大沉降或严重开裂；</w:t>
      </w:r>
    </w:p>
    <w:p>
      <w:pPr>
        <w:spacing w:line="360" w:lineRule="auto"/>
        <w:ind w:firstLine="480" w:firstLineChars="200"/>
        <w:rPr>
          <w:sz w:val="24"/>
        </w:rPr>
      </w:pPr>
      <w:r>
        <w:rPr>
          <w:rFonts w:hint="eastAsia"/>
          <w:sz w:val="24"/>
        </w:rPr>
        <w:t>9  邻近的建筑物出现突然较大沉降、不均匀沉降或严重开裂；</w:t>
      </w:r>
    </w:p>
    <w:p>
      <w:pPr>
        <w:spacing w:line="360" w:lineRule="auto"/>
        <w:ind w:firstLine="480" w:firstLineChars="200"/>
        <w:rPr>
          <w:sz w:val="24"/>
        </w:rPr>
      </w:pPr>
      <w:r>
        <w:rPr>
          <w:rFonts w:hint="eastAsia"/>
          <w:sz w:val="24"/>
        </w:rPr>
        <w:t>10 基坑底部、坡体或支护结构出现管涌、渗漏或流砂等现象；</w:t>
      </w:r>
    </w:p>
    <w:p>
      <w:pPr>
        <w:spacing w:line="360" w:lineRule="auto"/>
        <w:ind w:firstLine="480" w:firstLineChars="200"/>
        <w:rPr>
          <w:sz w:val="24"/>
        </w:rPr>
      </w:pPr>
      <w:r>
        <w:rPr>
          <w:rFonts w:hint="eastAsia"/>
          <w:sz w:val="24"/>
        </w:rPr>
        <w:t>11 基坑工程发生事故后重新组织施工；</w:t>
      </w:r>
    </w:p>
    <w:p>
      <w:pPr>
        <w:spacing w:line="360" w:lineRule="auto"/>
        <w:ind w:firstLine="480" w:firstLineChars="200"/>
        <w:rPr>
          <w:sz w:val="24"/>
        </w:rPr>
      </w:pPr>
      <w:r>
        <w:rPr>
          <w:rFonts w:hint="eastAsia"/>
          <w:sz w:val="24"/>
        </w:rPr>
        <w:t>12 出现其他影响基坑及周边环境安全的异常情况。</w:t>
      </w:r>
    </w:p>
    <w:p>
      <w:pPr>
        <w:spacing w:line="360" w:lineRule="auto"/>
        <w:rPr>
          <w:sz w:val="24"/>
        </w:rPr>
      </w:pPr>
      <w:r>
        <w:rPr>
          <w:b/>
          <w:sz w:val="24"/>
        </w:rPr>
        <w:t>8.4.</w:t>
      </w:r>
      <w:r>
        <w:rPr>
          <w:rFonts w:hint="eastAsia"/>
          <w:b/>
          <w:sz w:val="24"/>
        </w:rPr>
        <w:t>3</w:t>
      </w:r>
      <w:r>
        <w:rPr>
          <w:sz w:val="24"/>
        </w:rPr>
        <w:t xml:space="preserve">  </w:t>
      </w:r>
      <w:r>
        <w:rPr>
          <w:rFonts w:hint="eastAsia"/>
          <w:sz w:val="24"/>
        </w:rPr>
        <w:t>基坑及支护结构监测</w:t>
      </w:r>
      <w:r>
        <w:rPr>
          <w:sz w:val="24"/>
        </w:rPr>
        <w:t>报警值</w:t>
      </w:r>
      <w:r>
        <w:rPr>
          <w:rFonts w:hint="eastAsia"/>
          <w:sz w:val="24"/>
        </w:rPr>
        <w:t>应根据地质条件、环境条件、设计结果及当地经验等因素确定；当无当地经验时，可参考表8.4.3确定：</w:t>
      </w:r>
    </w:p>
    <w:p>
      <w:pPr>
        <w:spacing w:line="360" w:lineRule="auto"/>
        <w:sectPr>
          <w:pgSz w:w="11907" w:h="16840"/>
          <w:pgMar w:top="1418" w:right="1134" w:bottom="1134" w:left="1701" w:header="851" w:footer="851" w:gutter="0"/>
          <w:cols w:space="720" w:num="1"/>
          <w:docGrid w:linePitch="312" w:charSpace="0"/>
        </w:sectPr>
      </w:pPr>
    </w:p>
    <w:p>
      <w:pPr>
        <w:spacing w:line="360" w:lineRule="auto"/>
        <w:jc w:val="center"/>
        <w:rPr>
          <w:b/>
          <w:sz w:val="24"/>
        </w:rPr>
      </w:pPr>
      <w:r>
        <w:rPr>
          <w:b/>
          <w:sz w:val="24"/>
        </w:rPr>
        <w:t>表8.4.</w:t>
      </w:r>
      <w:r>
        <w:rPr>
          <w:rFonts w:hint="eastAsia"/>
          <w:b/>
          <w:sz w:val="24"/>
        </w:rPr>
        <w:t>3</w:t>
      </w:r>
      <w:r>
        <w:rPr>
          <w:b/>
          <w:sz w:val="24"/>
        </w:rPr>
        <w:t>　 基坑</w:t>
      </w:r>
      <w:r>
        <w:rPr>
          <w:rFonts w:hint="eastAsia"/>
          <w:b/>
          <w:sz w:val="24"/>
        </w:rPr>
        <w:t>及支</w:t>
      </w:r>
      <w:r>
        <w:rPr>
          <w:b/>
          <w:sz w:val="24"/>
        </w:rPr>
        <w:t>护结构监测报警值</w:t>
      </w:r>
    </w:p>
    <w:tbl>
      <w:tblPr>
        <w:tblStyle w:val="2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2221"/>
        <w:gridCol w:w="984"/>
        <w:gridCol w:w="1559"/>
        <w:gridCol w:w="1134"/>
        <w:gridCol w:w="992"/>
        <w:gridCol w:w="1559"/>
        <w:gridCol w:w="1134"/>
        <w:gridCol w:w="993"/>
        <w:gridCol w:w="155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Merge w:val="restart"/>
            <w:shd w:val="clear" w:color="auto" w:fill="auto"/>
            <w:vAlign w:val="center"/>
          </w:tcPr>
          <w:p>
            <w:pPr>
              <w:spacing w:line="276" w:lineRule="auto"/>
              <w:ind w:left="-105" w:leftChars="-50" w:right="-105" w:rightChars="-50"/>
              <w:jc w:val="center"/>
            </w:pPr>
            <w:r>
              <w:t>监测项目</w:t>
            </w:r>
          </w:p>
        </w:tc>
        <w:tc>
          <w:tcPr>
            <w:tcW w:w="2221" w:type="dxa"/>
            <w:vMerge w:val="restart"/>
            <w:shd w:val="clear" w:color="auto" w:fill="auto"/>
            <w:vAlign w:val="center"/>
          </w:tcPr>
          <w:p>
            <w:pPr>
              <w:spacing w:line="276" w:lineRule="auto"/>
              <w:ind w:left="-105" w:leftChars="-50" w:right="-105" w:rightChars="-50"/>
              <w:jc w:val="center"/>
            </w:pPr>
            <w:r>
              <w:t>支护结构类型</w:t>
            </w:r>
          </w:p>
        </w:tc>
        <w:tc>
          <w:tcPr>
            <w:tcW w:w="11048" w:type="dxa"/>
            <w:gridSpan w:val="9"/>
            <w:shd w:val="clear" w:color="auto" w:fill="auto"/>
            <w:vAlign w:val="center"/>
          </w:tcPr>
          <w:p>
            <w:pPr>
              <w:spacing w:line="276" w:lineRule="auto"/>
              <w:ind w:left="-105" w:leftChars="-50" w:right="-105" w:rightChars="-50"/>
              <w:jc w:val="center"/>
            </w:pPr>
            <w:r>
              <w:t>基坑类别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Merge w:val="continue"/>
            <w:shd w:val="clear" w:color="auto" w:fill="auto"/>
            <w:vAlign w:val="center"/>
          </w:tcPr>
          <w:p>
            <w:pPr>
              <w:spacing w:line="276" w:lineRule="auto"/>
              <w:ind w:left="-105" w:leftChars="-50" w:right="-105" w:rightChars="-50"/>
              <w:jc w:val="center"/>
            </w:pPr>
          </w:p>
        </w:tc>
        <w:tc>
          <w:tcPr>
            <w:tcW w:w="2221" w:type="dxa"/>
            <w:vMerge w:val="continue"/>
            <w:shd w:val="clear" w:color="auto" w:fill="auto"/>
            <w:vAlign w:val="center"/>
          </w:tcPr>
          <w:p>
            <w:pPr>
              <w:spacing w:line="276" w:lineRule="auto"/>
              <w:ind w:left="-105" w:leftChars="-50" w:right="-105" w:rightChars="-50"/>
              <w:jc w:val="center"/>
            </w:pPr>
          </w:p>
        </w:tc>
        <w:tc>
          <w:tcPr>
            <w:tcW w:w="3677" w:type="dxa"/>
            <w:gridSpan w:val="3"/>
            <w:shd w:val="clear" w:color="auto" w:fill="auto"/>
            <w:vAlign w:val="center"/>
          </w:tcPr>
          <w:p>
            <w:pPr>
              <w:spacing w:line="276" w:lineRule="auto"/>
              <w:ind w:left="-105" w:leftChars="-50" w:right="-105" w:rightChars="-50"/>
              <w:jc w:val="center"/>
            </w:pPr>
            <w:r>
              <w:t>一级</w:t>
            </w:r>
          </w:p>
        </w:tc>
        <w:tc>
          <w:tcPr>
            <w:tcW w:w="3685" w:type="dxa"/>
            <w:gridSpan w:val="3"/>
            <w:shd w:val="clear" w:color="auto" w:fill="auto"/>
            <w:vAlign w:val="center"/>
          </w:tcPr>
          <w:p>
            <w:pPr>
              <w:spacing w:line="276" w:lineRule="auto"/>
              <w:ind w:left="-105" w:leftChars="-50" w:right="-105" w:rightChars="-50"/>
              <w:jc w:val="center"/>
            </w:pPr>
            <w:r>
              <w:t>二级</w:t>
            </w:r>
          </w:p>
        </w:tc>
        <w:tc>
          <w:tcPr>
            <w:tcW w:w="3686" w:type="dxa"/>
            <w:gridSpan w:val="3"/>
            <w:shd w:val="clear" w:color="auto" w:fill="auto"/>
            <w:vAlign w:val="center"/>
          </w:tcPr>
          <w:p>
            <w:pPr>
              <w:spacing w:line="276" w:lineRule="auto"/>
              <w:ind w:left="-105" w:leftChars="-50" w:right="-105" w:rightChars="-50"/>
              <w:jc w:val="center"/>
            </w:pPr>
            <w: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Merge w:val="continue"/>
            <w:shd w:val="clear" w:color="auto" w:fill="auto"/>
            <w:vAlign w:val="center"/>
          </w:tcPr>
          <w:p>
            <w:pPr>
              <w:spacing w:line="276" w:lineRule="auto"/>
              <w:ind w:left="-105" w:leftChars="-50" w:right="-105" w:rightChars="-50"/>
              <w:jc w:val="center"/>
            </w:pPr>
          </w:p>
        </w:tc>
        <w:tc>
          <w:tcPr>
            <w:tcW w:w="2221" w:type="dxa"/>
            <w:vMerge w:val="continue"/>
            <w:shd w:val="clear" w:color="auto" w:fill="auto"/>
            <w:vAlign w:val="center"/>
          </w:tcPr>
          <w:p>
            <w:pPr>
              <w:spacing w:line="276" w:lineRule="auto"/>
              <w:ind w:left="-105" w:leftChars="-50" w:right="-105" w:rightChars="-50"/>
              <w:jc w:val="center"/>
            </w:pPr>
          </w:p>
        </w:tc>
        <w:tc>
          <w:tcPr>
            <w:tcW w:w="2543" w:type="dxa"/>
            <w:gridSpan w:val="2"/>
            <w:shd w:val="clear" w:color="auto" w:fill="auto"/>
            <w:vAlign w:val="center"/>
          </w:tcPr>
          <w:p>
            <w:pPr>
              <w:spacing w:line="276" w:lineRule="auto"/>
              <w:ind w:left="-105" w:leftChars="-50" w:right="-105" w:rightChars="-50"/>
              <w:jc w:val="center"/>
            </w:pPr>
            <w:r>
              <w:t>累计值</w:t>
            </w:r>
          </w:p>
        </w:tc>
        <w:tc>
          <w:tcPr>
            <w:tcW w:w="1134" w:type="dxa"/>
            <w:vMerge w:val="restart"/>
            <w:shd w:val="clear" w:color="auto" w:fill="auto"/>
            <w:vAlign w:val="center"/>
          </w:tcPr>
          <w:p>
            <w:pPr>
              <w:spacing w:line="276" w:lineRule="auto"/>
              <w:ind w:left="-105" w:leftChars="-50" w:right="-105" w:rightChars="-50"/>
              <w:jc w:val="center"/>
            </w:pPr>
            <w:r>
              <w:t>变化速率(mm/d)</w:t>
            </w:r>
          </w:p>
        </w:tc>
        <w:tc>
          <w:tcPr>
            <w:tcW w:w="2551" w:type="dxa"/>
            <w:gridSpan w:val="2"/>
            <w:shd w:val="clear" w:color="auto" w:fill="auto"/>
            <w:vAlign w:val="center"/>
          </w:tcPr>
          <w:p>
            <w:pPr>
              <w:spacing w:line="276" w:lineRule="auto"/>
              <w:ind w:left="-105" w:leftChars="-50" w:right="-105" w:rightChars="-50"/>
              <w:jc w:val="center"/>
            </w:pPr>
            <w:r>
              <w:t>累计值</w:t>
            </w:r>
          </w:p>
        </w:tc>
        <w:tc>
          <w:tcPr>
            <w:tcW w:w="1134" w:type="dxa"/>
            <w:vMerge w:val="restart"/>
            <w:shd w:val="clear" w:color="auto" w:fill="auto"/>
            <w:vAlign w:val="center"/>
          </w:tcPr>
          <w:p>
            <w:pPr>
              <w:spacing w:line="276" w:lineRule="auto"/>
              <w:ind w:left="-105" w:leftChars="-50" w:right="-105" w:rightChars="-50"/>
              <w:jc w:val="center"/>
            </w:pPr>
            <w:r>
              <w:t>变化速率(mm/d)</w:t>
            </w:r>
          </w:p>
        </w:tc>
        <w:tc>
          <w:tcPr>
            <w:tcW w:w="2552" w:type="dxa"/>
            <w:gridSpan w:val="2"/>
            <w:shd w:val="clear" w:color="auto" w:fill="auto"/>
            <w:vAlign w:val="center"/>
          </w:tcPr>
          <w:p>
            <w:pPr>
              <w:spacing w:line="276" w:lineRule="auto"/>
              <w:ind w:left="-105" w:leftChars="-50" w:right="-105" w:rightChars="-50"/>
              <w:jc w:val="center"/>
            </w:pPr>
            <w:r>
              <w:t>累计值</w:t>
            </w:r>
          </w:p>
        </w:tc>
        <w:tc>
          <w:tcPr>
            <w:tcW w:w="1134" w:type="dxa"/>
            <w:vMerge w:val="restart"/>
            <w:shd w:val="clear" w:color="auto" w:fill="auto"/>
            <w:vAlign w:val="center"/>
          </w:tcPr>
          <w:p>
            <w:pPr>
              <w:spacing w:line="276" w:lineRule="auto"/>
              <w:ind w:left="-105" w:leftChars="-50" w:right="-105" w:rightChars="-50"/>
              <w:jc w:val="center"/>
            </w:pPr>
            <w:r>
              <w:t>变化速率(mm/d)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Merge w:val="continue"/>
            <w:shd w:val="clear" w:color="auto" w:fill="auto"/>
            <w:vAlign w:val="center"/>
          </w:tcPr>
          <w:p>
            <w:pPr>
              <w:spacing w:line="276" w:lineRule="auto"/>
              <w:ind w:left="-105" w:leftChars="-50" w:right="-105" w:rightChars="-50"/>
              <w:jc w:val="center"/>
            </w:pPr>
          </w:p>
        </w:tc>
        <w:tc>
          <w:tcPr>
            <w:tcW w:w="2221" w:type="dxa"/>
            <w:vMerge w:val="continue"/>
            <w:shd w:val="clear" w:color="auto" w:fill="auto"/>
            <w:vAlign w:val="center"/>
          </w:tcPr>
          <w:p>
            <w:pPr>
              <w:spacing w:line="276" w:lineRule="auto"/>
              <w:ind w:left="-105" w:leftChars="-50" w:right="-105" w:rightChars="-50"/>
              <w:jc w:val="center"/>
            </w:pPr>
          </w:p>
        </w:tc>
        <w:tc>
          <w:tcPr>
            <w:tcW w:w="984" w:type="dxa"/>
            <w:shd w:val="clear" w:color="auto" w:fill="auto"/>
            <w:vAlign w:val="center"/>
          </w:tcPr>
          <w:p>
            <w:pPr>
              <w:ind w:left="-105" w:leftChars="-50" w:right="-105" w:rightChars="-50"/>
              <w:jc w:val="center"/>
            </w:pPr>
            <w:r>
              <w:t>绝对值（mm）</w:t>
            </w:r>
          </w:p>
        </w:tc>
        <w:tc>
          <w:tcPr>
            <w:tcW w:w="1559" w:type="dxa"/>
            <w:shd w:val="clear" w:color="auto" w:fill="auto"/>
            <w:vAlign w:val="center"/>
          </w:tcPr>
          <w:p>
            <w:pPr>
              <w:ind w:left="-105" w:leftChars="-50" w:right="-105" w:rightChars="-50"/>
              <w:jc w:val="center"/>
            </w:pPr>
            <w:r>
              <w:t>相对基坑深度（h）控制值</w:t>
            </w:r>
          </w:p>
        </w:tc>
        <w:tc>
          <w:tcPr>
            <w:tcW w:w="1134" w:type="dxa"/>
            <w:vMerge w:val="continue"/>
            <w:shd w:val="clear" w:color="auto" w:fill="auto"/>
            <w:vAlign w:val="center"/>
          </w:tcPr>
          <w:p>
            <w:pPr>
              <w:spacing w:line="276" w:lineRule="auto"/>
              <w:ind w:left="-105" w:leftChars="-50" w:right="-105" w:rightChars="-50"/>
              <w:jc w:val="center"/>
            </w:pPr>
          </w:p>
        </w:tc>
        <w:tc>
          <w:tcPr>
            <w:tcW w:w="992" w:type="dxa"/>
            <w:shd w:val="clear" w:color="auto" w:fill="auto"/>
            <w:vAlign w:val="center"/>
          </w:tcPr>
          <w:p>
            <w:pPr>
              <w:ind w:left="-105" w:leftChars="-50" w:right="-105" w:rightChars="-50"/>
              <w:jc w:val="center"/>
            </w:pPr>
            <w:r>
              <w:t>绝对值（mm）</w:t>
            </w:r>
          </w:p>
        </w:tc>
        <w:tc>
          <w:tcPr>
            <w:tcW w:w="1559" w:type="dxa"/>
            <w:shd w:val="clear" w:color="auto" w:fill="auto"/>
            <w:vAlign w:val="center"/>
          </w:tcPr>
          <w:p>
            <w:pPr>
              <w:ind w:left="-105" w:leftChars="-50" w:right="-105" w:rightChars="-50"/>
              <w:jc w:val="center"/>
            </w:pPr>
            <w:r>
              <w:t>相对基坑深度（h）控制值</w:t>
            </w:r>
          </w:p>
        </w:tc>
        <w:tc>
          <w:tcPr>
            <w:tcW w:w="1134" w:type="dxa"/>
            <w:vMerge w:val="continue"/>
            <w:shd w:val="clear" w:color="auto" w:fill="auto"/>
            <w:vAlign w:val="center"/>
          </w:tcPr>
          <w:p>
            <w:pPr>
              <w:spacing w:line="276" w:lineRule="auto"/>
              <w:ind w:left="-105" w:leftChars="-50" w:right="-105" w:rightChars="-50"/>
              <w:jc w:val="center"/>
            </w:pPr>
          </w:p>
        </w:tc>
        <w:tc>
          <w:tcPr>
            <w:tcW w:w="993" w:type="dxa"/>
            <w:shd w:val="clear" w:color="auto" w:fill="auto"/>
            <w:vAlign w:val="center"/>
          </w:tcPr>
          <w:p>
            <w:pPr>
              <w:ind w:left="-105" w:leftChars="-50" w:right="-105" w:rightChars="-50"/>
              <w:jc w:val="center"/>
            </w:pPr>
            <w:r>
              <w:t>绝对值（mm）</w:t>
            </w:r>
          </w:p>
        </w:tc>
        <w:tc>
          <w:tcPr>
            <w:tcW w:w="1559" w:type="dxa"/>
            <w:shd w:val="clear" w:color="auto" w:fill="auto"/>
            <w:vAlign w:val="center"/>
          </w:tcPr>
          <w:p>
            <w:pPr>
              <w:ind w:left="-105" w:leftChars="-50" w:right="-105" w:rightChars="-50"/>
              <w:jc w:val="center"/>
            </w:pPr>
            <w:r>
              <w:t>相对基坑深度（h）控制值</w:t>
            </w:r>
          </w:p>
        </w:tc>
        <w:tc>
          <w:tcPr>
            <w:tcW w:w="1134" w:type="dxa"/>
            <w:vMerge w:val="continue"/>
            <w:shd w:val="clear" w:color="auto" w:fill="auto"/>
            <w:vAlign w:val="center"/>
          </w:tcPr>
          <w:p>
            <w:pPr>
              <w:spacing w:line="276" w:lineRule="auto"/>
              <w:ind w:left="-105" w:leftChars="-50" w:right="-105" w:rightChars="-5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Merge w:val="restart"/>
            <w:shd w:val="clear" w:color="auto" w:fill="auto"/>
            <w:vAlign w:val="center"/>
          </w:tcPr>
          <w:p>
            <w:pPr>
              <w:spacing w:line="276" w:lineRule="auto"/>
              <w:ind w:left="-105" w:leftChars="-50" w:right="-105" w:rightChars="-50"/>
              <w:jc w:val="center"/>
            </w:pPr>
            <w:r>
              <w:rPr>
                <w:rFonts w:hint="eastAsia"/>
              </w:rPr>
              <w:t>顶部</w:t>
            </w:r>
            <w:r>
              <w:t>水平位移</w:t>
            </w:r>
          </w:p>
        </w:tc>
        <w:tc>
          <w:tcPr>
            <w:tcW w:w="2221" w:type="dxa"/>
            <w:shd w:val="clear" w:color="auto" w:fill="auto"/>
            <w:vAlign w:val="center"/>
          </w:tcPr>
          <w:p>
            <w:pPr>
              <w:ind w:left="-105" w:leftChars="-50" w:right="-105" w:rightChars="-50"/>
              <w:jc w:val="center"/>
            </w:pPr>
            <w:r>
              <w:t>放坡、土钉墙、喷锚支护</w:t>
            </w:r>
          </w:p>
        </w:tc>
        <w:tc>
          <w:tcPr>
            <w:tcW w:w="984" w:type="dxa"/>
            <w:shd w:val="clear" w:color="auto" w:fill="auto"/>
            <w:vAlign w:val="center"/>
          </w:tcPr>
          <w:p>
            <w:pPr>
              <w:spacing w:line="276" w:lineRule="auto"/>
              <w:ind w:left="-105" w:leftChars="-50" w:right="-105" w:rightChars="-50"/>
              <w:jc w:val="center"/>
            </w:pPr>
            <w:r>
              <w:t>30～35</w:t>
            </w:r>
          </w:p>
        </w:tc>
        <w:tc>
          <w:tcPr>
            <w:tcW w:w="1559" w:type="dxa"/>
            <w:shd w:val="clear" w:color="auto" w:fill="auto"/>
            <w:vAlign w:val="center"/>
          </w:tcPr>
          <w:p>
            <w:pPr>
              <w:spacing w:line="276" w:lineRule="auto"/>
              <w:ind w:left="-105" w:leftChars="-50" w:right="-105" w:rightChars="-50"/>
              <w:jc w:val="center"/>
            </w:pPr>
            <w:r>
              <w:t>0.3%～0.4%</w:t>
            </w:r>
          </w:p>
        </w:tc>
        <w:tc>
          <w:tcPr>
            <w:tcW w:w="1134" w:type="dxa"/>
            <w:shd w:val="clear" w:color="auto" w:fill="auto"/>
            <w:vAlign w:val="center"/>
          </w:tcPr>
          <w:p>
            <w:pPr>
              <w:spacing w:line="276" w:lineRule="auto"/>
              <w:ind w:left="-105" w:leftChars="-50" w:right="-105" w:rightChars="-50"/>
              <w:jc w:val="center"/>
            </w:pPr>
            <w:r>
              <w:t>5～10</w:t>
            </w:r>
          </w:p>
        </w:tc>
        <w:tc>
          <w:tcPr>
            <w:tcW w:w="992" w:type="dxa"/>
            <w:shd w:val="clear" w:color="auto" w:fill="auto"/>
            <w:vAlign w:val="center"/>
          </w:tcPr>
          <w:p>
            <w:pPr>
              <w:spacing w:line="276" w:lineRule="auto"/>
              <w:ind w:left="-105" w:leftChars="-50" w:right="-105" w:rightChars="-50"/>
              <w:jc w:val="center"/>
            </w:pPr>
            <w:r>
              <w:t>50～60</w:t>
            </w:r>
          </w:p>
        </w:tc>
        <w:tc>
          <w:tcPr>
            <w:tcW w:w="1559" w:type="dxa"/>
            <w:shd w:val="clear" w:color="auto" w:fill="auto"/>
            <w:vAlign w:val="center"/>
          </w:tcPr>
          <w:p>
            <w:pPr>
              <w:spacing w:line="276" w:lineRule="auto"/>
              <w:ind w:left="-105" w:leftChars="-50" w:right="-105" w:rightChars="-50"/>
              <w:jc w:val="center"/>
            </w:pPr>
            <w:r>
              <w:t>0.6%～0.8%</w:t>
            </w:r>
          </w:p>
        </w:tc>
        <w:tc>
          <w:tcPr>
            <w:tcW w:w="1134" w:type="dxa"/>
            <w:shd w:val="clear" w:color="auto" w:fill="auto"/>
            <w:vAlign w:val="center"/>
          </w:tcPr>
          <w:p>
            <w:pPr>
              <w:spacing w:line="276" w:lineRule="auto"/>
              <w:ind w:left="-105" w:leftChars="-50" w:right="-105" w:rightChars="-50"/>
              <w:jc w:val="center"/>
            </w:pPr>
            <w:r>
              <w:t>10～15</w:t>
            </w:r>
          </w:p>
        </w:tc>
        <w:tc>
          <w:tcPr>
            <w:tcW w:w="993" w:type="dxa"/>
            <w:shd w:val="clear" w:color="auto" w:fill="auto"/>
            <w:vAlign w:val="center"/>
          </w:tcPr>
          <w:p>
            <w:pPr>
              <w:spacing w:line="276" w:lineRule="auto"/>
              <w:ind w:left="-105" w:leftChars="-50" w:right="-105" w:rightChars="-50"/>
              <w:jc w:val="center"/>
            </w:pPr>
            <w:r>
              <w:t>70～80</w:t>
            </w:r>
          </w:p>
        </w:tc>
        <w:tc>
          <w:tcPr>
            <w:tcW w:w="1559" w:type="dxa"/>
            <w:shd w:val="clear" w:color="auto" w:fill="auto"/>
            <w:vAlign w:val="center"/>
          </w:tcPr>
          <w:p>
            <w:pPr>
              <w:spacing w:line="276" w:lineRule="auto"/>
              <w:ind w:left="-105" w:leftChars="-50" w:right="-105" w:rightChars="-50"/>
              <w:jc w:val="center"/>
            </w:pPr>
            <w:r>
              <w:t>0.8%～1.0%</w:t>
            </w:r>
          </w:p>
        </w:tc>
        <w:tc>
          <w:tcPr>
            <w:tcW w:w="1134" w:type="dxa"/>
            <w:shd w:val="clear" w:color="auto" w:fill="auto"/>
            <w:vAlign w:val="center"/>
          </w:tcPr>
          <w:p>
            <w:pPr>
              <w:spacing w:line="276" w:lineRule="auto"/>
              <w:ind w:left="-105" w:leftChars="-50" w:right="-105" w:rightChars="-50"/>
              <w:jc w:val="center"/>
            </w:pPr>
            <w: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Merge w:val="continue"/>
            <w:shd w:val="clear" w:color="auto" w:fill="auto"/>
            <w:vAlign w:val="center"/>
          </w:tcPr>
          <w:p>
            <w:pPr>
              <w:spacing w:line="276" w:lineRule="auto"/>
              <w:ind w:left="-105" w:leftChars="-50" w:right="-105" w:rightChars="-50"/>
              <w:jc w:val="center"/>
            </w:pPr>
          </w:p>
        </w:tc>
        <w:tc>
          <w:tcPr>
            <w:tcW w:w="2221" w:type="dxa"/>
            <w:shd w:val="clear" w:color="auto" w:fill="auto"/>
            <w:vAlign w:val="center"/>
          </w:tcPr>
          <w:p>
            <w:pPr>
              <w:ind w:left="-105" w:leftChars="-50" w:right="-105" w:rightChars="-50"/>
              <w:jc w:val="center"/>
            </w:pPr>
            <w:r>
              <w:t>钢板桩、灌注桩、型钢水泥土墙、地下连续墙</w:t>
            </w:r>
          </w:p>
        </w:tc>
        <w:tc>
          <w:tcPr>
            <w:tcW w:w="984" w:type="dxa"/>
            <w:shd w:val="clear" w:color="auto" w:fill="auto"/>
            <w:vAlign w:val="center"/>
          </w:tcPr>
          <w:p>
            <w:pPr>
              <w:spacing w:line="276" w:lineRule="auto"/>
              <w:ind w:left="-105" w:leftChars="-50" w:right="-105" w:rightChars="-50"/>
              <w:jc w:val="center"/>
            </w:pPr>
            <w:r>
              <w:t>25～30</w:t>
            </w:r>
          </w:p>
        </w:tc>
        <w:tc>
          <w:tcPr>
            <w:tcW w:w="1559" w:type="dxa"/>
            <w:shd w:val="clear" w:color="auto" w:fill="auto"/>
            <w:vAlign w:val="center"/>
          </w:tcPr>
          <w:p>
            <w:pPr>
              <w:spacing w:line="276" w:lineRule="auto"/>
              <w:ind w:left="-105" w:leftChars="-50" w:right="-105" w:rightChars="-50"/>
              <w:jc w:val="center"/>
            </w:pPr>
            <w:r>
              <w:t>0.2%～0.3%</w:t>
            </w:r>
          </w:p>
        </w:tc>
        <w:tc>
          <w:tcPr>
            <w:tcW w:w="1134" w:type="dxa"/>
            <w:shd w:val="clear" w:color="auto" w:fill="auto"/>
            <w:vAlign w:val="center"/>
          </w:tcPr>
          <w:p>
            <w:pPr>
              <w:spacing w:line="276" w:lineRule="auto"/>
              <w:ind w:left="-105" w:leftChars="-50" w:right="-105" w:rightChars="-50"/>
              <w:jc w:val="center"/>
            </w:pPr>
            <w:r>
              <w:t>2～3</w:t>
            </w:r>
          </w:p>
        </w:tc>
        <w:tc>
          <w:tcPr>
            <w:tcW w:w="992" w:type="dxa"/>
            <w:shd w:val="clear" w:color="auto" w:fill="auto"/>
            <w:vAlign w:val="center"/>
          </w:tcPr>
          <w:p>
            <w:pPr>
              <w:spacing w:line="276" w:lineRule="auto"/>
              <w:ind w:left="-105" w:leftChars="-50" w:right="-105" w:rightChars="-50"/>
              <w:jc w:val="center"/>
            </w:pPr>
            <w:r>
              <w:t>40～50</w:t>
            </w:r>
          </w:p>
        </w:tc>
        <w:tc>
          <w:tcPr>
            <w:tcW w:w="1559" w:type="dxa"/>
            <w:shd w:val="clear" w:color="auto" w:fill="auto"/>
            <w:vAlign w:val="center"/>
          </w:tcPr>
          <w:p>
            <w:pPr>
              <w:spacing w:line="276" w:lineRule="auto"/>
              <w:ind w:left="-105" w:leftChars="-50" w:right="-105" w:rightChars="-50"/>
              <w:jc w:val="center"/>
            </w:pPr>
            <w:r>
              <w:t>0.5%～0.7%</w:t>
            </w:r>
          </w:p>
        </w:tc>
        <w:tc>
          <w:tcPr>
            <w:tcW w:w="1134" w:type="dxa"/>
            <w:shd w:val="clear" w:color="auto" w:fill="auto"/>
            <w:vAlign w:val="center"/>
          </w:tcPr>
          <w:p>
            <w:pPr>
              <w:spacing w:line="276" w:lineRule="auto"/>
              <w:ind w:left="-105" w:leftChars="-50" w:right="-105" w:rightChars="-50"/>
              <w:jc w:val="center"/>
            </w:pPr>
            <w:r>
              <w:t>4～6</w:t>
            </w:r>
          </w:p>
        </w:tc>
        <w:tc>
          <w:tcPr>
            <w:tcW w:w="993" w:type="dxa"/>
            <w:shd w:val="clear" w:color="auto" w:fill="auto"/>
            <w:vAlign w:val="center"/>
          </w:tcPr>
          <w:p>
            <w:pPr>
              <w:spacing w:line="276" w:lineRule="auto"/>
              <w:ind w:left="-105" w:leftChars="-50" w:right="-105" w:rightChars="-50"/>
              <w:jc w:val="center"/>
            </w:pPr>
            <w:r>
              <w:t>60～70</w:t>
            </w:r>
          </w:p>
        </w:tc>
        <w:tc>
          <w:tcPr>
            <w:tcW w:w="1559" w:type="dxa"/>
            <w:shd w:val="clear" w:color="auto" w:fill="auto"/>
            <w:vAlign w:val="center"/>
          </w:tcPr>
          <w:p>
            <w:pPr>
              <w:spacing w:line="276" w:lineRule="auto"/>
              <w:ind w:left="-105" w:leftChars="-50" w:right="-105" w:rightChars="-50"/>
              <w:jc w:val="center"/>
            </w:pPr>
            <w:r>
              <w:t>0.6%～0.8%</w:t>
            </w:r>
          </w:p>
        </w:tc>
        <w:tc>
          <w:tcPr>
            <w:tcW w:w="1134" w:type="dxa"/>
            <w:shd w:val="clear" w:color="auto" w:fill="auto"/>
            <w:vAlign w:val="center"/>
          </w:tcPr>
          <w:p>
            <w:pPr>
              <w:spacing w:line="276" w:lineRule="auto"/>
              <w:ind w:left="-105" w:leftChars="-50" w:right="-105" w:rightChars="-50"/>
              <w:jc w:val="center"/>
            </w:pPr>
            <w: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Merge w:val="restart"/>
            <w:shd w:val="clear" w:color="auto" w:fill="auto"/>
            <w:vAlign w:val="center"/>
          </w:tcPr>
          <w:p>
            <w:pPr>
              <w:spacing w:line="276" w:lineRule="auto"/>
              <w:ind w:left="-105" w:leftChars="-50" w:right="-105" w:rightChars="-50"/>
              <w:jc w:val="center"/>
            </w:pPr>
            <w:r>
              <w:rPr>
                <w:rFonts w:hint="eastAsia"/>
              </w:rPr>
              <w:t>顶部</w:t>
            </w:r>
            <w:r>
              <w:t>竖向位移</w:t>
            </w:r>
          </w:p>
        </w:tc>
        <w:tc>
          <w:tcPr>
            <w:tcW w:w="2221" w:type="dxa"/>
            <w:shd w:val="clear" w:color="auto" w:fill="auto"/>
            <w:vAlign w:val="center"/>
          </w:tcPr>
          <w:p>
            <w:pPr>
              <w:ind w:left="-105" w:leftChars="-50" w:right="-105" w:rightChars="-50"/>
              <w:jc w:val="center"/>
            </w:pPr>
            <w:r>
              <w:t>放坡、土钉墙、喷锚支护</w:t>
            </w:r>
          </w:p>
        </w:tc>
        <w:tc>
          <w:tcPr>
            <w:tcW w:w="984" w:type="dxa"/>
            <w:shd w:val="clear" w:color="auto" w:fill="auto"/>
            <w:vAlign w:val="center"/>
          </w:tcPr>
          <w:p>
            <w:pPr>
              <w:spacing w:line="276" w:lineRule="auto"/>
              <w:ind w:left="-105" w:leftChars="-50" w:right="-105" w:rightChars="-50"/>
              <w:jc w:val="center"/>
            </w:pPr>
            <w:r>
              <w:t>20～40</w:t>
            </w:r>
          </w:p>
        </w:tc>
        <w:tc>
          <w:tcPr>
            <w:tcW w:w="1559" w:type="dxa"/>
            <w:shd w:val="clear" w:color="auto" w:fill="auto"/>
            <w:vAlign w:val="center"/>
          </w:tcPr>
          <w:p>
            <w:pPr>
              <w:spacing w:line="276" w:lineRule="auto"/>
              <w:ind w:left="-105" w:leftChars="-50" w:right="-105" w:rightChars="-50"/>
              <w:jc w:val="center"/>
            </w:pPr>
            <w:r>
              <w:t>0.3%～0.4%</w:t>
            </w:r>
          </w:p>
        </w:tc>
        <w:tc>
          <w:tcPr>
            <w:tcW w:w="1134" w:type="dxa"/>
            <w:shd w:val="clear" w:color="auto" w:fill="auto"/>
            <w:vAlign w:val="center"/>
          </w:tcPr>
          <w:p>
            <w:pPr>
              <w:spacing w:line="276" w:lineRule="auto"/>
              <w:ind w:left="-105" w:leftChars="-50" w:right="-105" w:rightChars="-50"/>
              <w:jc w:val="center"/>
            </w:pPr>
            <w:r>
              <w:t>3～5</w:t>
            </w:r>
          </w:p>
        </w:tc>
        <w:tc>
          <w:tcPr>
            <w:tcW w:w="992" w:type="dxa"/>
            <w:shd w:val="clear" w:color="auto" w:fill="auto"/>
            <w:vAlign w:val="center"/>
          </w:tcPr>
          <w:p>
            <w:pPr>
              <w:spacing w:line="276" w:lineRule="auto"/>
              <w:ind w:left="-105" w:leftChars="-50" w:right="-105" w:rightChars="-50"/>
              <w:jc w:val="center"/>
            </w:pPr>
            <w:r>
              <w:t>50～60</w:t>
            </w:r>
          </w:p>
        </w:tc>
        <w:tc>
          <w:tcPr>
            <w:tcW w:w="1559" w:type="dxa"/>
            <w:shd w:val="clear" w:color="auto" w:fill="auto"/>
            <w:vAlign w:val="center"/>
          </w:tcPr>
          <w:p>
            <w:pPr>
              <w:spacing w:line="276" w:lineRule="auto"/>
              <w:ind w:left="-105" w:leftChars="-50" w:right="-105" w:rightChars="-50"/>
              <w:jc w:val="center"/>
            </w:pPr>
            <w:r>
              <w:t>0.6%～0.8%</w:t>
            </w:r>
          </w:p>
        </w:tc>
        <w:tc>
          <w:tcPr>
            <w:tcW w:w="1134" w:type="dxa"/>
            <w:shd w:val="clear" w:color="auto" w:fill="auto"/>
            <w:vAlign w:val="center"/>
          </w:tcPr>
          <w:p>
            <w:pPr>
              <w:spacing w:line="276" w:lineRule="auto"/>
              <w:ind w:left="-105" w:leftChars="-50" w:right="-105" w:rightChars="-50"/>
              <w:jc w:val="center"/>
            </w:pPr>
            <w:r>
              <w:t>5～8</w:t>
            </w:r>
          </w:p>
        </w:tc>
        <w:tc>
          <w:tcPr>
            <w:tcW w:w="993" w:type="dxa"/>
            <w:shd w:val="clear" w:color="auto" w:fill="auto"/>
            <w:vAlign w:val="center"/>
          </w:tcPr>
          <w:p>
            <w:pPr>
              <w:spacing w:line="276" w:lineRule="auto"/>
              <w:ind w:left="-105" w:leftChars="-50" w:right="-105" w:rightChars="-50"/>
              <w:jc w:val="center"/>
            </w:pPr>
            <w:r>
              <w:t>70～80</w:t>
            </w:r>
          </w:p>
        </w:tc>
        <w:tc>
          <w:tcPr>
            <w:tcW w:w="1559" w:type="dxa"/>
            <w:shd w:val="clear" w:color="auto" w:fill="auto"/>
            <w:vAlign w:val="center"/>
          </w:tcPr>
          <w:p>
            <w:pPr>
              <w:spacing w:line="276" w:lineRule="auto"/>
              <w:ind w:left="-105" w:leftChars="-50" w:right="-105" w:rightChars="-50"/>
              <w:jc w:val="center"/>
            </w:pPr>
            <w:r>
              <w:t>0.8%～1.0%</w:t>
            </w:r>
          </w:p>
        </w:tc>
        <w:tc>
          <w:tcPr>
            <w:tcW w:w="1134" w:type="dxa"/>
            <w:shd w:val="clear" w:color="auto" w:fill="auto"/>
            <w:vAlign w:val="center"/>
          </w:tcPr>
          <w:p>
            <w:pPr>
              <w:spacing w:line="276" w:lineRule="auto"/>
              <w:ind w:left="-105" w:leftChars="-50" w:right="-105" w:rightChars="-50"/>
              <w:jc w:val="center"/>
            </w:pPr>
            <w: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Merge w:val="continue"/>
            <w:shd w:val="clear" w:color="auto" w:fill="auto"/>
            <w:vAlign w:val="center"/>
          </w:tcPr>
          <w:p>
            <w:pPr>
              <w:spacing w:line="276" w:lineRule="auto"/>
              <w:ind w:left="-105" w:leftChars="-50" w:right="-105" w:rightChars="-50"/>
              <w:jc w:val="center"/>
            </w:pPr>
          </w:p>
        </w:tc>
        <w:tc>
          <w:tcPr>
            <w:tcW w:w="2221" w:type="dxa"/>
            <w:shd w:val="clear" w:color="auto" w:fill="auto"/>
            <w:vAlign w:val="center"/>
          </w:tcPr>
          <w:p>
            <w:pPr>
              <w:ind w:left="-105" w:leftChars="-50" w:right="-105" w:rightChars="-50"/>
              <w:jc w:val="center"/>
            </w:pPr>
            <w:r>
              <w:t>钢板桩、灌注桩、型钢水泥土墙、地下连续墙</w:t>
            </w:r>
          </w:p>
        </w:tc>
        <w:tc>
          <w:tcPr>
            <w:tcW w:w="984" w:type="dxa"/>
            <w:shd w:val="clear" w:color="auto" w:fill="auto"/>
            <w:vAlign w:val="center"/>
          </w:tcPr>
          <w:p>
            <w:pPr>
              <w:spacing w:line="276" w:lineRule="auto"/>
              <w:ind w:left="-105" w:leftChars="-50" w:right="-105" w:rightChars="-50"/>
              <w:jc w:val="center"/>
            </w:pPr>
            <w:r>
              <w:t>10～20</w:t>
            </w:r>
          </w:p>
        </w:tc>
        <w:tc>
          <w:tcPr>
            <w:tcW w:w="1559" w:type="dxa"/>
            <w:shd w:val="clear" w:color="auto" w:fill="auto"/>
            <w:vAlign w:val="center"/>
          </w:tcPr>
          <w:p>
            <w:pPr>
              <w:spacing w:line="276" w:lineRule="auto"/>
              <w:ind w:left="-105" w:leftChars="-50" w:right="-105" w:rightChars="-50"/>
              <w:jc w:val="center"/>
            </w:pPr>
            <w:r>
              <w:t>0.1%～0.2%</w:t>
            </w:r>
          </w:p>
        </w:tc>
        <w:tc>
          <w:tcPr>
            <w:tcW w:w="1134" w:type="dxa"/>
            <w:shd w:val="clear" w:color="auto" w:fill="auto"/>
            <w:vAlign w:val="center"/>
          </w:tcPr>
          <w:p>
            <w:pPr>
              <w:spacing w:line="276" w:lineRule="auto"/>
              <w:ind w:left="-105" w:leftChars="-50" w:right="-105" w:rightChars="-50"/>
              <w:jc w:val="center"/>
            </w:pPr>
            <w:r>
              <w:t>2～3</w:t>
            </w:r>
          </w:p>
        </w:tc>
        <w:tc>
          <w:tcPr>
            <w:tcW w:w="992" w:type="dxa"/>
            <w:shd w:val="clear" w:color="auto" w:fill="auto"/>
            <w:vAlign w:val="center"/>
          </w:tcPr>
          <w:p>
            <w:pPr>
              <w:spacing w:line="276" w:lineRule="auto"/>
              <w:ind w:left="-105" w:leftChars="-50" w:right="-105" w:rightChars="-50"/>
              <w:jc w:val="center"/>
            </w:pPr>
            <w:r>
              <w:t>25～30</w:t>
            </w:r>
          </w:p>
        </w:tc>
        <w:tc>
          <w:tcPr>
            <w:tcW w:w="1559" w:type="dxa"/>
            <w:shd w:val="clear" w:color="auto" w:fill="auto"/>
            <w:vAlign w:val="center"/>
          </w:tcPr>
          <w:p>
            <w:pPr>
              <w:spacing w:line="276" w:lineRule="auto"/>
              <w:ind w:left="-105" w:leftChars="-50" w:right="-105" w:rightChars="-50"/>
              <w:jc w:val="center"/>
            </w:pPr>
            <w:r>
              <w:t>0.3%～0.5%</w:t>
            </w:r>
          </w:p>
        </w:tc>
        <w:tc>
          <w:tcPr>
            <w:tcW w:w="1134" w:type="dxa"/>
            <w:shd w:val="clear" w:color="auto" w:fill="auto"/>
            <w:vAlign w:val="center"/>
          </w:tcPr>
          <w:p>
            <w:pPr>
              <w:spacing w:line="276" w:lineRule="auto"/>
              <w:ind w:left="-105" w:leftChars="-50" w:right="-105" w:rightChars="-50"/>
              <w:jc w:val="center"/>
            </w:pPr>
            <w:r>
              <w:t>3～4</w:t>
            </w:r>
          </w:p>
        </w:tc>
        <w:tc>
          <w:tcPr>
            <w:tcW w:w="993" w:type="dxa"/>
            <w:shd w:val="clear" w:color="auto" w:fill="auto"/>
            <w:vAlign w:val="center"/>
          </w:tcPr>
          <w:p>
            <w:pPr>
              <w:spacing w:line="276" w:lineRule="auto"/>
              <w:ind w:left="-105" w:leftChars="-50" w:right="-105" w:rightChars="-50"/>
              <w:jc w:val="center"/>
            </w:pPr>
            <w:r>
              <w:t>35～40</w:t>
            </w:r>
          </w:p>
        </w:tc>
        <w:tc>
          <w:tcPr>
            <w:tcW w:w="1559" w:type="dxa"/>
            <w:shd w:val="clear" w:color="auto" w:fill="auto"/>
            <w:vAlign w:val="center"/>
          </w:tcPr>
          <w:p>
            <w:pPr>
              <w:spacing w:line="276" w:lineRule="auto"/>
              <w:ind w:left="-105" w:leftChars="-50" w:right="-105" w:rightChars="-50"/>
              <w:jc w:val="center"/>
            </w:pPr>
            <w:r>
              <w:t>0.5%～0.6%</w:t>
            </w:r>
          </w:p>
        </w:tc>
        <w:tc>
          <w:tcPr>
            <w:tcW w:w="1134" w:type="dxa"/>
            <w:shd w:val="clear" w:color="auto" w:fill="auto"/>
            <w:vAlign w:val="center"/>
          </w:tcPr>
          <w:p>
            <w:pPr>
              <w:spacing w:line="276" w:lineRule="auto"/>
              <w:ind w:left="-105" w:leftChars="-50" w:right="-105" w:rightChars="-50"/>
              <w:jc w:val="center"/>
            </w:pPr>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298" w:type="dxa"/>
            <w:vMerge w:val="restart"/>
            <w:shd w:val="clear" w:color="auto" w:fill="auto"/>
            <w:vAlign w:val="center"/>
          </w:tcPr>
          <w:p>
            <w:pPr>
              <w:spacing w:line="276" w:lineRule="auto"/>
              <w:ind w:left="-105" w:leftChars="-50" w:right="-105" w:rightChars="-50"/>
              <w:jc w:val="center"/>
            </w:pPr>
            <w:r>
              <w:t>深层水平位移</w:t>
            </w:r>
          </w:p>
        </w:tc>
        <w:tc>
          <w:tcPr>
            <w:tcW w:w="2221" w:type="dxa"/>
            <w:shd w:val="clear" w:color="auto" w:fill="auto"/>
            <w:vAlign w:val="center"/>
          </w:tcPr>
          <w:p>
            <w:pPr>
              <w:spacing w:line="276" w:lineRule="auto"/>
              <w:ind w:left="-105" w:leftChars="-50" w:right="-105" w:rightChars="-50"/>
              <w:jc w:val="center"/>
            </w:pPr>
            <w:r>
              <w:t>钢板桩</w:t>
            </w:r>
          </w:p>
        </w:tc>
        <w:tc>
          <w:tcPr>
            <w:tcW w:w="984" w:type="dxa"/>
            <w:shd w:val="clear" w:color="auto" w:fill="auto"/>
            <w:vAlign w:val="center"/>
          </w:tcPr>
          <w:p>
            <w:pPr>
              <w:spacing w:line="276" w:lineRule="auto"/>
              <w:ind w:left="-105" w:leftChars="-50" w:right="-105" w:rightChars="-50"/>
              <w:jc w:val="center"/>
            </w:pPr>
            <w:r>
              <w:t>50～60</w:t>
            </w:r>
          </w:p>
        </w:tc>
        <w:tc>
          <w:tcPr>
            <w:tcW w:w="1559" w:type="dxa"/>
            <w:shd w:val="clear" w:color="auto" w:fill="auto"/>
            <w:vAlign w:val="center"/>
          </w:tcPr>
          <w:p>
            <w:pPr>
              <w:spacing w:line="276" w:lineRule="auto"/>
              <w:ind w:left="-105" w:leftChars="-50" w:right="-105" w:rightChars="-50"/>
              <w:jc w:val="center"/>
            </w:pPr>
            <w:r>
              <w:t>0.6%～0.7%</w:t>
            </w:r>
          </w:p>
        </w:tc>
        <w:tc>
          <w:tcPr>
            <w:tcW w:w="1134" w:type="dxa"/>
            <w:vMerge w:val="restart"/>
            <w:shd w:val="clear" w:color="auto" w:fill="auto"/>
            <w:vAlign w:val="center"/>
          </w:tcPr>
          <w:p>
            <w:pPr>
              <w:spacing w:line="276" w:lineRule="auto"/>
              <w:ind w:left="-105" w:leftChars="-50" w:right="-105" w:rightChars="-50"/>
              <w:jc w:val="center"/>
            </w:pPr>
            <w:r>
              <w:t>2～3</w:t>
            </w:r>
          </w:p>
        </w:tc>
        <w:tc>
          <w:tcPr>
            <w:tcW w:w="992" w:type="dxa"/>
            <w:shd w:val="clear" w:color="auto" w:fill="auto"/>
            <w:vAlign w:val="center"/>
          </w:tcPr>
          <w:p>
            <w:pPr>
              <w:spacing w:line="276" w:lineRule="auto"/>
              <w:ind w:left="-105" w:leftChars="-50" w:right="-105" w:rightChars="-50"/>
              <w:jc w:val="center"/>
            </w:pPr>
            <w:r>
              <w:t>80～85</w:t>
            </w:r>
          </w:p>
        </w:tc>
        <w:tc>
          <w:tcPr>
            <w:tcW w:w="1559" w:type="dxa"/>
            <w:shd w:val="clear" w:color="auto" w:fill="auto"/>
            <w:vAlign w:val="center"/>
          </w:tcPr>
          <w:p>
            <w:pPr>
              <w:spacing w:line="276" w:lineRule="auto"/>
              <w:ind w:left="-105" w:leftChars="-50" w:right="-105" w:rightChars="-50"/>
              <w:jc w:val="center"/>
            </w:pPr>
            <w:r>
              <w:t>0.7%～0.8%</w:t>
            </w:r>
          </w:p>
        </w:tc>
        <w:tc>
          <w:tcPr>
            <w:tcW w:w="1134" w:type="dxa"/>
            <w:vMerge w:val="restart"/>
            <w:shd w:val="clear" w:color="auto" w:fill="auto"/>
            <w:vAlign w:val="center"/>
          </w:tcPr>
          <w:p>
            <w:pPr>
              <w:spacing w:line="276" w:lineRule="auto"/>
              <w:ind w:left="-105" w:leftChars="-50" w:right="-105" w:rightChars="-50"/>
              <w:jc w:val="center"/>
            </w:pPr>
            <w:r>
              <w:t>4～6</w:t>
            </w:r>
          </w:p>
        </w:tc>
        <w:tc>
          <w:tcPr>
            <w:tcW w:w="993" w:type="dxa"/>
            <w:shd w:val="clear" w:color="auto" w:fill="auto"/>
            <w:vAlign w:val="center"/>
          </w:tcPr>
          <w:p>
            <w:pPr>
              <w:spacing w:line="276" w:lineRule="auto"/>
              <w:ind w:left="-105" w:leftChars="-50" w:right="-105" w:rightChars="-50"/>
              <w:jc w:val="center"/>
            </w:pPr>
            <w:r>
              <w:t>90～100</w:t>
            </w:r>
          </w:p>
        </w:tc>
        <w:tc>
          <w:tcPr>
            <w:tcW w:w="1559" w:type="dxa"/>
            <w:shd w:val="clear" w:color="auto" w:fill="auto"/>
            <w:vAlign w:val="center"/>
          </w:tcPr>
          <w:p>
            <w:pPr>
              <w:spacing w:line="276" w:lineRule="auto"/>
              <w:ind w:left="-105" w:leftChars="-50" w:right="-105" w:rightChars="-50"/>
              <w:jc w:val="center"/>
            </w:pPr>
            <w:r>
              <w:t>0.9%～1.0%</w:t>
            </w:r>
          </w:p>
        </w:tc>
        <w:tc>
          <w:tcPr>
            <w:tcW w:w="1134" w:type="dxa"/>
            <w:vMerge w:val="restart"/>
            <w:shd w:val="clear" w:color="auto" w:fill="auto"/>
            <w:vAlign w:val="center"/>
          </w:tcPr>
          <w:p>
            <w:pPr>
              <w:spacing w:line="276" w:lineRule="auto"/>
              <w:ind w:left="-105" w:leftChars="-50" w:right="-105" w:rightChars="-50"/>
              <w:jc w:val="center"/>
            </w:pPr>
            <w: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298" w:type="dxa"/>
            <w:vMerge w:val="continue"/>
            <w:shd w:val="clear" w:color="auto" w:fill="auto"/>
            <w:vAlign w:val="center"/>
          </w:tcPr>
          <w:p>
            <w:pPr>
              <w:spacing w:line="276" w:lineRule="auto"/>
              <w:ind w:left="-105" w:leftChars="-50" w:right="-105" w:rightChars="-50"/>
              <w:jc w:val="center"/>
            </w:pPr>
          </w:p>
        </w:tc>
        <w:tc>
          <w:tcPr>
            <w:tcW w:w="2221" w:type="dxa"/>
            <w:shd w:val="clear" w:color="auto" w:fill="auto"/>
            <w:vAlign w:val="center"/>
          </w:tcPr>
          <w:p>
            <w:pPr>
              <w:spacing w:line="276" w:lineRule="auto"/>
              <w:ind w:left="-105" w:leftChars="-50" w:right="-105" w:rightChars="-50"/>
              <w:jc w:val="center"/>
            </w:pPr>
            <w:r>
              <w:t>灌注桩、型钢水泥土墙</w:t>
            </w:r>
          </w:p>
        </w:tc>
        <w:tc>
          <w:tcPr>
            <w:tcW w:w="984" w:type="dxa"/>
            <w:shd w:val="clear" w:color="auto" w:fill="auto"/>
            <w:vAlign w:val="center"/>
          </w:tcPr>
          <w:p>
            <w:pPr>
              <w:spacing w:line="276" w:lineRule="auto"/>
              <w:ind w:left="-105" w:leftChars="-50" w:right="-105" w:rightChars="-50"/>
              <w:jc w:val="center"/>
            </w:pPr>
            <w:r>
              <w:t>45～55</w:t>
            </w:r>
          </w:p>
        </w:tc>
        <w:tc>
          <w:tcPr>
            <w:tcW w:w="1559" w:type="dxa"/>
            <w:shd w:val="clear" w:color="auto" w:fill="auto"/>
            <w:vAlign w:val="center"/>
          </w:tcPr>
          <w:p>
            <w:pPr>
              <w:spacing w:line="276" w:lineRule="auto"/>
              <w:ind w:left="-105" w:leftChars="-50" w:right="-105" w:rightChars="-50"/>
              <w:jc w:val="center"/>
            </w:pPr>
            <w:r>
              <w:t>0.5%～0.6%</w:t>
            </w:r>
          </w:p>
        </w:tc>
        <w:tc>
          <w:tcPr>
            <w:tcW w:w="1134" w:type="dxa"/>
            <w:vMerge w:val="continue"/>
            <w:shd w:val="clear" w:color="auto" w:fill="auto"/>
            <w:vAlign w:val="center"/>
          </w:tcPr>
          <w:p>
            <w:pPr>
              <w:spacing w:line="276" w:lineRule="auto"/>
              <w:ind w:left="-105" w:leftChars="-50" w:right="-105" w:rightChars="-50"/>
              <w:jc w:val="center"/>
            </w:pPr>
          </w:p>
        </w:tc>
        <w:tc>
          <w:tcPr>
            <w:tcW w:w="992" w:type="dxa"/>
            <w:shd w:val="clear" w:color="auto" w:fill="auto"/>
            <w:vAlign w:val="center"/>
          </w:tcPr>
          <w:p>
            <w:pPr>
              <w:spacing w:line="276" w:lineRule="auto"/>
              <w:ind w:left="-105" w:leftChars="-50" w:right="-105" w:rightChars="-50"/>
              <w:jc w:val="center"/>
            </w:pPr>
            <w:r>
              <w:t>75～80</w:t>
            </w:r>
          </w:p>
        </w:tc>
        <w:tc>
          <w:tcPr>
            <w:tcW w:w="1559" w:type="dxa"/>
            <w:shd w:val="clear" w:color="auto" w:fill="auto"/>
            <w:vAlign w:val="center"/>
          </w:tcPr>
          <w:p>
            <w:pPr>
              <w:spacing w:line="276" w:lineRule="auto"/>
              <w:ind w:left="-105" w:leftChars="-50" w:right="-105" w:rightChars="-50"/>
              <w:jc w:val="center"/>
            </w:pPr>
            <w:r>
              <w:t>0.7%～0.8%</w:t>
            </w:r>
          </w:p>
        </w:tc>
        <w:tc>
          <w:tcPr>
            <w:tcW w:w="1134" w:type="dxa"/>
            <w:vMerge w:val="continue"/>
            <w:shd w:val="clear" w:color="auto" w:fill="auto"/>
            <w:vAlign w:val="center"/>
          </w:tcPr>
          <w:p>
            <w:pPr>
              <w:spacing w:line="276" w:lineRule="auto"/>
              <w:ind w:left="-105" w:leftChars="-50" w:right="-105" w:rightChars="-50"/>
              <w:jc w:val="center"/>
            </w:pPr>
          </w:p>
        </w:tc>
        <w:tc>
          <w:tcPr>
            <w:tcW w:w="993" w:type="dxa"/>
            <w:shd w:val="clear" w:color="auto" w:fill="auto"/>
            <w:vAlign w:val="center"/>
          </w:tcPr>
          <w:p>
            <w:pPr>
              <w:spacing w:line="276" w:lineRule="auto"/>
              <w:ind w:left="-105" w:leftChars="-50" w:right="-105" w:rightChars="-50"/>
              <w:jc w:val="center"/>
            </w:pPr>
            <w:r>
              <w:t>80～90</w:t>
            </w:r>
          </w:p>
        </w:tc>
        <w:tc>
          <w:tcPr>
            <w:tcW w:w="1559" w:type="dxa"/>
            <w:shd w:val="clear" w:color="auto" w:fill="auto"/>
            <w:vAlign w:val="center"/>
          </w:tcPr>
          <w:p>
            <w:pPr>
              <w:spacing w:line="276" w:lineRule="auto"/>
              <w:ind w:left="-105" w:leftChars="-50" w:right="-105" w:rightChars="-50"/>
              <w:jc w:val="center"/>
            </w:pPr>
            <w:r>
              <w:t>0.9%～1.0%</w:t>
            </w:r>
          </w:p>
        </w:tc>
        <w:tc>
          <w:tcPr>
            <w:tcW w:w="1134" w:type="dxa"/>
            <w:vMerge w:val="continue"/>
            <w:shd w:val="clear" w:color="auto" w:fill="auto"/>
            <w:vAlign w:val="center"/>
          </w:tcPr>
          <w:p>
            <w:pPr>
              <w:spacing w:line="276" w:lineRule="auto"/>
              <w:ind w:left="-105" w:leftChars="-50" w:right="-105" w:rightChars="-5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298" w:type="dxa"/>
            <w:vMerge w:val="continue"/>
            <w:shd w:val="clear" w:color="auto" w:fill="auto"/>
            <w:vAlign w:val="center"/>
          </w:tcPr>
          <w:p>
            <w:pPr>
              <w:spacing w:line="276" w:lineRule="auto"/>
              <w:ind w:left="-105" w:leftChars="-50" w:right="-105" w:rightChars="-50"/>
              <w:jc w:val="center"/>
            </w:pPr>
          </w:p>
        </w:tc>
        <w:tc>
          <w:tcPr>
            <w:tcW w:w="2221" w:type="dxa"/>
            <w:shd w:val="clear" w:color="auto" w:fill="auto"/>
            <w:vAlign w:val="center"/>
          </w:tcPr>
          <w:p>
            <w:pPr>
              <w:spacing w:line="276" w:lineRule="auto"/>
              <w:ind w:left="-105" w:leftChars="-50" w:right="-105" w:rightChars="-50"/>
              <w:jc w:val="center"/>
            </w:pPr>
            <w:r>
              <w:t>地下连续墙</w:t>
            </w:r>
          </w:p>
        </w:tc>
        <w:tc>
          <w:tcPr>
            <w:tcW w:w="984" w:type="dxa"/>
            <w:shd w:val="clear" w:color="auto" w:fill="auto"/>
            <w:vAlign w:val="center"/>
          </w:tcPr>
          <w:p>
            <w:pPr>
              <w:spacing w:line="276" w:lineRule="auto"/>
              <w:ind w:left="-105" w:leftChars="-50" w:right="-105" w:rightChars="-50"/>
              <w:jc w:val="center"/>
            </w:pPr>
            <w:r>
              <w:t>40～50</w:t>
            </w:r>
          </w:p>
        </w:tc>
        <w:tc>
          <w:tcPr>
            <w:tcW w:w="1559" w:type="dxa"/>
            <w:shd w:val="clear" w:color="auto" w:fill="auto"/>
            <w:vAlign w:val="center"/>
          </w:tcPr>
          <w:p>
            <w:pPr>
              <w:spacing w:line="276" w:lineRule="auto"/>
              <w:ind w:left="-105" w:leftChars="-50" w:right="-105" w:rightChars="-50"/>
              <w:jc w:val="center"/>
            </w:pPr>
            <w:r>
              <w:t>0.4%～0.5%</w:t>
            </w:r>
          </w:p>
        </w:tc>
        <w:tc>
          <w:tcPr>
            <w:tcW w:w="1134" w:type="dxa"/>
            <w:vMerge w:val="continue"/>
            <w:shd w:val="clear" w:color="auto" w:fill="auto"/>
            <w:vAlign w:val="center"/>
          </w:tcPr>
          <w:p>
            <w:pPr>
              <w:spacing w:line="276" w:lineRule="auto"/>
              <w:ind w:left="-105" w:leftChars="-50" w:right="-105" w:rightChars="-50"/>
              <w:jc w:val="center"/>
            </w:pPr>
          </w:p>
        </w:tc>
        <w:tc>
          <w:tcPr>
            <w:tcW w:w="992" w:type="dxa"/>
            <w:shd w:val="clear" w:color="auto" w:fill="auto"/>
            <w:vAlign w:val="center"/>
          </w:tcPr>
          <w:p>
            <w:pPr>
              <w:spacing w:line="276" w:lineRule="auto"/>
              <w:ind w:left="-105" w:leftChars="-50" w:right="-105" w:rightChars="-50"/>
              <w:jc w:val="center"/>
            </w:pPr>
            <w:r>
              <w:t>70～75</w:t>
            </w:r>
          </w:p>
        </w:tc>
        <w:tc>
          <w:tcPr>
            <w:tcW w:w="1559" w:type="dxa"/>
            <w:shd w:val="clear" w:color="auto" w:fill="auto"/>
            <w:vAlign w:val="center"/>
          </w:tcPr>
          <w:p>
            <w:pPr>
              <w:spacing w:line="276" w:lineRule="auto"/>
              <w:ind w:left="-105" w:leftChars="-50" w:right="-105" w:rightChars="-50"/>
              <w:jc w:val="center"/>
            </w:pPr>
            <w:r>
              <w:t>0.7%～0.8%</w:t>
            </w:r>
          </w:p>
        </w:tc>
        <w:tc>
          <w:tcPr>
            <w:tcW w:w="1134" w:type="dxa"/>
            <w:vMerge w:val="continue"/>
            <w:shd w:val="clear" w:color="auto" w:fill="auto"/>
            <w:vAlign w:val="center"/>
          </w:tcPr>
          <w:p>
            <w:pPr>
              <w:spacing w:line="276" w:lineRule="auto"/>
              <w:ind w:left="-105" w:leftChars="-50" w:right="-105" w:rightChars="-50"/>
              <w:jc w:val="center"/>
            </w:pPr>
          </w:p>
        </w:tc>
        <w:tc>
          <w:tcPr>
            <w:tcW w:w="993" w:type="dxa"/>
            <w:shd w:val="clear" w:color="auto" w:fill="auto"/>
            <w:vAlign w:val="center"/>
          </w:tcPr>
          <w:p>
            <w:pPr>
              <w:spacing w:line="276" w:lineRule="auto"/>
              <w:ind w:left="-105" w:leftChars="-50" w:right="-105" w:rightChars="-50"/>
              <w:jc w:val="center"/>
            </w:pPr>
            <w:r>
              <w:t>80～90</w:t>
            </w:r>
          </w:p>
        </w:tc>
        <w:tc>
          <w:tcPr>
            <w:tcW w:w="1559" w:type="dxa"/>
            <w:shd w:val="clear" w:color="auto" w:fill="auto"/>
            <w:vAlign w:val="center"/>
          </w:tcPr>
          <w:p>
            <w:pPr>
              <w:spacing w:line="276" w:lineRule="auto"/>
              <w:ind w:left="-105" w:leftChars="-50" w:right="-105" w:rightChars="-50"/>
              <w:jc w:val="center"/>
            </w:pPr>
            <w:r>
              <w:t>0.9%～1.0%</w:t>
            </w:r>
          </w:p>
        </w:tc>
        <w:tc>
          <w:tcPr>
            <w:tcW w:w="1134" w:type="dxa"/>
            <w:vMerge w:val="continue"/>
            <w:shd w:val="clear" w:color="auto" w:fill="auto"/>
            <w:vAlign w:val="center"/>
          </w:tcPr>
          <w:p>
            <w:pPr>
              <w:spacing w:line="276" w:lineRule="auto"/>
              <w:ind w:left="-105" w:leftChars="-50" w:right="-105" w:rightChars="-5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519" w:type="dxa"/>
            <w:gridSpan w:val="2"/>
            <w:shd w:val="clear" w:color="auto" w:fill="auto"/>
            <w:vAlign w:val="center"/>
          </w:tcPr>
          <w:p>
            <w:pPr>
              <w:spacing w:line="276" w:lineRule="auto"/>
              <w:ind w:left="-105" w:leftChars="-50" w:right="-105" w:rightChars="-50"/>
              <w:jc w:val="center"/>
            </w:pPr>
            <w:r>
              <w:t>立柱竖向位移</w:t>
            </w:r>
          </w:p>
        </w:tc>
        <w:tc>
          <w:tcPr>
            <w:tcW w:w="984" w:type="dxa"/>
            <w:shd w:val="clear" w:color="auto" w:fill="auto"/>
            <w:vAlign w:val="center"/>
          </w:tcPr>
          <w:p>
            <w:pPr>
              <w:spacing w:line="276" w:lineRule="auto"/>
              <w:ind w:left="-105" w:leftChars="-50" w:right="-105" w:rightChars="-50"/>
              <w:jc w:val="center"/>
            </w:pPr>
            <w:r>
              <w:t>25～35</w:t>
            </w:r>
          </w:p>
        </w:tc>
        <w:tc>
          <w:tcPr>
            <w:tcW w:w="1559" w:type="dxa"/>
            <w:shd w:val="clear" w:color="auto" w:fill="auto"/>
            <w:vAlign w:val="center"/>
          </w:tcPr>
          <w:p>
            <w:pPr>
              <w:spacing w:line="276" w:lineRule="auto"/>
              <w:ind w:left="-105" w:leftChars="-50" w:right="-105" w:rightChars="-50"/>
              <w:jc w:val="center"/>
            </w:pPr>
            <w:r>
              <w:t>－</w:t>
            </w:r>
          </w:p>
        </w:tc>
        <w:tc>
          <w:tcPr>
            <w:tcW w:w="1134" w:type="dxa"/>
            <w:shd w:val="clear" w:color="auto" w:fill="auto"/>
            <w:vAlign w:val="center"/>
          </w:tcPr>
          <w:p>
            <w:pPr>
              <w:spacing w:line="276" w:lineRule="auto"/>
              <w:ind w:left="-105" w:leftChars="-50" w:right="-105" w:rightChars="-50"/>
              <w:jc w:val="center"/>
            </w:pPr>
            <w:r>
              <w:t>2～3</w:t>
            </w:r>
          </w:p>
        </w:tc>
        <w:tc>
          <w:tcPr>
            <w:tcW w:w="992" w:type="dxa"/>
            <w:shd w:val="clear" w:color="auto" w:fill="auto"/>
            <w:vAlign w:val="center"/>
          </w:tcPr>
          <w:p>
            <w:pPr>
              <w:spacing w:line="276" w:lineRule="auto"/>
              <w:ind w:left="-105" w:leftChars="-50" w:right="-105" w:rightChars="-50"/>
              <w:jc w:val="center"/>
            </w:pPr>
            <w:r>
              <w:t>35～45</w:t>
            </w:r>
          </w:p>
        </w:tc>
        <w:tc>
          <w:tcPr>
            <w:tcW w:w="1559" w:type="dxa"/>
            <w:shd w:val="clear" w:color="auto" w:fill="auto"/>
            <w:vAlign w:val="center"/>
          </w:tcPr>
          <w:p>
            <w:pPr>
              <w:spacing w:line="276" w:lineRule="auto"/>
              <w:ind w:left="-105" w:leftChars="-50" w:right="-105" w:rightChars="-50"/>
              <w:jc w:val="center"/>
            </w:pPr>
            <w:r>
              <w:t>－</w:t>
            </w:r>
          </w:p>
        </w:tc>
        <w:tc>
          <w:tcPr>
            <w:tcW w:w="1134" w:type="dxa"/>
            <w:shd w:val="clear" w:color="auto" w:fill="auto"/>
            <w:vAlign w:val="center"/>
          </w:tcPr>
          <w:p>
            <w:pPr>
              <w:spacing w:line="276" w:lineRule="auto"/>
              <w:ind w:left="-105" w:leftChars="-50" w:right="-105" w:rightChars="-50"/>
              <w:jc w:val="center"/>
            </w:pPr>
            <w:r>
              <w:t>4～6</w:t>
            </w:r>
          </w:p>
        </w:tc>
        <w:tc>
          <w:tcPr>
            <w:tcW w:w="993" w:type="dxa"/>
            <w:shd w:val="clear" w:color="auto" w:fill="auto"/>
            <w:vAlign w:val="center"/>
          </w:tcPr>
          <w:p>
            <w:pPr>
              <w:spacing w:line="276" w:lineRule="auto"/>
              <w:ind w:left="-105" w:leftChars="-50" w:right="-105" w:rightChars="-50"/>
              <w:jc w:val="center"/>
            </w:pPr>
            <w:r>
              <w:t>55～65</w:t>
            </w:r>
          </w:p>
        </w:tc>
        <w:tc>
          <w:tcPr>
            <w:tcW w:w="1559" w:type="dxa"/>
            <w:shd w:val="clear" w:color="auto" w:fill="auto"/>
            <w:vAlign w:val="center"/>
          </w:tcPr>
          <w:p>
            <w:pPr>
              <w:spacing w:line="276" w:lineRule="auto"/>
              <w:ind w:left="-105" w:leftChars="-50" w:right="-105" w:rightChars="-50"/>
              <w:jc w:val="center"/>
            </w:pPr>
            <w:r>
              <w:t>－</w:t>
            </w:r>
          </w:p>
        </w:tc>
        <w:tc>
          <w:tcPr>
            <w:tcW w:w="1134" w:type="dxa"/>
            <w:shd w:val="clear" w:color="auto" w:fill="auto"/>
            <w:vAlign w:val="center"/>
          </w:tcPr>
          <w:p>
            <w:pPr>
              <w:spacing w:line="276" w:lineRule="auto"/>
              <w:ind w:left="-105" w:leftChars="-50" w:right="-105" w:rightChars="-50"/>
              <w:jc w:val="center"/>
            </w:pPr>
            <w: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519" w:type="dxa"/>
            <w:gridSpan w:val="2"/>
            <w:shd w:val="clear" w:color="auto" w:fill="auto"/>
            <w:vAlign w:val="center"/>
          </w:tcPr>
          <w:p>
            <w:pPr>
              <w:spacing w:line="276" w:lineRule="auto"/>
              <w:ind w:left="-105" w:leftChars="-50" w:right="-105" w:rightChars="-50"/>
              <w:jc w:val="center"/>
            </w:pPr>
            <w:r>
              <w:t>基坑周边地表竖向位移</w:t>
            </w:r>
          </w:p>
        </w:tc>
        <w:tc>
          <w:tcPr>
            <w:tcW w:w="984" w:type="dxa"/>
            <w:shd w:val="clear" w:color="auto" w:fill="auto"/>
            <w:vAlign w:val="center"/>
          </w:tcPr>
          <w:p>
            <w:pPr>
              <w:spacing w:line="276" w:lineRule="auto"/>
              <w:ind w:left="-105" w:leftChars="-50" w:right="-105" w:rightChars="-50"/>
              <w:jc w:val="center"/>
            </w:pPr>
            <w:r>
              <w:t>25～35</w:t>
            </w:r>
          </w:p>
        </w:tc>
        <w:tc>
          <w:tcPr>
            <w:tcW w:w="1559" w:type="dxa"/>
            <w:shd w:val="clear" w:color="auto" w:fill="auto"/>
            <w:vAlign w:val="center"/>
          </w:tcPr>
          <w:p>
            <w:pPr>
              <w:spacing w:line="276" w:lineRule="auto"/>
              <w:ind w:left="-105" w:leftChars="-50" w:right="-105" w:rightChars="-50"/>
              <w:jc w:val="center"/>
            </w:pPr>
            <w:r>
              <w:t>－</w:t>
            </w:r>
          </w:p>
        </w:tc>
        <w:tc>
          <w:tcPr>
            <w:tcW w:w="1134" w:type="dxa"/>
            <w:shd w:val="clear" w:color="auto" w:fill="auto"/>
            <w:vAlign w:val="center"/>
          </w:tcPr>
          <w:p>
            <w:pPr>
              <w:spacing w:line="276" w:lineRule="auto"/>
              <w:ind w:left="-105" w:leftChars="-50" w:right="-105" w:rightChars="-50"/>
              <w:jc w:val="center"/>
            </w:pPr>
            <w:r>
              <w:t>2～3</w:t>
            </w:r>
          </w:p>
        </w:tc>
        <w:tc>
          <w:tcPr>
            <w:tcW w:w="992" w:type="dxa"/>
            <w:shd w:val="clear" w:color="auto" w:fill="auto"/>
            <w:vAlign w:val="center"/>
          </w:tcPr>
          <w:p>
            <w:pPr>
              <w:spacing w:line="276" w:lineRule="auto"/>
              <w:ind w:left="-105" w:leftChars="-50" w:right="-105" w:rightChars="-50"/>
              <w:jc w:val="center"/>
            </w:pPr>
            <w:r>
              <w:t>50～60</w:t>
            </w:r>
          </w:p>
        </w:tc>
        <w:tc>
          <w:tcPr>
            <w:tcW w:w="1559" w:type="dxa"/>
            <w:shd w:val="clear" w:color="auto" w:fill="auto"/>
            <w:vAlign w:val="center"/>
          </w:tcPr>
          <w:p>
            <w:pPr>
              <w:spacing w:line="276" w:lineRule="auto"/>
              <w:ind w:left="-105" w:leftChars="-50" w:right="-105" w:rightChars="-50"/>
              <w:jc w:val="center"/>
            </w:pPr>
            <w:r>
              <w:t>－</w:t>
            </w:r>
          </w:p>
        </w:tc>
        <w:tc>
          <w:tcPr>
            <w:tcW w:w="1134" w:type="dxa"/>
            <w:shd w:val="clear" w:color="auto" w:fill="auto"/>
            <w:vAlign w:val="center"/>
          </w:tcPr>
          <w:p>
            <w:pPr>
              <w:spacing w:line="276" w:lineRule="auto"/>
              <w:ind w:left="-105" w:leftChars="-50" w:right="-105" w:rightChars="-50"/>
              <w:jc w:val="center"/>
            </w:pPr>
            <w:r>
              <w:t>4～6</w:t>
            </w:r>
          </w:p>
        </w:tc>
        <w:tc>
          <w:tcPr>
            <w:tcW w:w="993" w:type="dxa"/>
            <w:shd w:val="clear" w:color="auto" w:fill="auto"/>
            <w:vAlign w:val="center"/>
          </w:tcPr>
          <w:p>
            <w:pPr>
              <w:spacing w:line="276" w:lineRule="auto"/>
              <w:ind w:left="-105" w:leftChars="-50" w:right="-105" w:rightChars="-50"/>
              <w:jc w:val="center"/>
            </w:pPr>
            <w:r>
              <w:t>60～80</w:t>
            </w:r>
          </w:p>
        </w:tc>
        <w:tc>
          <w:tcPr>
            <w:tcW w:w="1559" w:type="dxa"/>
            <w:shd w:val="clear" w:color="auto" w:fill="auto"/>
            <w:vAlign w:val="center"/>
          </w:tcPr>
          <w:p>
            <w:pPr>
              <w:spacing w:line="276" w:lineRule="auto"/>
              <w:ind w:left="-105" w:leftChars="-50" w:right="-105" w:rightChars="-50"/>
              <w:jc w:val="center"/>
            </w:pPr>
            <w:r>
              <w:t>－</w:t>
            </w:r>
          </w:p>
        </w:tc>
        <w:tc>
          <w:tcPr>
            <w:tcW w:w="1134" w:type="dxa"/>
            <w:shd w:val="clear" w:color="auto" w:fill="auto"/>
            <w:vAlign w:val="center"/>
          </w:tcPr>
          <w:p>
            <w:pPr>
              <w:spacing w:line="276" w:lineRule="auto"/>
              <w:ind w:left="-105" w:leftChars="-50" w:right="-105" w:rightChars="-50"/>
              <w:jc w:val="center"/>
            </w:pPr>
            <w: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519" w:type="dxa"/>
            <w:gridSpan w:val="2"/>
            <w:shd w:val="clear" w:color="auto" w:fill="auto"/>
            <w:vAlign w:val="center"/>
          </w:tcPr>
          <w:p>
            <w:pPr>
              <w:spacing w:line="276" w:lineRule="auto"/>
              <w:ind w:left="-105" w:leftChars="-50" w:right="-105" w:rightChars="-50"/>
              <w:jc w:val="center"/>
            </w:pPr>
            <w:r>
              <w:t>坑底回弹</w:t>
            </w:r>
          </w:p>
        </w:tc>
        <w:tc>
          <w:tcPr>
            <w:tcW w:w="984" w:type="dxa"/>
            <w:shd w:val="clear" w:color="auto" w:fill="auto"/>
            <w:vAlign w:val="center"/>
          </w:tcPr>
          <w:p>
            <w:pPr>
              <w:spacing w:line="276" w:lineRule="auto"/>
              <w:ind w:left="-105" w:leftChars="-50" w:right="-105" w:rightChars="-50"/>
              <w:jc w:val="center"/>
            </w:pPr>
            <w:r>
              <w:t>25～35</w:t>
            </w:r>
          </w:p>
        </w:tc>
        <w:tc>
          <w:tcPr>
            <w:tcW w:w="1559" w:type="dxa"/>
            <w:shd w:val="clear" w:color="auto" w:fill="auto"/>
            <w:vAlign w:val="center"/>
          </w:tcPr>
          <w:p>
            <w:pPr>
              <w:spacing w:line="276" w:lineRule="auto"/>
              <w:ind w:left="-105" w:leftChars="-50" w:right="-105" w:rightChars="-50"/>
              <w:jc w:val="center"/>
            </w:pPr>
            <w:r>
              <w:t>－</w:t>
            </w:r>
          </w:p>
        </w:tc>
        <w:tc>
          <w:tcPr>
            <w:tcW w:w="1134" w:type="dxa"/>
            <w:shd w:val="clear" w:color="auto" w:fill="auto"/>
            <w:vAlign w:val="center"/>
          </w:tcPr>
          <w:p>
            <w:pPr>
              <w:spacing w:line="276" w:lineRule="auto"/>
              <w:ind w:left="-105" w:leftChars="-50" w:right="-105" w:rightChars="-50"/>
              <w:jc w:val="center"/>
            </w:pPr>
            <w:r>
              <w:t>2～3</w:t>
            </w:r>
          </w:p>
        </w:tc>
        <w:tc>
          <w:tcPr>
            <w:tcW w:w="992" w:type="dxa"/>
            <w:shd w:val="clear" w:color="auto" w:fill="auto"/>
            <w:vAlign w:val="center"/>
          </w:tcPr>
          <w:p>
            <w:pPr>
              <w:spacing w:line="276" w:lineRule="auto"/>
              <w:ind w:left="-105" w:leftChars="-50" w:right="-105" w:rightChars="-50"/>
              <w:jc w:val="center"/>
            </w:pPr>
            <w:r>
              <w:t>50～60</w:t>
            </w:r>
          </w:p>
        </w:tc>
        <w:tc>
          <w:tcPr>
            <w:tcW w:w="1559" w:type="dxa"/>
            <w:shd w:val="clear" w:color="auto" w:fill="auto"/>
            <w:vAlign w:val="center"/>
          </w:tcPr>
          <w:p>
            <w:pPr>
              <w:spacing w:line="276" w:lineRule="auto"/>
              <w:ind w:left="-105" w:leftChars="-50" w:right="-105" w:rightChars="-50"/>
              <w:jc w:val="center"/>
            </w:pPr>
            <w:r>
              <w:t>－</w:t>
            </w:r>
          </w:p>
        </w:tc>
        <w:tc>
          <w:tcPr>
            <w:tcW w:w="1134" w:type="dxa"/>
            <w:shd w:val="clear" w:color="auto" w:fill="auto"/>
            <w:vAlign w:val="center"/>
          </w:tcPr>
          <w:p>
            <w:pPr>
              <w:spacing w:line="276" w:lineRule="auto"/>
              <w:ind w:left="-105" w:leftChars="-50" w:right="-105" w:rightChars="-50"/>
              <w:jc w:val="center"/>
            </w:pPr>
            <w:r>
              <w:t>4～6</w:t>
            </w:r>
          </w:p>
        </w:tc>
        <w:tc>
          <w:tcPr>
            <w:tcW w:w="993" w:type="dxa"/>
            <w:shd w:val="clear" w:color="auto" w:fill="auto"/>
            <w:vAlign w:val="center"/>
          </w:tcPr>
          <w:p>
            <w:pPr>
              <w:spacing w:line="276" w:lineRule="auto"/>
              <w:ind w:left="-105" w:leftChars="-50" w:right="-105" w:rightChars="-50"/>
              <w:jc w:val="center"/>
            </w:pPr>
            <w:r>
              <w:t>60～80</w:t>
            </w:r>
          </w:p>
        </w:tc>
        <w:tc>
          <w:tcPr>
            <w:tcW w:w="1559" w:type="dxa"/>
            <w:shd w:val="clear" w:color="auto" w:fill="auto"/>
            <w:vAlign w:val="center"/>
          </w:tcPr>
          <w:p>
            <w:pPr>
              <w:spacing w:line="276" w:lineRule="auto"/>
              <w:ind w:left="-105" w:leftChars="-50" w:right="-105" w:rightChars="-50"/>
              <w:jc w:val="center"/>
            </w:pPr>
            <w:r>
              <w:t>－</w:t>
            </w:r>
          </w:p>
        </w:tc>
        <w:tc>
          <w:tcPr>
            <w:tcW w:w="1134" w:type="dxa"/>
            <w:shd w:val="clear" w:color="auto" w:fill="auto"/>
            <w:vAlign w:val="center"/>
          </w:tcPr>
          <w:p>
            <w:pPr>
              <w:spacing w:line="276" w:lineRule="auto"/>
              <w:ind w:left="-105" w:leftChars="-50" w:right="-105" w:rightChars="-50"/>
              <w:jc w:val="center"/>
            </w:pPr>
            <w: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519" w:type="dxa"/>
            <w:gridSpan w:val="2"/>
            <w:shd w:val="clear" w:color="auto" w:fill="auto"/>
            <w:vAlign w:val="center"/>
          </w:tcPr>
          <w:p>
            <w:pPr>
              <w:spacing w:line="276" w:lineRule="auto"/>
              <w:ind w:left="-105" w:leftChars="-50" w:right="-105" w:rightChars="-50"/>
              <w:jc w:val="center"/>
            </w:pPr>
            <w:r>
              <w:t>支撑内力</w:t>
            </w:r>
          </w:p>
        </w:tc>
        <w:tc>
          <w:tcPr>
            <w:tcW w:w="2543" w:type="dxa"/>
            <w:gridSpan w:val="2"/>
            <w:vMerge w:val="restart"/>
            <w:shd w:val="clear" w:color="auto" w:fill="auto"/>
            <w:vAlign w:val="center"/>
          </w:tcPr>
          <w:p>
            <w:pPr>
              <w:spacing w:line="276" w:lineRule="auto"/>
              <w:ind w:left="-105" w:leftChars="-50" w:right="-105" w:rightChars="-50"/>
              <w:jc w:val="center"/>
              <w:rPr>
                <w:vertAlign w:val="subscript"/>
              </w:rPr>
            </w:pPr>
            <w:r>
              <w:t>60%～70%f</w:t>
            </w:r>
            <w:r>
              <w:rPr>
                <w:rFonts w:hint="eastAsia"/>
                <w:vertAlign w:val="subscript"/>
              </w:rPr>
              <w:t>2</w:t>
            </w:r>
          </w:p>
        </w:tc>
        <w:tc>
          <w:tcPr>
            <w:tcW w:w="1134" w:type="dxa"/>
            <w:vMerge w:val="restart"/>
            <w:shd w:val="clear" w:color="auto" w:fill="auto"/>
            <w:vAlign w:val="center"/>
          </w:tcPr>
          <w:p>
            <w:pPr>
              <w:spacing w:line="276" w:lineRule="auto"/>
              <w:ind w:left="-105" w:leftChars="-50" w:right="-105" w:rightChars="-50"/>
              <w:jc w:val="center"/>
            </w:pPr>
            <w:r>
              <w:t>－</w:t>
            </w:r>
          </w:p>
        </w:tc>
        <w:tc>
          <w:tcPr>
            <w:tcW w:w="2551" w:type="dxa"/>
            <w:gridSpan w:val="2"/>
            <w:vMerge w:val="restart"/>
            <w:shd w:val="clear" w:color="auto" w:fill="auto"/>
            <w:vAlign w:val="center"/>
          </w:tcPr>
          <w:p>
            <w:pPr>
              <w:spacing w:line="276" w:lineRule="auto"/>
              <w:ind w:left="-105" w:leftChars="-50" w:right="-105" w:rightChars="-50"/>
              <w:jc w:val="center"/>
            </w:pPr>
            <w:r>
              <w:t>70%～80% f</w:t>
            </w:r>
            <w:r>
              <w:rPr>
                <w:rFonts w:hint="eastAsia"/>
                <w:vertAlign w:val="subscript"/>
              </w:rPr>
              <w:t>2</w:t>
            </w:r>
          </w:p>
        </w:tc>
        <w:tc>
          <w:tcPr>
            <w:tcW w:w="1134" w:type="dxa"/>
            <w:vMerge w:val="restart"/>
            <w:shd w:val="clear" w:color="auto" w:fill="auto"/>
            <w:vAlign w:val="center"/>
          </w:tcPr>
          <w:p>
            <w:pPr>
              <w:spacing w:line="276" w:lineRule="auto"/>
              <w:ind w:left="-105" w:leftChars="-50" w:right="-105" w:rightChars="-50"/>
              <w:jc w:val="center"/>
            </w:pPr>
            <w:r>
              <w:t>－</w:t>
            </w:r>
          </w:p>
        </w:tc>
        <w:tc>
          <w:tcPr>
            <w:tcW w:w="2552" w:type="dxa"/>
            <w:gridSpan w:val="2"/>
            <w:vMerge w:val="restart"/>
            <w:shd w:val="clear" w:color="auto" w:fill="auto"/>
            <w:vAlign w:val="center"/>
          </w:tcPr>
          <w:p>
            <w:pPr>
              <w:spacing w:line="276" w:lineRule="auto"/>
              <w:ind w:left="-105" w:leftChars="-50" w:right="-105" w:rightChars="-50"/>
              <w:jc w:val="center"/>
            </w:pPr>
            <w:r>
              <w:rPr>
                <w:rFonts w:hint="eastAsia"/>
              </w:rPr>
              <w:t>7</w:t>
            </w:r>
            <w:r>
              <w:t>0%～</w:t>
            </w:r>
            <w:r>
              <w:rPr>
                <w:rFonts w:hint="eastAsia"/>
              </w:rPr>
              <w:t>8</w:t>
            </w:r>
            <w:r>
              <w:t>0% f</w:t>
            </w:r>
            <w:r>
              <w:rPr>
                <w:rFonts w:hint="eastAsia"/>
                <w:vertAlign w:val="subscript"/>
              </w:rPr>
              <w:t>2</w:t>
            </w:r>
          </w:p>
        </w:tc>
        <w:tc>
          <w:tcPr>
            <w:tcW w:w="1134" w:type="dxa"/>
            <w:vMerge w:val="restart"/>
            <w:shd w:val="clear" w:color="auto" w:fill="auto"/>
            <w:vAlign w:val="center"/>
          </w:tcPr>
          <w:p>
            <w:pPr>
              <w:spacing w:line="276" w:lineRule="auto"/>
              <w:ind w:left="-105" w:leftChars="-50" w:right="-105" w:rightChars="-50"/>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519" w:type="dxa"/>
            <w:gridSpan w:val="2"/>
            <w:shd w:val="clear" w:color="auto" w:fill="auto"/>
            <w:vAlign w:val="center"/>
          </w:tcPr>
          <w:p>
            <w:pPr>
              <w:ind w:left="-105" w:leftChars="-50" w:right="-105" w:rightChars="-50"/>
              <w:jc w:val="center"/>
            </w:pPr>
            <w:r>
              <w:t>墙体内力</w:t>
            </w:r>
          </w:p>
        </w:tc>
        <w:tc>
          <w:tcPr>
            <w:tcW w:w="2543" w:type="dxa"/>
            <w:gridSpan w:val="2"/>
            <w:vMerge w:val="continue"/>
            <w:shd w:val="clear" w:color="auto" w:fill="auto"/>
            <w:vAlign w:val="center"/>
          </w:tcPr>
          <w:p>
            <w:pPr>
              <w:ind w:left="-105" w:leftChars="-50" w:right="-105" w:rightChars="-50"/>
              <w:jc w:val="center"/>
            </w:pPr>
          </w:p>
        </w:tc>
        <w:tc>
          <w:tcPr>
            <w:tcW w:w="1134" w:type="dxa"/>
            <w:vMerge w:val="continue"/>
            <w:shd w:val="clear" w:color="auto" w:fill="auto"/>
            <w:vAlign w:val="center"/>
          </w:tcPr>
          <w:p>
            <w:pPr>
              <w:ind w:left="-105" w:leftChars="-50" w:right="-105" w:rightChars="-50"/>
              <w:jc w:val="center"/>
            </w:pPr>
          </w:p>
        </w:tc>
        <w:tc>
          <w:tcPr>
            <w:tcW w:w="2551" w:type="dxa"/>
            <w:gridSpan w:val="2"/>
            <w:vMerge w:val="continue"/>
            <w:shd w:val="clear" w:color="auto" w:fill="auto"/>
            <w:vAlign w:val="center"/>
          </w:tcPr>
          <w:p>
            <w:pPr>
              <w:ind w:left="-105" w:leftChars="-50" w:right="-105" w:rightChars="-50"/>
              <w:jc w:val="center"/>
            </w:pPr>
          </w:p>
        </w:tc>
        <w:tc>
          <w:tcPr>
            <w:tcW w:w="1134" w:type="dxa"/>
            <w:vMerge w:val="continue"/>
            <w:shd w:val="clear" w:color="auto" w:fill="auto"/>
            <w:vAlign w:val="center"/>
          </w:tcPr>
          <w:p>
            <w:pPr>
              <w:ind w:left="-105" w:leftChars="-50" w:right="-105" w:rightChars="-50"/>
              <w:jc w:val="center"/>
            </w:pPr>
          </w:p>
        </w:tc>
        <w:tc>
          <w:tcPr>
            <w:tcW w:w="2552" w:type="dxa"/>
            <w:gridSpan w:val="2"/>
            <w:vMerge w:val="continue"/>
            <w:shd w:val="clear" w:color="auto" w:fill="auto"/>
            <w:vAlign w:val="center"/>
          </w:tcPr>
          <w:p>
            <w:pPr>
              <w:ind w:left="-105" w:leftChars="-50" w:right="-105" w:rightChars="-50"/>
              <w:jc w:val="center"/>
            </w:pPr>
          </w:p>
        </w:tc>
        <w:tc>
          <w:tcPr>
            <w:tcW w:w="1134" w:type="dxa"/>
            <w:vMerge w:val="continue"/>
            <w:shd w:val="clear" w:color="auto" w:fill="auto"/>
            <w:vAlign w:val="center"/>
          </w:tcPr>
          <w:p>
            <w:pPr>
              <w:ind w:left="-105" w:leftChars="-50" w:right="-105" w:rightChars="-5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3519" w:type="dxa"/>
            <w:gridSpan w:val="2"/>
            <w:shd w:val="clear" w:color="auto" w:fill="auto"/>
            <w:vAlign w:val="center"/>
          </w:tcPr>
          <w:p>
            <w:pPr>
              <w:ind w:left="-105" w:leftChars="-50" w:right="-105" w:rightChars="-50"/>
              <w:jc w:val="center"/>
            </w:pPr>
            <w:r>
              <w:t>锚杆</w:t>
            </w:r>
            <w:r>
              <w:rPr>
                <w:rFonts w:hint="eastAsia"/>
              </w:rPr>
              <w:t>内</w:t>
            </w:r>
            <w:r>
              <w:t>力</w:t>
            </w:r>
          </w:p>
        </w:tc>
        <w:tc>
          <w:tcPr>
            <w:tcW w:w="2543" w:type="dxa"/>
            <w:gridSpan w:val="2"/>
            <w:vMerge w:val="continue"/>
            <w:shd w:val="clear" w:color="auto" w:fill="auto"/>
            <w:vAlign w:val="center"/>
          </w:tcPr>
          <w:p>
            <w:pPr>
              <w:ind w:left="-105" w:leftChars="-50" w:right="-105" w:rightChars="-50"/>
              <w:jc w:val="center"/>
            </w:pPr>
          </w:p>
        </w:tc>
        <w:tc>
          <w:tcPr>
            <w:tcW w:w="1134" w:type="dxa"/>
            <w:vMerge w:val="continue"/>
            <w:shd w:val="clear" w:color="auto" w:fill="auto"/>
            <w:vAlign w:val="center"/>
          </w:tcPr>
          <w:p>
            <w:pPr>
              <w:ind w:left="-105" w:leftChars="-50" w:right="-105" w:rightChars="-50"/>
              <w:jc w:val="center"/>
            </w:pPr>
          </w:p>
        </w:tc>
        <w:tc>
          <w:tcPr>
            <w:tcW w:w="2551" w:type="dxa"/>
            <w:gridSpan w:val="2"/>
            <w:vMerge w:val="continue"/>
            <w:shd w:val="clear" w:color="auto" w:fill="auto"/>
            <w:vAlign w:val="center"/>
          </w:tcPr>
          <w:p>
            <w:pPr>
              <w:ind w:left="-105" w:leftChars="-50" w:right="-105" w:rightChars="-50"/>
              <w:jc w:val="center"/>
            </w:pPr>
          </w:p>
        </w:tc>
        <w:tc>
          <w:tcPr>
            <w:tcW w:w="1134" w:type="dxa"/>
            <w:vMerge w:val="continue"/>
            <w:shd w:val="clear" w:color="auto" w:fill="auto"/>
            <w:vAlign w:val="center"/>
          </w:tcPr>
          <w:p>
            <w:pPr>
              <w:ind w:left="-105" w:leftChars="-50" w:right="-105" w:rightChars="-50"/>
              <w:jc w:val="center"/>
            </w:pPr>
          </w:p>
        </w:tc>
        <w:tc>
          <w:tcPr>
            <w:tcW w:w="2552" w:type="dxa"/>
            <w:gridSpan w:val="2"/>
            <w:vMerge w:val="continue"/>
            <w:shd w:val="clear" w:color="auto" w:fill="auto"/>
            <w:vAlign w:val="center"/>
          </w:tcPr>
          <w:p>
            <w:pPr>
              <w:ind w:left="-105" w:leftChars="-50" w:right="-105" w:rightChars="-50"/>
              <w:jc w:val="center"/>
            </w:pPr>
          </w:p>
        </w:tc>
        <w:tc>
          <w:tcPr>
            <w:tcW w:w="1134" w:type="dxa"/>
            <w:vMerge w:val="continue"/>
            <w:shd w:val="clear" w:color="auto" w:fill="auto"/>
            <w:vAlign w:val="center"/>
          </w:tcPr>
          <w:p>
            <w:pPr>
              <w:ind w:left="-105" w:leftChars="-50" w:right="-105" w:rightChars="-5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19" w:type="dxa"/>
            <w:gridSpan w:val="2"/>
            <w:shd w:val="clear" w:color="auto" w:fill="auto"/>
            <w:vAlign w:val="center"/>
          </w:tcPr>
          <w:p>
            <w:pPr>
              <w:ind w:left="-105" w:leftChars="-50" w:right="-105" w:rightChars="-50"/>
              <w:jc w:val="center"/>
            </w:pPr>
            <w:r>
              <w:t>孔隙水压力</w:t>
            </w:r>
          </w:p>
        </w:tc>
        <w:tc>
          <w:tcPr>
            <w:tcW w:w="2543" w:type="dxa"/>
            <w:gridSpan w:val="2"/>
            <w:shd w:val="clear" w:color="auto" w:fill="auto"/>
            <w:vAlign w:val="center"/>
          </w:tcPr>
          <w:p>
            <w:pPr>
              <w:spacing w:line="276" w:lineRule="auto"/>
              <w:ind w:left="-105" w:leftChars="-50" w:right="-105" w:rightChars="-50"/>
              <w:jc w:val="center"/>
              <w:rPr>
                <w:vertAlign w:val="subscript"/>
              </w:rPr>
            </w:pPr>
            <w:r>
              <w:t>60%～70%f</w:t>
            </w:r>
            <w:r>
              <w:rPr>
                <w:rFonts w:hint="eastAsia"/>
                <w:vertAlign w:val="subscript"/>
              </w:rPr>
              <w:t>1</w:t>
            </w:r>
          </w:p>
        </w:tc>
        <w:tc>
          <w:tcPr>
            <w:tcW w:w="1134" w:type="dxa"/>
            <w:shd w:val="clear" w:color="auto" w:fill="auto"/>
            <w:vAlign w:val="center"/>
          </w:tcPr>
          <w:p>
            <w:pPr>
              <w:spacing w:line="276" w:lineRule="auto"/>
              <w:ind w:left="-105" w:leftChars="-50" w:right="-105" w:rightChars="-50"/>
              <w:jc w:val="center"/>
            </w:pPr>
            <w:r>
              <w:t>－</w:t>
            </w:r>
          </w:p>
        </w:tc>
        <w:tc>
          <w:tcPr>
            <w:tcW w:w="2551" w:type="dxa"/>
            <w:gridSpan w:val="2"/>
            <w:shd w:val="clear" w:color="auto" w:fill="auto"/>
            <w:vAlign w:val="center"/>
          </w:tcPr>
          <w:p>
            <w:pPr>
              <w:spacing w:line="276" w:lineRule="auto"/>
              <w:ind w:left="-105" w:leftChars="-50" w:right="-105" w:rightChars="-50"/>
              <w:jc w:val="center"/>
            </w:pPr>
            <w:r>
              <w:t>70%～80% f</w:t>
            </w:r>
            <w:r>
              <w:rPr>
                <w:rFonts w:hint="eastAsia"/>
                <w:vertAlign w:val="subscript"/>
              </w:rPr>
              <w:t>1</w:t>
            </w:r>
          </w:p>
        </w:tc>
        <w:tc>
          <w:tcPr>
            <w:tcW w:w="1134" w:type="dxa"/>
            <w:shd w:val="clear" w:color="auto" w:fill="auto"/>
            <w:vAlign w:val="center"/>
          </w:tcPr>
          <w:p>
            <w:pPr>
              <w:spacing w:line="276" w:lineRule="auto"/>
              <w:ind w:left="-105" w:leftChars="-50" w:right="-105" w:rightChars="-50"/>
              <w:jc w:val="center"/>
            </w:pPr>
            <w:r>
              <w:t>－</w:t>
            </w:r>
          </w:p>
        </w:tc>
        <w:tc>
          <w:tcPr>
            <w:tcW w:w="2552" w:type="dxa"/>
            <w:gridSpan w:val="2"/>
            <w:shd w:val="clear" w:color="auto" w:fill="auto"/>
            <w:vAlign w:val="center"/>
          </w:tcPr>
          <w:p>
            <w:pPr>
              <w:spacing w:line="276" w:lineRule="auto"/>
              <w:ind w:left="-105" w:leftChars="-50" w:right="-105" w:rightChars="-50"/>
              <w:jc w:val="center"/>
            </w:pPr>
            <w:r>
              <w:rPr>
                <w:rFonts w:hint="eastAsia"/>
              </w:rPr>
              <w:t>7</w:t>
            </w:r>
            <w:r>
              <w:t>0%～</w:t>
            </w:r>
            <w:r>
              <w:rPr>
                <w:rFonts w:hint="eastAsia"/>
              </w:rPr>
              <w:t>8</w:t>
            </w:r>
            <w:r>
              <w:t>0% f</w:t>
            </w:r>
            <w:r>
              <w:rPr>
                <w:rFonts w:hint="eastAsia"/>
                <w:vertAlign w:val="subscript"/>
              </w:rPr>
              <w:t>1</w:t>
            </w:r>
          </w:p>
        </w:tc>
        <w:tc>
          <w:tcPr>
            <w:tcW w:w="1134" w:type="dxa"/>
            <w:shd w:val="clear" w:color="auto" w:fill="auto"/>
            <w:vAlign w:val="center"/>
          </w:tcPr>
          <w:p>
            <w:pPr>
              <w:spacing w:line="276" w:lineRule="auto"/>
              <w:ind w:left="-105" w:leftChars="-50" w:right="-105" w:rightChars="-50"/>
              <w:jc w:val="center"/>
            </w:pPr>
            <w:r>
              <w:t>－</w:t>
            </w:r>
          </w:p>
        </w:tc>
      </w:tr>
    </w:tbl>
    <w:p>
      <w:pPr>
        <w:spacing w:line="360" w:lineRule="auto"/>
        <w:ind w:firstLine="420"/>
      </w:pPr>
      <w:r>
        <w:t>注：1  h 为基坑设计开挖深度；f</w:t>
      </w:r>
      <w:r>
        <w:rPr>
          <w:rFonts w:hint="eastAsia"/>
          <w:vertAlign w:val="subscript"/>
        </w:rPr>
        <w:t>1</w:t>
      </w:r>
      <w:r>
        <w:rPr>
          <w:rFonts w:hint="eastAsia"/>
        </w:rPr>
        <w:t>为荷载设计值，</w:t>
      </w:r>
      <w:r>
        <w:t>f</w:t>
      </w:r>
      <w:r>
        <w:rPr>
          <w:rFonts w:hint="eastAsia"/>
          <w:vertAlign w:val="subscript"/>
        </w:rPr>
        <w:t>2</w:t>
      </w:r>
      <w:r>
        <w:t>为</w:t>
      </w:r>
      <w:r>
        <w:rPr>
          <w:rFonts w:hint="eastAsia"/>
        </w:rPr>
        <w:t>构件承载能力设计值。</w:t>
      </w:r>
    </w:p>
    <w:p>
      <w:pPr>
        <w:spacing w:line="360" w:lineRule="auto"/>
        <w:ind w:firstLine="840" w:firstLineChars="400"/>
        <w:jc w:val="left"/>
      </w:pPr>
      <w:r>
        <w:t>2  累计值取绝对值和相对基坑深度控制值两者的小值。</w:t>
      </w:r>
    </w:p>
    <w:p>
      <w:pPr>
        <w:spacing w:line="360" w:lineRule="auto"/>
        <w:ind w:firstLine="840" w:firstLineChars="400"/>
        <w:jc w:val="left"/>
      </w:pPr>
      <w:r>
        <w:t>3  当监测项目的变化速度连续3天超过报警值的50%，应报警。</w:t>
      </w:r>
    </w:p>
    <w:p>
      <w:pPr>
        <w:spacing w:line="360" w:lineRule="auto"/>
        <w:ind w:firstLine="840" w:firstLineChars="400"/>
        <w:jc w:val="left"/>
        <w:sectPr>
          <w:pgSz w:w="16840" w:h="11907" w:orient="landscape"/>
          <w:pgMar w:top="1418" w:right="1134" w:bottom="1134" w:left="1134" w:header="851" w:footer="851" w:gutter="0"/>
          <w:cols w:space="720" w:num="1"/>
          <w:docGrid w:linePitch="312" w:charSpace="0"/>
        </w:sectPr>
      </w:pPr>
    </w:p>
    <w:p>
      <w:pPr>
        <w:spacing w:line="360" w:lineRule="auto"/>
        <w:rPr>
          <w:sz w:val="24"/>
        </w:rPr>
      </w:pPr>
      <w:r>
        <w:rPr>
          <w:b/>
          <w:sz w:val="24"/>
        </w:rPr>
        <w:t>8.4.</w:t>
      </w:r>
      <w:r>
        <w:rPr>
          <w:rFonts w:hint="eastAsia"/>
          <w:b/>
          <w:sz w:val="24"/>
        </w:rPr>
        <w:t>4</w:t>
      </w:r>
      <w:r>
        <w:rPr>
          <w:b/>
          <w:sz w:val="24"/>
        </w:rPr>
        <w:t xml:space="preserve"> </w:t>
      </w:r>
      <w:r>
        <w:rPr>
          <w:sz w:val="24"/>
        </w:rPr>
        <w:t xml:space="preserve"> </w:t>
      </w:r>
      <w:r>
        <w:rPr>
          <w:rFonts w:hint="eastAsia"/>
          <w:sz w:val="24"/>
        </w:rPr>
        <w:t>基坑周边环境监测报警值应根据被保护对象的要求确定，也可参照表8.4.4确定。</w:t>
      </w:r>
    </w:p>
    <w:p>
      <w:pPr>
        <w:spacing w:line="360" w:lineRule="auto"/>
        <w:jc w:val="center"/>
        <w:rPr>
          <w:b/>
          <w:sz w:val="24"/>
        </w:rPr>
      </w:pPr>
      <w:r>
        <w:rPr>
          <w:b/>
          <w:sz w:val="24"/>
        </w:rPr>
        <w:t>表8.4.4　基坑周边环境监控报警值</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205"/>
        <w:gridCol w:w="1204"/>
        <w:gridCol w:w="1485"/>
        <w:gridCol w:w="1366"/>
        <w:gridCol w:w="1627"/>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83" w:type="dxa"/>
            <w:gridSpan w:val="3"/>
            <w:vMerge w:val="restart"/>
            <w:tcBorders>
              <w:tl2br w:val="single" w:color="auto" w:sz="4" w:space="0"/>
            </w:tcBorders>
            <w:shd w:val="clear" w:color="auto" w:fill="auto"/>
          </w:tcPr>
          <w:p>
            <w:pPr>
              <w:ind w:firstLine="2100" w:firstLineChars="1000"/>
            </w:pPr>
            <w:r>
              <w:t>项　目</w:t>
            </w:r>
          </w:p>
          <w:p>
            <w:r>
              <w:t>监　测　对　象</w:t>
            </w:r>
          </w:p>
        </w:tc>
        <w:tc>
          <w:tcPr>
            <w:tcW w:w="2851" w:type="dxa"/>
            <w:gridSpan w:val="2"/>
            <w:shd w:val="clear" w:color="auto" w:fill="auto"/>
          </w:tcPr>
          <w:p>
            <w:pPr>
              <w:jc w:val="center"/>
            </w:pPr>
            <w:r>
              <w:t>累计值</w:t>
            </w:r>
          </w:p>
        </w:tc>
        <w:tc>
          <w:tcPr>
            <w:tcW w:w="1627" w:type="dxa"/>
            <w:vMerge w:val="restart"/>
            <w:shd w:val="clear" w:color="auto" w:fill="auto"/>
            <w:vAlign w:val="center"/>
          </w:tcPr>
          <w:p>
            <w:pPr>
              <w:jc w:val="center"/>
            </w:pPr>
            <w:r>
              <w:t>变化速率(mm/d)</w:t>
            </w:r>
          </w:p>
        </w:tc>
        <w:tc>
          <w:tcPr>
            <w:tcW w:w="1227" w:type="dxa"/>
            <w:vMerge w:val="restart"/>
            <w:shd w:val="clear" w:color="auto" w:fill="auto"/>
            <w:vAlign w:val="center"/>
          </w:tcPr>
          <w:p>
            <w:pPr>
              <w:jc w:val="center"/>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83" w:type="dxa"/>
            <w:gridSpan w:val="3"/>
            <w:vMerge w:val="continue"/>
            <w:tcBorders>
              <w:tl2br w:val="single" w:color="auto" w:sz="4" w:space="0"/>
            </w:tcBorders>
            <w:shd w:val="clear" w:color="auto" w:fill="auto"/>
          </w:tcPr>
          <w:p/>
        </w:tc>
        <w:tc>
          <w:tcPr>
            <w:tcW w:w="1485" w:type="dxa"/>
            <w:shd w:val="clear" w:color="auto" w:fill="auto"/>
            <w:vAlign w:val="center"/>
          </w:tcPr>
          <w:p>
            <w:r>
              <w:t>绝对值(mm)</w:t>
            </w:r>
          </w:p>
        </w:tc>
        <w:tc>
          <w:tcPr>
            <w:tcW w:w="1366" w:type="dxa"/>
            <w:shd w:val="clear" w:color="auto" w:fill="auto"/>
            <w:vAlign w:val="center"/>
          </w:tcPr>
          <w:p>
            <w:pPr>
              <w:jc w:val="center"/>
            </w:pPr>
            <w:r>
              <w:t>倾斜</w:t>
            </w:r>
          </w:p>
        </w:tc>
        <w:tc>
          <w:tcPr>
            <w:tcW w:w="1627" w:type="dxa"/>
            <w:vMerge w:val="continue"/>
            <w:shd w:val="clear" w:color="auto" w:fill="auto"/>
          </w:tcPr>
          <w:p/>
        </w:tc>
        <w:tc>
          <w:tcPr>
            <w:tcW w:w="1227"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83" w:type="dxa"/>
            <w:gridSpan w:val="3"/>
            <w:shd w:val="clear" w:color="auto" w:fill="auto"/>
          </w:tcPr>
          <w:p>
            <w:r>
              <w:t>地下水位变化</w:t>
            </w:r>
          </w:p>
        </w:tc>
        <w:tc>
          <w:tcPr>
            <w:tcW w:w="1485" w:type="dxa"/>
            <w:shd w:val="clear" w:color="auto" w:fill="auto"/>
            <w:vAlign w:val="center"/>
          </w:tcPr>
          <w:p>
            <w:pPr>
              <w:jc w:val="center"/>
            </w:pPr>
            <w:r>
              <w:t>1000</w:t>
            </w:r>
          </w:p>
        </w:tc>
        <w:tc>
          <w:tcPr>
            <w:tcW w:w="1366" w:type="dxa"/>
            <w:shd w:val="clear" w:color="auto" w:fill="auto"/>
            <w:vAlign w:val="center"/>
          </w:tcPr>
          <w:p>
            <w:pPr>
              <w:jc w:val="center"/>
            </w:pPr>
            <w:r>
              <w:t>—</w:t>
            </w:r>
          </w:p>
        </w:tc>
        <w:tc>
          <w:tcPr>
            <w:tcW w:w="1627" w:type="dxa"/>
            <w:shd w:val="clear" w:color="auto" w:fill="auto"/>
            <w:vAlign w:val="center"/>
          </w:tcPr>
          <w:p>
            <w:pPr>
              <w:jc w:val="center"/>
            </w:pPr>
            <w:r>
              <w:t>500</w:t>
            </w:r>
          </w:p>
        </w:tc>
        <w:tc>
          <w:tcPr>
            <w:tcW w:w="1227" w:type="dxa"/>
            <w:shd w:val="clear" w:color="auto" w:fill="auto"/>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4" w:type="dxa"/>
            <w:vMerge w:val="restart"/>
            <w:shd w:val="clear" w:color="auto" w:fill="auto"/>
            <w:vAlign w:val="center"/>
          </w:tcPr>
          <w:p>
            <w:r>
              <w:t>管线位移</w:t>
            </w:r>
          </w:p>
        </w:tc>
        <w:tc>
          <w:tcPr>
            <w:tcW w:w="1205" w:type="dxa"/>
            <w:vMerge w:val="restart"/>
            <w:shd w:val="clear" w:color="auto" w:fill="auto"/>
            <w:vAlign w:val="center"/>
          </w:tcPr>
          <w:p>
            <w:r>
              <w:t>刚性管道</w:t>
            </w:r>
          </w:p>
        </w:tc>
        <w:tc>
          <w:tcPr>
            <w:tcW w:w="1204" w:type="dxa"/>
            <w:shd w:val="clear" w:color="auto" w:fill="auto"/>
          </w:tcPr>
          <w:p>
            <w:r>
              <w:t>压力</w:t>
            </w:r>
          </w:p>
        </w:tc>
        <w:tc>
          <w:tcPr>
            <w:tcW w:w="1485" w:type="dxa"/>
            <w:shd w:val="clear" w:color="auto" w:fill="auto"/>
            <w:vAlign w:val="center"/>
          </w:tcPr>
          <w:p>
            <w:pPr>
              <w:jc w:val="center"/>
            </w:pPr>
            <w:r>
              <w:t>10～30</w:t>
            </w:r>
          </w:p>
        </w:tc>
        <w:tc>
          <w:tcPr>
            <w:tcW w:w="1366" w:type="dxa"/>
            <w:shd w:val="clear" w:color="auto" w:fill="auto"/>
            <w:vAlign w:val="center"/>
          </w:tcPr>
          <w:p>
            <w:pPr>
              <w:jc w:val="center"/>
            </w:pPr>
            <w:r>
              <w:t>—</w:t>
            </w:r>
          </w:p>
        </w:tc>
        <w:tc>
          <w:tcPr>
            <w:tcW w:w="1627" w:type="dxa"/>
            <w:shd w:val="clear" w:color="auto" w:fill="auto"/>
            <w:vAlign w:val="center"/>
          </w:tcPr>
          <w:p>
            <w:pPr>
              <w:jc w:val="center"/>
            </w:pPr>
            <w:r>
              <w:t>1～3</w:t>
            </w:r>
          </w:p>
        </w:tc>
        <w:tc>
          <w:tcPr>
            <w:tcW w:w="1227" w:type="dxa"/>
            <w:vMerge w:val="restart"/>
            <w:shd w:val="clear" w:color="auto" w:fill="auto"/>
            <w:vAlign w:val="center"/>
          </w:tcPr>
          <w:p>
            <w:r>
              <w:t>直接观察点数据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4" w:type="dxa"/>
            <w:vMerge w:val="continue"/>
            <w:shd w:val="clear" w:color="auto" w:fill="auto"/>
          </w:tcPr>
          <w:p/>
        </w:tc>
        <w:tc>
          <w:tcPr>
            <w:tcW w:w="1205" w:type="dxa"/>
            <w:vMerge w:val="continue"/>
            <w:shd w:val="clear" w:color="auto" w:fill="auto"/>
          </w:tcPr>
          <w:p/>
        </w:tc>
        <w:tc>
          <w:tcPr>
            <w:tcW w:w="1204" w:type="dxa"/>
            <w:shd w:val="clear" w:color="auto" w:fill="auto"/>
          </w:tcPr>
          <w:p>
            <w:r>
              <w:t>非压力</w:t>
            </w:r>
          </w:p>
        </w:tc>
        <w:tc>
          <w:tcPr>
            <w:tcW w:w="1485" w:type="dxa"/>
            <w:shd w:val="clear" w:color="auto" w:fill="auto"/>
            <w:vAlign w:val="center"/>
          </w:tcPr>
          <w:p>
            <w:pPr>
              <w:jc w:val="center"/>
            </w:pPr>
            <w:r>
              <w:t>10～40</w:t>
            </w:r>
          </w:p>
        </w:tc>
        <w:tc>
          <w:tcPr>
            <w:tcW w:w="1366" w:type="dxa"/>
            <w:shd w:val="clear" w:color="auto" w:fill="auto"/>
            <w:vAlign w:val="center"/>
          </w:tcPr>
          <w:p>
            <w:pPr>
              <w:jc w:val="center"/>
            </w:pPr>
            <w:r>
              <w:t>—</w:t>
            </w:r>
          </w:p>
        </w:tc>
        <w:tc>
          <w:tcPr>
            <w:tcW w:w="1627" w:type="dxa"/>
            <w:shd w:val="clear" w:color="auto" w:fill="auto"/>
            <w:vAlign w:val="center"/>
          </w:tcPr>
          <w:p>
            <w:pPr>
              <w:jc w:val="center"/>
            </w:pPr>
            <w:r>
              <w:t>3～5</w:t>
            </w:r>
          </w:p>
        </w:tc>
        <w:tc>
          <w:tcPr>
            <w:tcW w:w="1227" w:type="dxa"/>
            <w:vMerge w:val="continue"/>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4" w:type="dxa"/>
            <w:vMerge w:val="continue"/>
            <w:shd w:val="clear" w:color="auto" w:fill="auto"/>
          </w:tcPr>
          <w:p/>
        </w:tc>
        <w:tc>
          <w:tcPr>
            <w:tcW w:w="2409" w:type="dxa"/>
            <w:gridSpan w:val="2"/>
            <w:shd w:val="clear" w:color="auto" w:fill="auto"/>
          </w:tcPr>
          <w:p>
            <w:r>
              <w:t>柔性管道</w:t>
            </w:r>
          </w:p>
        </w:tc>
        <w:tc>
          <w:tcPr>
            <w:tcW w:w="1485" w:type="dxa"/>
            <w:shd w:val="clear" w:color="auto" w:fill="auto"/>
            <w:vAlign w:val="center"/>
          </w:tcPr>
          <w:p>
            <w:pPr>
              <w:jc w:val="center"/>
            </w:pPr>
            <w:r>
              <w:t>10～40</w:t>
            </w:r>
          </w:p>
        </w:tc>
        <w:tc>
          <w:tcPr>
            <w:tcW w:w="1366" w:type="dxa"/>
            <w:shd w:val="clear" w:color="auto" w:fill="auto"/>
            <w:vAlign w:val="center"/>
          </w:tcPr>
          <w:p>
            <w:pPr>
              <w:jc w:val="center"/>
            </w:pPr>
          </w:p>
        </w:tc>
        <w:tc>
          <w:tcPr>
            <w:tcW w:w="1627" w:type="dxa"/>
            <w:shd w:val="clear" w:color="auto" w:fill="auto"/>
            <w:vAlign w:val="center"/>
          </w:tcPr>
          <w:p>
            <w:pPr>
              <w:jc w:val="center"/>
            </w:pPr>
            <w:r>
              <w:t>3～5</w:t>
            </w:r>
          </w:p>
        </w:tc>
        <w:tc>
          <w:tcPr>
            <w:tcW w:w="1227" w:type="dxa"/>
            <w:shd w:val="clear" w:color="auto" w:fill="auto"/>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9" w:type="dxa"/>
            <w:gridSpan w:val="2"/>
            <w:vMerge w:val="restart"/>
            <w:shd w:val="clear" w:color="auto" w:fill="auto"/>
            <w:vAlign w:val="center"/>
          </w:tcPr>
          <w:p>
            <w:r>
              <w:t>邻近建筑物</w:t>
            </w:r>
          </w:p>
        </w:tc>
        <w:tc>
          <w:tcPr>
            <w:tcW w:w="1204" w:type="dxa"/>
            <w:shd w:val="clear" w:color="auto" w:fill="auto"/>
          </w:tcPr>
          <w:p>
            <w:r>
              <w:t>最大沉降</w:t>
            </w:r>
          </w:p>
        </w:tc>
        <w:tc>
          <w:tcPr>
            <w:tcW w:w="1485" w:type="dxa"/>
            <w:shd w:val="clear" w:color="auto" w:fill="auto"/>
            <w:vAlign w:val="center"/>
          </w:tcPr>
          <w:p>
            <w:pPr>
              <w:jc w:val="center"/>
            </w:pPr>
            <w:r>
              <w:t>10～60</w:t>
            </w:r>
          </w:p>
        </w:tc>
        <w:tc>
          <w:tcPr>
            <w:tcW w:w="1366" w:type="dxa"/>
            <w:shd w:val="clear" w:color="auto" w:fill="auto"/>
            <w:vAlign w:val="center"/>
          </w:tcPr>
          <w:p>
            <w:pPr>
              <w:jc w:val="center"/>
            </w:pPr>
            <w:r>
              <w:t>—</w:t>
            </w:r>
          </w:p>
        </w:tc>
        <w:tc>
          <w:tcPr>
            <w:tcW w:w="1627" w:type="dxa"/>
            <w:shd w:val="clear" w:color="auto" w:fill="auto"/>
            <w:vAlign w:val="center"/>
          </w:tcPr>
          <w:p>
            <w:pPr>
              <w:jc w:val="center"/>
            </w:pPr>
            <w:r>
              <w:t>—</w:t>
            </w:r>
          </w:p>
        </w:tc>
        <w:tc>
          <w:tcPr>
            <w:tcW w:w="1227" w:type="dxa"/>
            <w:shd w:val="clear" w:color="auto" w:fill="auto"/>
          </w:tcPr>
          <w:p>
            <w:pPr>
              <w:jc w:val="center"/>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9" w:type="dxa"/>
            <w:gridSpan w:val="2"/>
            <w:vMerge w:val="continue"/>
            <w:shd w:val="clear" w:color="auto" w:fill="auto"/>
          </w:tcPr>
          <w:p/>
        </w:tc>
        <w:tc>
          <w:tcPr>
            <w:tcW w:w="1204" w:type="dxa"/>
            <w:shd w:val="clear" w:color="auto" w:fill="auto"/>
          </w:tcPr>
          <w:p>
            <w:r>
              <w:t>差异沉降</w:t>
            </w:r>
          </w:p>
        </w:tc>
        <w:tc>
          <w:tcPr>
            <w:tcW w:w="1485" w:type="dxa"/>
            <w:shd w:val="clear" w:color="auto" w:fill="auto"/>
            <w:vAlign w:val="center"/>
          </w:tcPr>
          <w:p>
            <w:pPr>
              <w:jc w:val="center"/>
            </w:pPr>
            <w:r>
              <w:t>—</w:t>
            </w:r>
          </w:p>
        </w:tc>
        <w:tc>
          <w:tcPr>
            <w:tcW w:w="1366" w:type="dxa"/>
            <w:shd w:val="clear" w:color="auto" w:fill="auto"/>
            <w:vAlign w:val="center"/>
          </w:tcPr>
          <w:p>
            <w:pPr>
              <w:jc w:val="center"/>
            </w:pPr>
            <w:r>
              <w:t>2/1000</w:t>
            </w:r>
          </w:p>
        </w:tc>
        <w:tc>
          <w:tcPr>
            <w:tcW w:w="1627" w:type="dxa"/>
            <w:shd w:val="clear" w:color="auto" w:fill="auto"/>
            <w:vAlign w:val="center"/>
          </w:tcPr>
          <w:p>
            <w:pPr>
              <w:jc w:val="center"/>
            </w:pPr>
            <w:r>
              <w:t>0.1H/1000</w:t>
            </w:r>
          </w:p>
        </w:tc>
        <w:tc>
          <w:tcPr>
            <w:tcW w:w="1227" w:type="dxa"/>
            <w:shd w:val="clear" w:color="auto" w:fill="auto"/>
          </w:tcPr>
          <w:p>
            <w:pPr>
              <w:jc w:val="center"/>
            </w:pPr>
            <w:r>
              <w:t>—</w:t>
            </w:r>
          </w:p>
        </w:tc>
      </w:tr>
    </w:tbl>
    <w:p>
      <w:pPr>
        <w:spacing w:line="360" w:lineRule="auto"/>
        <w:ind w:firstLine="420" w:firstLineChars="200"/>
        <w:jc w:val="left"/>
      </w:pPr>
      <w:r>
        <w:t>注：1  H为建筑物承重结构高度</w:t>
      </w:r>
      <w:r>
        <w:rPr>
          <w:rFonts w:hint="eastAsia"/>
        </w:rPr>
        <w:t>；</w:t>
      </w:r>
    </w:p>
    <w:p>
      <w:pPr>
        <w:spacing w:line="360" w:lineRule="auto"/>
        <w:ind w:left="1155" w:leftChars="400" w:hanging="315" w:hangingChars="150"/>
        <w:jc w:val="left"/>
      </w:pPr>
      <w:r>
        <w:t>2  第3项累计值取最大沉降和差异沉降两者的小值</w:t>
      </w:r>
      <w:r>
        <w:rPr>
          <w:rFonts w:hint="eastAsia"/>
        </w:rPr>
        <w:t>；</w:t>
      </w:r>
    </w:p>
    <w:p>
      <w:pPr>
        <w:spacing w:line="360" w:lineRule="auto"/>
        <w:ind w:left="1155" w:leftChars="400" w:hanging="315" w:hangingChars="150"/>
        <w:jc w:val="left"/>
      </w:pPr>
      <w:r>
        <w:rPr>
          <w:rFonts w:hint="eastAsia"/>
        </w:rPr>
        <w:t>3  既有城市轨道交通的监控报警值按《城市轨道交通工程监测技术规范》GB50911、《城市轨道交通结构安全保护技术规范》CJJ/T 202等相关标准的规定执行。</w:t>
      </w:r>
    </w:p>
    <w:p>
      <w:pPr>
        <w:spacing w:line="360" w:lineRule="auto"/>
        <w:rPr>
          <w:sz w:val="24"/>
        </w:rPr>
      </w:pPr>
      <w:r>
        <w:rPr>
          <w:b/>
          <w:sz w:val="24"/>
        </w:rPr>
        <w:t>8.4.5</w:t>
      </w:r>
      <w:r>
        <w:rPr>
          <w:sz w:val="24"/>
        </w:rPr>
        <w:t xml:space="preserve">  在基坑</w:t>
      </w:r>
      <w:r>
        <w:rPr>
          <w:rFonts w:hint="eastAsia"/>
          <w:sz w:val="24"/>
        </w:rPr>
        <w:t>施工</w:t>
      </w:r>
      <w:r>
        <w:rPr>
          <w:sz w:val="24"/>
        </w:rPr>
        <w:t>及</w:t>
      </w:r>
      <w:r>
        <w:rPr>
          <w:rFonts w:hint="eastAsia"/>
          <w:sz w:val="24"/>
        </w:rPr>
        <w:t>运行</w:t>
      </w:r>
      <w:r>
        <w:rPr>
          <w:sz w:val="24"/>
        </w:rPr>
        <w:t>期内，应对支护结构和周边环境进行巡</w:t>
      </w:r>
      <w:r>
        <w:rPr>
          <w:rFonts w:hint="eastAsia"/>
          <w:sz w:val="24"/>
        </w:rPr>
        <w:t>视检</w:t>
      </w:r>
      <w:r>
        <w:rPr>
          <w:sz w:val="24"/>
        </w:rPr>
        <w:t>查，巡</w:t>
      </w:r>
      <w:r>
        <w:rPr>
          <w:rFonts w:hint="eastAsia"/>
          <w:sz w:val="24"/>
        </w:rPr>
        <w:t>视检</w:t>
      </w:r>
      <w:r>
        <w:rPr>
          <w:sz w:val="24"/>
        </w:rPr>
        <w:t>查</w:t>
      </w:r>
      <w:r>
        <w:rPr>
          <w:rFonts w:hint="eastAsia"/>
          <w:sz w:val="24"/>
        </w:rPr>
        <w:t>内容主要应包括</w:t>
      </w:r>
      <w:r>
        <w:rPr>
          <w:sz w:val="24"/>
        </w:rPr>
        <w:t>：</w:t>
      </w:r>
    </w:p>
    <w:p>
      <w:pPr>
        <w:spacing w:line="360" w:lineRule="auto"/>
        <w:ind w:firstLine="480" w:firstLineChars="200"/>
        <w:jc w:val="left"/>
        <w:rPr>
          <w:sz w:val="24"/>
        </w:rPr>
      </w:pPr>
      <w:r>
        <w:rPr>
          <w:sz w:val="24"/>
        </w:rPr>
        <w:t>1  基坑外地面和道路开裂、沉陷</w:t>
      </w:r>
      <w:r>
        <w:rPr>
          <w:rFonts w:hint="eastAsia"/>
          <w:sz w:val="24"/>
        </w:rPr>
        <w:t>、</w:t>
      </w:r>
      <w:r>
        <w:rPr>
          <w:sz w:val="24"/>
        </w:rPr>
        <w:t>隆起</w:t>
      </w:r>
      <w:r>
        <w:rPr>
          <w:rFonts w:hint="eastAsia"/>
          <w:sz w:val="24"/>
        </w:rPr>
        <w:t>、</w:t>
      </w:r>
      <w:r>
        <w:rPr>
          <w:sz w:val="24"/>
        </w:rPr>
        <w:t>冒浆；</w:t>
      </w:r>
    </w:p>
    <w:p>
      <w:pPr>
        <w:spacing w:line="360" w:lineRule="auto"/>
        <w:ind w:firstLine="480" w:firstLineChars="200"/>
        <w:jc w:val="left"/>
        <w:rPr>
          <w:sz w:val="24"/>
        </w:rPr>
      </w:pPr>
      <w:r>
        <w:rPr>
          <w:sz w:val="24"/>
        </w:rPr>
        <w:t>2  基坑周边建筑物、围墙开裂、倾斜；</w:t>
      </w:r>
    </w:p>
    <w:p>
      <w:pPr>
        <w:spacing w:line="360" w:lineRule="auto"/>
        <w:ind w:firstLine="480" w:firstLineChars="200"/>
        <w:jc w:val="left"/>
        <w:rPr>
          <w:sz w:val="24"/>
        </w:rPr>
      </w:pPr>
      <w:r>
        <w:rPr>
          <w:sz w:val="24"/>
        </w:rPr>
        <w:t>3  基坑周边水管漏水、破裂、燃气管漏气；</w:t>
      </w:r>
    </w:p>
    <w:p>
      <w:pPr>
        <w:spacing w:line="360" w:lineRule="auto"/>
        <w:ind w:firstLine="480" w:firstLineChars="200"/>
        <w:jc w:val="left"/>
        <w:rPr>
          <w:sz w:val="24"/>
        </w:rPr>
      </w:pPr>
      <w:r>
        <w:rPr>
          <w:sz w:val="24"/>
        </w:rPr>
        <w:t xml:space="preserve">4  </w:t>
      </w:r>
      <w:r>
        <w:rPr>
          <w:rFonts w:hint="eastAsia"/>
          <w:sz w:val="24"/>
        </w:rPr>
        <w:t>支护结构</w:t>
      </w:r>
      <w:r>
        <w:rPr>
          <w:sz w:val="24"/>
        </w:rPr>
        <w:t>构件</w:t>
      </w:r>
      <w:r>
        <w:rPr>
          <w:rFonts w:hint="eastAsia"/>
          <w:sz w:val="24"/>
        </w:rPr>
        <w:t>变形、</w:t>
      </w:r>
      <w:r>
        <w:rPr>
          <w:sz w:val="24"/>
        </w:rPr>
        <w:t>开裂；</w:t>
      </w:r>
    </w:p>
    <w:p>
      <w:pPr>
        <w:spacing w:line="360" w:lineRule="auto"/>
        <w:ind w:firstLine="480" w:firstLineChars="200"/>
        <w:jc w:val="left"/>
        <w:rPr>
          <w:sz w:val="24"/>
        </w:rPr>
      </w:pPr>
      <w:r>
        <w:rPr>
          <w:sz w:val="24"/>
        </w:rPr>
        <w:t>5  锚杆锚头松动，</w:t>
      </w:r>
      <w:r>
        <w:rPr>
          <w:rFonts w:hint="eastAsia"/>
          <w:sz w:val="24"/>
        </w:rPr>
        <w:t>围檩</w:t>
      </w:r>
      <w:r>
        <w:rPr>
          <w:sz w:val="24"/>
        </w:rPr>
        <w:t>及支座变形，连接破损等；</w:t>
      </w:r>
    </w:p>
    <w:p>
      <w:pPr>
        <w:spacing w:line="360" w:lineRule="auto"/>
        <w:ind w:firstLine="480" w:firstLineChars="200"/>
        <w:jc w:val="left"/>
        <w:rPr>
          <w:sz w:val="24"/>
        </w:rPr>
      </w:pPr>
      <w:r>
        <w:rPr>
          <w:rFonts w:hint="eastAsia"/>
          <w:sz w:val="24"/>
        </w:rPr>
        <w:t>6</w:t>
      </w:r>
      <w:r>
        <w:rPr>
          <w:sz w:val="24"/>
        </w:rPr>
        <w:t xml:space="preserve">  土钉墙面层开裂和错动；</w:t>
      </w:r>
    </w:p>
    <w:p>
      <w:pPr>
        <w:spacing w:line="360" w:lineRule="auto"/>
        <w:ind w:firstLine="480" w:firstLineChars="200"/>
        <w:jc w:val="left"/>
        <w:rPr>
          <w:sz w:val="24"/>
        </w:rPr>
      </w:pPr>
      <w:r>
        <w:rPr>
          <w:rFonts w:hint="eastAsia"/>
          <w:sz w:val="24"/>
        </w:rPr>
        <w:t>7</w:t>
      </w:r>
      <w:r>
        <w:rPr>
          <w:sz w:val="24"/>
        </w:rPr>
        <w:t xml:space="preserve">  基坑侧壁渗水、漏水、流砂等；</w:t>
      </w:r>
    </w:p>
    <w:p>
      <w:pPr>
        <w:spacing w:line="360" w:lineRule="auto"/>
        <w:ind w:firstLine="480" w:firstLineChars="200"/>
        <w:jc w:val="left"/>
        <w:rPr>
          <w:sz w:val="24"/>
        </w:rPr>
      </w:pPr>
      <w:r>
        <w:rPr>
          <w:rFonts w:hint="eastAsia"/>
          <w:sz w:val="24"/>
        </w:rPr>
        <w:t>8  坑底</w:t>
      </w:r>
      <w:r>
        <w:rPr>
          <w:sz w:val="24"/>
        </w:rPr>
        <w:t>隆起</w:t>
      </w:r>
      <w:r>
        <w:rPr>
          <w:rFonts w:hint="eastAsia"/>
          <w:sz w:val="24"/>
        </w:rPr>
        <w:t>、涌水、涌砂等；</w:t>
      </w:r>
    </w:p>
    <w:p>
      <w:pPr>
        <w:spacing w:line="360" w:lineRule="auto"/>
        <w:ind w:firstLine="480" w:firstLineChars="200"/>
        <w:jc w:val="left"/>
        <w:rPr>
          <w:sz w:val="24"/>
        </w:rPr>
      </w:pPr>
      <w:r>
        <w:rPr>
          <w:rFonts w:hint="eastAsia"/>
          <w:sz w:val="24"/>
        </w:rPr>
        <w:t>9</w:t>
      </w:r>
      <w:r>
        <w:rPr>
          <w:sz w:val="24"/>
        </w:rPr>
        <w:t xml:space="preserve">  </w:t>
      </w:r>
      <w:r>
        <w:rPr>
          <w:rFonts w:hint="eastAsia"/>
          <w:sz w:val="24"/>
        </w:rPr>
        <w:t>坑内外水位异常变化，</w:t>
      </w:r>
      <w:r>
        <w:rPr>
          <w:sz w:val="24"/>
        </w:rPr>
        <w:t>基坑排水</w:t>
      </w:r>
      <w:r>
        <w:rPr>
          <w:rFonts w:hint="eastAsia"/>
          <w:sz w:val="24"/>
        </w:rPr>
        <w:t>不通</w:t>
      </w:r>
      <w:r>
        <w:rPr>
          <w:sz w:val="24"/>
        </w:rPr>
        <w:t>畅。</w:t>
      </w:r>
    </w:p>
    <w:p>
      <w:pPr>
        <w:spacing w:line="360" w:lineRule="auto"/>
        <w:rPr>
          <w:sz w:val="24"/>
        </w:rPr>
      </w:pPr>
      <w:r>
        <w:rPr>
          <w:b/>
          <w:sz w:val="24"/>
        </w:rPr>
        <w:t>8.4.</w:t>
      </w:r>
      <w:r>
        <w:rPr>
          <w:rFonts w:hint="eastAsia"/>
          <w:b/>
          <w:sz w:val="24"/>
        </w:rPr>
        <w:t>6</w:t>
      </w:r>
      <w:r>
        <w:rPr>
          <w:sz w:val="24"/>
        </w:rPr>
        <w:t xml:space="preserve">  基坑监测数据、现场巡查结果应及时整理和反馈。当出现下列危险征兆时应立即报警</w:t>
      </w:r>
      <w:r>
        <w:rPr>
          <w:rFonts w:hint="eastAsia"/>
          <w:sz w:val="24"/>
        </w:rPr>
        <w:t>，</w:t>
      </w:r>
      <w:r>
        <w:rPr>
          <w:sz w:val="24"/>
        </w:rPr>
        <w:t>并提高监测频率：</w:t>
      </w:r>
    </w:p>
    <w:p>
      <w:pPr>
        <w:spacing w:line="360" w:lineRule="auto"/>
        <w:ind w:firstLine="480" w:firstLineChars="200"/>
        <w:jc w:val="left"/>
        <w:rPr>
          <w:sz w:val="24"/>
        </w:rPr>
      </w:pPr>
      <w:r>
        <w:rPr>
          <w:sz w:val="24"/>
        </w:rPr>
        <w:t>1  支护结构位移达到设计规定的位移限值；</w:t>
      </w:r>
    </w:p>
    <w:p>
      <w:pPr>
        <w:spacing w:line="360" w:lineRule="auto"/>
        <w:ind w:firstLine="480" w:firstLineChars="200"/>
        <w:jc w:val="left"/>
        <w:rPr>
          <w:sz w:val="24"/>
        </w:rPr>
      </w:pPr>
      <w:r>
        <w:rPr>
          <w:sz w:val="24"/>
        </w:rPr>
        <w:t>2  支护结构位移速</w:t>
      </w:r>
      <w:r>
        <w:rPr>
          <w:rFonts w:hint="eastAsia"/>
          <w:sz w:val="24"/>
        </w:rPr>
        <w:t>率</w:t>
      </w:r>
      <w:r>
        <w:rPr>
          <w:sz w:val="24"/>
        </w:rPr>
        <w:t>增</w:t>
      </w:r>
      <w:r>
        <w:rPr>
          <w:rFonts w:hint="eastAsia"/>
          <w:sz w:val="24"/>
        </w:rPr>
        <w:t>大</w:t>
      </w:r>
      <w:r>
        <w:rPr>
          <w:sz w:val="24"/>
        </w:rPr>
        <w:t>且不收敛；</w:t>
      </w:r>
    </w:p>
    <w:p>
      <w:pPr>
        <w:spacing w:line="360" w:lineRule="auto"/>
        <w:ind w:firstLine="480" w:firstLineChars="200"/>
        <w:jc w:val="left"/>
        <w:rPr>
          <w:sz w:val="24"/>
        </w:rPr>
      </w:pPr>
      <w:r>
        <w:rPr>
          <w:sz w:val="24"/>
        </w:rPr>
        <w:t>3  支护结构构件的内力超过其设计值；</w:t>
      </w:r>
    </w:p>
    <w:p>
      <w:pPr>
        <w:spacing w:line="360" w:lineRule="auto"/>
        <w:ind w:firstLine="480" w:firstLineChars="200"/>
        <w:jc w:val="left"/>
        <w:rPr>
          <w:sz w:val="24"/>
        </w:rPr>
      </w:pPr>
      <w:r>
        <w:rPr>
          <w:sz w:val="24"/>
        </w:rPr>
        <w:t>4  基坑周边建筑物、道路、地面的沉降达到设计规定的沉降、倾斜限值；基坑周边建筑物、道路、地面</w:t>
      </w:r>
      <w:r>
        <w:rPr>
          <w:rFonts w:hint="eastAsia"/>
          <w:sz w:val="24"/>
        </w:rPr>
        <w:t>出现较严重的突发</w:t>
      </w:r>
      <w:r>
        <w:rPr>
          <w:sz w:val="24"/>
        </w:rPr>
        <w:t>裂</w:t>
      </w:r>
      <w:r>
        <w:rPr>
          <w:rFonts w:hint="eastAsia"/>
          <w:sz w:val="24"/>
        </w:rPr>
        <w:t>缝或危害结构安全的变形裂缝</w:t>
      </w:r>
      <w:r>
        <w:rPr>
          <w:sz w:val="24"/>
        </w:rPr>
        <w:t>；</w:t>
      </w:r>
    </w:p>
    <w:p>
      <w:pPr>
        <w:spacing w:line="360" w:lineRule="auto"/>
        <w:ind w:firstLine="480" w:firstLineChars="200"/>
        <w:jc w:val="left"/>
        <w:rPr>
          <w:sz w:val="24"/>
        </w:rPr>
      </w:pPr>
      <w:r>
        <w:rPr>
          <w:rFonts w:hint="eastAsia"/>
          <w:sz w:val="24"/>
        </w:rPr>
        <w:t>5  周边管线变形突然明显增长或出现裂缝、泄漏；</w:t>
      </w:r>
    </w:p>
    <w:p>
      <w:pPr>
        <w:spacing w:line="360" w:lineRule="auto"/>
        <w:ind w:firstLine="480" w:firstLineChars="200"/>
        <w:jc w:val="left"/>
        <w:rPr>
          <w:sz w:val="24"/>
        </w:rPr>
      </w:pPr>
      <w:r>
        <w:rPr>
          <w:rFonts w:hint="eastAsia"/>
          <w:sz w:val="24"/>
        </w:rPr>
        <w:t>6</w:t>
      </w:r>
      <w:r>
        <w:rPr>
          <w:sz w:val="24"/>
        </w:rPr>
        <w:t xml:space="preserve">  支护结构构件出现影响整体结构安全性的损坏；</w:t>
      </w:r>
    </w:p>
    <w:p>
      <w:pPr>
        <w:spacing w:line="360" w:lineRule="auto"/>
        <w:ind w:firstLine="480" w:firstLineChars="200"/>
        <w:jc w:val="left"/>
        <w:rPr>
          <w:sz w:val="24"/>
        </w:rPr>
      </w:pPr>
      <w:r>
        <w:rPr>
          <w:rFonts w:hint="eastAsia"/>
          <w:sz w:val="24"/>
        </w:rPr>
        <w:t>7</w:t>
      </w:r>
      <w:r>
        <w:rPr>
          <w:sz w:val="24"/>
        </w:rPr>
        <w:t xml:space="preserve">  基坑出现局部坍塌；　</w:t>
      </w:r>
    </w:p>
    <w:p>
      <w:pPr>
        <w:spacing w:line="360" w:lineRule="auto"/>
        <w:ind w:firstLine="480" w:firstLineChars="200"/>
        <w:jc w:val="left"/>
        <w:rPr>
          <w:sz w:val="24"/>
        </w:rPr>
      </w:pPr>
      <w:r>
        <w:rPr>
          <w:rFonts w:hint="eastAsia"/>
          <w:sz w:val="24"/>
        </w:rPr>
        <w:t>8</w:t>
      </w:r>
      <w:r>
        <w:rPr>
          <w:sz w:val="24"/>
        </w:rPr>
        <w:t xml:space="preserve">  开挖面出现隆起现象；</w:t>
      </w:r>
    </w:p>
    <w:p>
      <w:pPr>
        <w:spacing w:line="360" w:lineRule="auto"/>
        <w:ind w:firstLine="480" w:firstLineChars="200"/>
        <w:jc w:val="left"/>
        <w:rPr>
          <w:sz w:val="24"/>
        </w:rPr>
      </w:pPr>
      <w:r>
        <w:rPr>
          <w:rFonts w:hint="eastAsia"/>
          <w:sz w:val="24"/>
        </w:rPr>
        <w:t>9</w:t>
      </w:r>
      <w:r>
        <w:rPr>
          <w:sz w:val="24"/>
        </w:rPr>
        <w:t xml:space="preserve">  基坑出现流土、管涌现象。</w:t>
      </w:r>
    </w:p>
    <w:p>
      <w:pPr>
        <w:spacing w:line="360" w:lineRule="auto"/>
        <w:jc w:val="left"/>
        <w:rPr>
          <w:sz w:val="24"/>
        </w:rPr>
      </w:pPr>
      <w:r>
        <w:rPr>
          <w:rFonts w:hint="eastAsia"/>
          <w:b/>
          <w:sz w:val="24"/>
        </w:rPr>
        <w:t>8.4.7</w:t>
      </w:r>
      <w:r>
        <w:rPr>
          <w:rFonts w:hint="eastAsia"/>
          <w:sz w:val="24"/>
        </w:rPr>
        <w:t xml:space="preserve">  当</w:t>
      </w:r>
      <w:r>
        <w:rPr>
          <w:sz w:val="24"/>
        </w:rPr>
        <w:t>有危险事故</w:t>
      </w:r>
      <w:r>
        <w:rPr>
          <w:rFonts w:hint="eastAsia"/>
          <w:sz w:val="24"/>
        </w:rPr>
        <w:t>征兆</w:t>
      </w:r>
      <w:r>
        <w:rPr>
          <w:sz w:val="24"/>
        </w:rPr>
        <w:t>时，应</w:t>
      </w:r>
      <w:r>
        <w:rPr>
          <w:rFonts w:hint="eastAsia"/>
          <w:sz w:val="24"/>
        </w:rPr>
        <w:t>连续</w:t>
      </w:r>
      <w:r>
        <w:rPr>
          <w:sz w:val="24"/>
        </w:rPr>
        <w:t>跟踪监测。</w:t>
      </w:r>
    </w:p>
    <w:p>
      <w:pPr>
        <w:spacing w:line="360" w:lineRule="auto"/>
        <w:jc w:val="left"/>
        <w:rPr>
          <w:sz w:val="24"/>
        </w:rPr>
      </w:pPr>
    </w:p>
    <w:p>
      <w:pPr>
        <w:spacing w:line="360" w:lineRule="auto"/>
        <w:jc w:val="left"/>
        <w:rPr>
          <w:sz w:val="24"/>
        </w:rPr>
        <w:sectPr>
          <w:pgSz w:w="11907" w:h="16840"/>
          <w:pgMar w:top="1418" w:right="1134" w:bottom="1134" w:left="1701" w:header="851" w:footer="851" w:gutter="0"/>
          <w:cols w:space="720" w:num="1"/>
          <w:docGrid w:linePitch="312" w:charSpace="0"/>
        </w:sectPr>
      </w:pPr>
    </w:p>
    <w:p>
      <w:pPr>
        <w:spacing w:line="360" w:lineRule="auto"/>
        <w:jc w:val="center"/>
        <w:outlineLvl w:val="0"/>
        <w:rPr>
          <w:b/>
          <w:sz w:val="28"/>
          <w:szCs w:val="28"/>
        </w:rPr>
      </w:pPr>
      <w:bookmarkStart w:id="135" w:name="_Toc87018293"/>
      <w:bookmarkStart w:id="136" w:name="_Toc87018362"/>
      <w:r>
        <w:rPr>
          <w:b/>
          <w:sz w:val="28"/>
          <w:szCs w:val="28"/>
        </w:rPr>
        <w:t>9  基坑工程环境保护</w:t>
      </w:r>
      <w:bookmarkEnd w:id="135"/>
      <w:bookmarkEnd w:id="136"/>
    </w:p>
    <w:p>
      <w:pPr>
        <w:spacing w:line="360" w:lineRule="auto"/>
        <w:jc w:val="left"/>
        <w:rPr>
          <w:sz w:val="24"/>
        </w:rPr>
      </w:pPr>
      <w:r>
        <w:rPr>
          <w:b/>
          <w:sz w:val="24"/>
        </w:rPr>
        <w:t>9.</w:t>
      </w:r>
      <w:r>
        <w:rPr>
          <w:rFonts w:hint="eastAsia"/>
          <w:b/>
          <w:sz w:val="24"/>
        </w:rPr>
        <w:t>0</w:t>
      </w:r>
      <w:r>
        <w:rPr>
          <w:b/>
          <w:sz w:val="24"/>
        </w:rPr>
        <w:t>.1</w:t>
      </w:r>
      <w:r>
        <w:rPr>
          <w:sz w:val="24"/>
        </w:rPr>
        <w:t xml:space="preserve">  基坑工程的设计除应满足承载力</w:t>
      </w:r>
      <w:r>
        <w:rPr>
          <w:rFonts w:hint="eastAsia"/>
          <w:sz w:val="24"/>
        </w:rPr>
        <w:t>、</w:t>
      </w:r>
      <w:r>
        <w:rPr>
          <w:sz w:val="24"/>
        </w:rPr>
        <w:t>稳定性</w:t>
      </w:r>
      <w:r>
        <w:rPr>
          <w:rFonts w:hint="eastAsia"/>
          <w:sz w:val="24"/>
        </w:rPr>
        <w:t>和变形</w:t>
      </w:r>
      <w:r>
        <w:rPr>
          <w:sz w:val="24"/>
        </w:rPr>
        <w:t>的要求外，还应满足基坑周边环境</w:t>
      </w:r>
      <w:r>
        <w:rPr>
          <w:rFonts w:hint="eastAsia"/>
          <w:sz w:val="24"/>
        </w:rPr>
        <w:t>保护</w:t>
      </w:r>
      <w:r>
        <w:rPr>
          <w:sz w:val="24"/>
        </w:rPr>
        <w:t>方面的控制要求。</w:t>
      </w:r>
    </w:p>
    <w:p>
      <w:pPr>
        <w:spacing w:line="360" w:lineRule="auto"/>
        <w:jc w:val="left"/>
        <w:rPr>
          <w:sz w:val="24"/>
        </w:rPr>
      </w:pPr>
      <w:r>
        <w:rPr>
          <w:b/>
          <w:sz w:val="24"/>
        </w:rPr>
        <w:t>9.</w:t>
      </w:r>
      <w:r>
        <w:rPr>
          <w:rFonts w:hint="eastAsia"/>
          <w:b/>
          <w:sz w:val="24"/>
        </w:rPr>
        <w:t>0</w:t>
      </w:r>
      <w:r>
        <w:rPr>
          <w:b/>
          <w:sz w:val="24"/>
        </w:rPr>
        <w:t>.</w:t>
      </w:r>
      <w:r>
        <w:rPr>
          <w:rFonts w:hint="eastAsia"/>
          <w:b/>
          <w:sz w:val="24"/>
        </w:rPr>
        <w:t>2</w:t>
      </w:r>
      <w:r>
        <w:rPr>
          <w:sz w:val="24"/>
        </w:rPr>
        <w:t xml:space="preserve">  基坑工程的支护形式，施工工艺，土方开挖，地下水抽排设计，应充分考虑减少和消除对环境的影响，并</w:t>
      </w:r>
      <w:r>
        <w:rPr>
          <w:rFonts w:hint="eastAsia"/>
          <w:sz w:val="24"/>
        </w:rPr>
        <w:t>对</w:t>
      </w:r>
      <w:r>
        <w:rPr>
          <w:sz w:val="24"/>
        </w:rPr>
        <w:t>基坑工程施工和使用阶段，提出具体</w:t>
      </w:r>
      <w:r>
        <w:rPr>
          <w:rFonts w:hint="eastAsia"/>
          <w:sz w:val="24"/>
        </w:rPr>
        <w:t>环境保护</w:t>
      </w:r>
      <w:r>
        <w:rPr>
          <w:sz w:val="24"/>
        </w:rPr>
        <w:t>要求。</w:t>
      </w:r>
    </w:p>
    <w:p>
      <w:pPr>
        <w:spacing w:line="360" w:lineRule="auto"/>
        <w:jc w:val="left"/>
        <w:rPr>
          <w:sz w:val="24"/>
        </w:rPr>
      </w:pPr>
      <w:r>
        <w:rPr>
          <w:b/>
          <w:sz w:val="24"/>
        </w:rPr>
        <w:t>9.</w:t>
      </w:r>
      <w:r>
        <w:rPr>
          <w:rFonts w:hint="eastAsia"/>
          <w:b/>
          <w:sz w:val="24"/>
        </w:rPr>
        <w:t>0</w:t>
      </w:r>
      <w:r>
        <w:rPr>
          <w:b/>
          <w:sz w:val="24"/>
        </w:rPr>
        <w:t>.</w:t>
      </w:r>
      <w:r>
        <w:rPr>
          <w:rFonts w:hint="eastAsia"/>
          <w:b/>
          <w:sz w:val="24"/>
        </w:rPr>
        <w:t>3</w:t>
      </w:r>
      <w:r>
        <w:rPr>
          <w:sz w:val="24"/>
        </w:rPr>
        <w:t xml:space="preserve">  基坑</w:t>
      </w:r>
      <w:r>
        <w:rPr>
          <w:rFonts w:hint="eastAsia"/>
          <w:sz w:val="24"/>
        </w:rPr>
        <w:t>工程</w:t>
      </w:r>
      <w:r>
        <w:rPr>
          <w:sz w:val="24"/>
        </w:rPr>
        <w:t>施工</w:t>
      </w:r>
      <w:r>
        <w:rPr>
          <w:rFonts w:hint="eastAsia"/>
          <w:sz w:val="24"/>
        </w:rPr>
        <w:t>应</w:t>
      </w:r>
      <w:r>
        <w:rPr>
          <w:sz w:val="24"/>
        </w:rPr>
        <w:t>采取</w:t>
      </w:r>
      <w:r>
        <w:rPr>
          <w:rFonts w:hint="eastAsia"/>
          <w:sz w:val="24"/>
        </w:rPr>
        <w:t>环境保护措施</w:t>
      </w:r>
      <w:r>
        <w:rPr>
          <w:sz w:val="24"/>
        </w:rPr>
        <w:t>：</w:t>
      </w:r>
    </w:p>
    <w:p>
      <w:pPr>
        <w:spacing w:line="360" w:lineRule="auto"/>
        <w:ind w:firstLine="480" w:firstLineChars="200"/>
        <w:jc w:val="left"/>
        <w:rPr>
          <w:sz w:val="24"/>
        </w:rPr>
      </w:pPr>
      <w:r>
        <w:rPr>
          <w:sz w:val="24"/>
        </w:rPr>
        <w:t>1  钻孔灌注桩</w:t>
      </w:r>
      <w:r>
        <w:rPr>
          <w:rFonts w:hint="eastAsia"/>
          <w:sz w:val="24"/>
        </w:rPr>
        <w:t>、地下</w:t>
      </w:r>
      <w:r>
        <w:rPr>
          <w:sz w:val="24"/>
        </w:rPr>
        <w:t>连续墙宜采取</w:t>
      </w:r>
      <w:r>
        <w:rPr>
          <w:rFonts w:hint="eastAsia"/>
          <w:sz w:val="24"/>
        </w:rPr>
        <w:t>措施减少泥浆对地下水的污染；</w:t>
      </w:r>
    </w:p>
    <w:p>
      <w:pPr>
        <w:spacing w:line="360" w:lineRule="auto"/>
        <w:ind w:firstLine="480" w:firstLineChars="200"/>
        <w:jc w:val="left"/>
        <w:rPr>
          <w:sz w:val="24"/>
        </w:rPr>
      </w:pPr>
      <w:r>
        <w:rPr>
          <w:rFonts w:hint="eastAsia"/>
          <w:sz w:val="24"/>
        </w:rPr>
        <w:t>2</w:t>
      </w:r>
      <w:r>
        <w:rPr>
          <w:sz w:val="24"/>
        </w:rPr>
        <w:t xml:space="preserve">  </w:t>
      </w:r>
      <w:r>
        <w:rPr>
          <w:rFonts w:hint="eastAsia"/>
          <w:sz w:val="24"/>
        </w:rPr>
        <w:t>基坑支护施工时应采取防振、降噪的控制措施；</w:t>
      </w:r>
    </w:p>
    <w:p>
      <w:pPr>
        <w:spacing w:line="360" w:lineRule="auto"/>
        <w:ind w:firstLine="480" w:firstLineChars="200"/>
        <w:jc w:val="left"/>
        <w:rPr>
          <w:sz w:val="24"/>
        </w:rPr>
      </w:pPr>
      <w:r>
        <w:rPr>
          <w:rFonts w:hint="eastAsia"/>
          <w:sz w:val="24"/>
        </w:rPr>
        <w:t>3</w:t>
      </w:r>
      <w:r>
        <w:rPr>
          <w:sz w:val="24"/>
        </w:rPr>
        <w:t xml:space="preserve">  </w:t>
      </w:r>
      <w:r>
        <w:rPr>
          <w:rFonts w:hint="eastAsia"/>
          <w:sz w:val="24"/>
        </w:rPr>
        <w:t>锚杆、土钉、</w:t>
      </w:r>
      <w:r>
        <w:rPr>
          <w:sz w:val="24"/>
        </w:rPr>
        <w:t>高压旋喷桩施工时，</w:t>
      </w:r>
      <w:r>
        <w:rPr>
          <w:rFonts w:hint="eastAsia"/>
          <w:sz w:val="24"/>
        </w:rPr>
        <w:t>应控制</w:t>
      </w:r>
      <w:r>
        <w:rPr>
          <w:sz w:val="24"/>
        </w:rPr>
        <w:t>施工面周围地表隆起</w:t>
      </w:r>
      <w:r>
        <w:rPr>
          <w:rFonts w:hint="eastAsia"/>
          <w:sz w:val="24"/>
        </w:rPr>
        <w:t>及返浆污染；</w:t>
      </w:r>
    </w:p>
    <w:p>
      <w:pPr>
        <w:spacing w:line="360" w:lineRule="auto"/>
        <w:ind w:firstLine="480" w:firstLineChars="200"/>
        <w:jc w:val="left"/>
        <w:rPr>
          <w:sz w:val="24"/>
        </w:rPr>
      </w:pPr>
      <w:r>
        <w:rPr>
          <w:rFonts w:hint="eastAsia"/>
          <w:sz w:val="24"/>
        </w:rPr>
        <w:t>4  锚杆成孔、喷射混凝土、浆液制备等作业应采取防尘措施；</w:t>
      </w:r>
    </w:p>
    <w:p>
      <w:pPr>
        <w:spacing w:line="360" w:lineRule="auto"/>
        <w:ind w:firstLine="480" w:firstLineChars="200"/>
        <w:jc w:val="left"/>
        <w:rPr>
          <w:sz w:val="24"/>
        </w:rPr>
      </w:pPr>
      <w:r>
        <w:rPr>
          <w:rFonts w:hint="eastAsia"/>
          <w:sz w:val="24"/>
        </w:rPr>
        <w:t>5  基坑积水经多级沉淀达到排放标准后方可排入市政管网；</w:t>
      </w:r>
    </w:p>
    <w:p>
      <w:pPr>
        <w:spacing w:line="360" w:lineRule="auto"/>
        <w:ind w:firstLine="480" w:firstLineChars="200"/>
        <w:jc w:val="left"/>
        <w:rPr>
          <w:sz w:val="24"/>
        </w:rPr>
      </w:pPr>
      <w:r>
        <w:rPr>
          <w:rFonts w:hint="eastAsia"/>
          <w:sz w:val="24"/>
        </w:rPr>
        <w:t>6  泥浆应经除沙、除泥后循环使用，废弃泥浆需经处理后方可外运；</w:t>
      </w:r>
    </w:p>
    <w:p>
      <w:pPr>
        <w:spacing w:line="360" w:lineRule="auto"/>
        <w:ind w:firstLine="480" w:firstLineChars="200"/>
        <w:jc w:val="left"/>
        <w:rPr>
          <w:sz w:val="24"/>
        </w:rPr>
      </w:pPr>
      <w:r>
        <w:rPr>
          <w:rFonts w:hint="eastAsia"/>
          <w:sz w:val="24"/>
        </w:rPr>
        <w:t xml:space="preserve">7  </w:t>
      </w:r>
      <w:r>
        <w:rPr>
          <w:sz w:val="24"/>
        </w:rPr>
        <w:t>市区内尽量不采用挤土</w:t>
      </w:r>
      <w:r>
        <w:rPr>
          <w:rFonts w:hint="eastAsia"/>
          <w:sz w:val="24"/>
        </w:rPr>
        <w:t>及振动较大的施工工艺；</w:t>
      </w:r>
    </w:p>
    <w:p>
      <w:pPr>
        <w:spacing w:line="360" w:lineRule="auto"/>
        <w:ind w:firstLine="480" w:firstLineChars="200"/>
        <w:jc w:val="left"/>
        <w:rPr>
          <w:sz w:val="24"/>
        </w:rPr>
      </w:pPr>
      <w:r>
        <w:rPr>
          <w:rFonts w:hint="eastAsia"/>
          <w:sz w:val="24"/>
        </w:rPr>
        <w:t>8  渣土外运应采用全封闭的运输方式。</w:t>
      </w:r>
    </w:p>
    <w:p>
      <w:pPr>
        <w:spacing w:line="360" w:lineRule="auto"/>
        <w:jc w:val="left"/>
        <w:rPr>
          <w:sz w:val="24"/>
        </w:rPr>
      </w:pPr>
    </w:p>
    <w:p>
      <w:pPr>
        <w:spacing w:line="360" w:lineRule="auto"/>
        <w:jc w:val="center"/>
        <w:outlineLvl w:val="0"/>
        <w:rPr>
          <w:b/>
          <w:sz w:val="24"/>
        </w:rPr>
        <w:sectPr>
          <w:pgSz w:w="11907" w:h="16840"/>
          <w:pgMar w:top="1418" w:right="1134" w:bottom="1134" w:left="1701" w:header="851" w:footer="851" w:gutter="0"/>
          <w:cols w:space="720" w:num="1"/>
          <w:docGrid w:linePitch="312" w:charSpace="0"/>
        </w:sectPr>
      </w:pPr>
    </w:p>
    <w:p>
      <w:pPr>
        <w:spacing w:line="360" w:lineRule="auto"/>
        <w:jc w:val="center"/>
        <w:outlineLvl w:val="0"/>
        <w:rPr>
          <w:b/>
          <w:sz w:val="24"/>
        </w:rPr>
      </w:pPr>
      <w:bookmarkStart w:id="137" w:name="_Toc87018294"/>
      <w:bookmarkStart w:id="138" w:name="_Toc87018363"/>
      <w:r>
        <w:rPr>
          <w:b/>
          <w:sz w:val="24"/>
        </w:rPr>
        <w:t>附录A</w:t>
      </w:r>
      <w:r>
        <w:rPr>
          <w:rFonts w:hint="eastAsia"/>
          <w:b/>
          <w:sz w:val="24"/>
        </w:rPr>
        <w:t xml:space="preserve">  特殊情况下的土压力</w:t>
      </w:r>
      <w:bookmarkEnd w:id="137"/>
      <w:bookmarkEnd w:id="138"/>
    </w:p>
    <w:p>
      <w:pPr>
        <w:tabs>
          <w:tab w:val="left" w:pos="1905"/>
        </w:tabs>
        <w:spacing w:line="360" w:lineRule="auto"/>
        <w:rPr>
          <w:sz w:val="24"/>
        </w:rPr>
      </w:pPr>
      <w:r>
        <w:rPr>
          <w:b/>
          <w:sz w:val="24"/>
        </w:rPr>
        <w:t>A.0.</w:t>
      </w:r>
      <w:r>
        <w:rPr>
          <w:rFonts w:hint="eastAsia"/>
          <w:b/>
          <w:sz w:val="24"/>
        </w:rPr>
        <w:t>1</w:t>
      </w:r>
      <w:r>
        <w:rPr>
          <w:b/>
          <w:sz w:val="24"/>
        </w:rPr>
        <w:t xml:space="preserve">  </w:t>
      </w:r>
      <w:r>
        <w:rPr>
          <w:sz w:val="24"/>
        </w:rPr>
        <w:t>对严格限制位移的支护结构，水平荷载宜采用静止土压力并按下式计算</w:t>
      </w:r>
      <w:r>
        <w:rPr>
          <w:rFonts w:hint="eastAsia"/>
          <w:sz w:val="24"/>
        </w:rPr>
        <w:t>，</w:t>
      </w:r>
      <w:r>
        <w:rPr>
          <w:sz w:val="24"/>
        </w:rPr>
        <w:t>或根据经验对被动土压力进行折减</w:t>
      </w:r>
      <w:r>
        <w:rPr>
          <w:rFonts w:hint="eastAsia"/>
          <w:sz w:val="24"/>
        </w:rPr>
        <w:t>或对主动土压力进行提高</w:t>
      </w:r>
      <w:r>
        <w:rPr>
          <w:sz w:val="24"/>
        </w:rPr>
        <w:t>：</w:t>
      </w:r>
    </w:p>
    <w:p>
      <w:pPr>
        <w:tabs>
          <w:tab w:val="left" w:pos="1905"/>
        </w:tabs>
        <w:spacing w:line="360" w:lineRule="auto"/>
        <w:ind w:firstLine="480"/>
        <w:jc w:val="right"/>
        <w:rPr>
          <w:sz w:val="24"/>
        </w:rPr>
      </w:pPr>
      <w:r>
        <w:rPr>
          <w:sz w:val="24"/>
        </w:rPr>
        <w:t xml:space="preserve">     </w:t>
      </w:r>
      <m:oMath>
        <m:r>
          <m:rPr>
            <m:sty m:val="p"/>
          </m:rPr>
          <w:rPr>
            <w:rFonts w:ascii="Cambria Math" w:hAnsi="Cambria Math"/>
            <w:sz w:val="24"/>
          </w:rPr>
          <m:t xml:space="preserve">  </m:t>
        </m:r>
        <m:sSub>
          <m:sSubPr>
            <m:ctrlPr>
              <w:rPr>
                <w:rFonts w:ascii="Cambria Math" w:hAnsi="Cambria Math"/>
                <w:sz w:val="24"/>
              </w:rPr>
            </m:ctrlPr>
          </m:sSubPr>
          <m:e>
            <m:r>
              <w:rPr>
                <w:rFonts w:ascii="Cambria Math" w:hAnsi="Cambria Math"/>
                <w:sz w:val="24"/>
              </w:rPr>
              <m:t>E</m:t>
            </m:r>
            <m:ctrlPr>
              <w:rPr>
                <w:rFonts w:ascii="Cambria Math" w:hAnsi="Cambria Math"/>
                <w:sz w:val="24"/>
              </w:rPr>
            </m:ctrlPr>
          </m:e>
          <m:sub>
            <m:r>
              <m:rPr>
                <m:sty m:val="p"/>
              </m:rPr>
              <w:rPr>
                <w:rFonts w:ascii="Cambria Math" w:hAnsi="Cambria Math"/>
                <w:sz w:val="24"/>
              </w:rPr>
              <m:t>ak</m:t>
            </m:r>
            <m:ctrlPr>
              <w:rPr>
                <w:rFonts w:ascii="Cambria Math" w:hAnsi="Cambria Math"/>
                <w:sz w:val="24"/>
              </w:rPr>
            </m:ctrlPr>
          </m:sub>
        </m:sSub>
        <m:r>
          <m:rPr>
            <m:sty m:val="p"/>
          </m:rPr>
          <w:rPr>
            <w:rFonts w:ascii="Cambria Math" w:hAnsi="Cambria Math"/>
            <w:sz w:val="24"/>
          </w:rPr>
          <m:t>=</m:t>
        </m:r>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σ</m:t>
                </m:r>
                <m:ctrlPr>
                  <w:rPr>
                    <w:rFonts w:ascii="Cambria Math" w:hAnsi="Cambria Math"/>
                    <w:sz w:val="24"/>
                  </w:rPr>
                </m:ctrlPr>
              </m:e>
              <m:sub>
                <m:r>
                  <w:rPr>
                    <w:rFonts w:ascii="Cambria Math" w:hAnsi="Cambria Math"/>
                    <w:sz w:val="24"/>
                  </w:rPr>
                  <m:t>k</m:t>
                </m:r>
                <m:ctrlPr>
                  <w:rPr>
                    <w:rFonts w:ascii="Cambria Math" w:hAnsi="Cambria Math"/>
                    <w:sz w:val="24"/>
                  </w:rPr>
                </m:ctrlPr>
              </m:sub>
            </m:sSub>
            <m:r>
              <m:rPr>
                <m:sty m:val="p"/>
              </m:rPr>
              <w:rPr>
                <w:rFonts w:ascii="Cambria Math" w:hAnsi="Cambria Math"/>
                <w:sz w:val="24"/>
              </w:rPr>
              <m:t>+</m:t>
            </m:r>
            <m:nary>
              <m:naryPr>
                <m:chr m:val="∑"/>
                <m:limLoc m:val="undOvr"/>
                <m:subHide m:val="1"/>
                <m:supHide m:val="1"/>
                <m:ctrlPr>
                  <w:rPr>
                    <w:rFonts w:ascii="Cambria Math" w:hAnsi="Cambria Math"/>
                    <w:sz w:val="24"/>
                  </w:rPr>
                </m:ctrlPr>
              </m:naryPr>
              <m:sub>
                <m:ctrlPr>
                  <w:rPr>
                    <w:rFonts w:ascii="Cambria Math" w:hAnsi="Cambria Math"/>
                    <w:sz w:val="24"/>
                  </w:rPr>
                </m:ctrlPr>
              </m:sub>
              <m:sup>
                <m:ctrlPr>
                  <w:rPr>
                    <w:rFonts w:ascii="Cambria Math" w:hAnsi="Cambria Math"/>
                    <w:sz w:val="24"/>
                  </w:rPr>
                </m:ctrlPr>
              </m:sup>
              <m:e>
                <m:sSub>
                  <m:sSubPr>
                    <m:ctrlPr>
                      <w:rPr>
                        <w:rFonts w:ascii="Cambria Math" w:hAnsi="Cambria Math"/>
                        <w:sz w:val="24"/>
                      </w:rPr>
                    </m:ctrlPr>
                  </m:sSubPr>
                  <m:e>
                    <m:r>
                      <w:rPr>
                        <w:rFonts w:ascii="Cambria Math" w:hAnsi="Cambria Math"/>
                        <w:sz w:val="24"/>
                      </w:rPr>
                      <m:t>γ</m:t>
                    </m:r>
                    <m:ctrlPr>
                      <w:rPr>
                        <w:rFonts w:ascii="Cambria Math" w:hAnsi="Cambria Math"/>
                        <w:sz w:val="24"/>
                      </w:rPr>
                    </m:ctrlPr>
                  </m:e>
                  <m:sub>
                    <m:r>
                      <w:rPr>
                        <w:rFonts w:ascii="Cambria Math" w:hAnsi="Cambria Math"/>
                        <w:sz w:val="24"/>
                      </w:rPr>
                      <m:t>i</m:t>
                    </m:r>
                    <m:ctrlPr>
                      <w:rPr>
                        <w:rFonts w:ascii="Cambria Math" w:hAnsi="Cambria Math"/>
                        <w:sz w:val="24"/>
                      </w:rPr>
                    </m:ctrlPr>
                  </m:sub>
                </m:sSub>
                <m:sSub>
                  <m:sSubPr>
                    <m:ctrlPr>
                      <w:rPr>
                        <w:rFonts w:ascii="Cambria Math" w:hAnsi="Cambria Math"/>
                        <w:sz w:val="24"/>
                      </w:rPr>
                    </m:ctrlPr>
                  </m:sSubPr>
                  <m:e>
                    <m:r>
                      <w:rPr>
                        <w:rFonts w:ascii="Cambria Math" w:hAnsi="Cambria Math"/>
                        <w:sz w:val="24"/>
                      </w:rPr>
                      <m:t>h</m:t>
                    </m:r>
                    <m:ctrlPr>
                      <w:rPr>
                        <w:rFonts w:ascii="Cambria Math" w:hAnsi="Cambria Math"/>
                        <w:sz w:val="24"/>
                      </w:rPr>
                    </m:ctrlPr>
                  </m:e>
                  <m:sub>
                    <m:r>
                      <w:rPr>
                        <w:rFonts w:ascii="Cambria Math" w:hAnsi="Cambria Math"/>
                        <w:sz w:val="24"/>
                      </w:rPr>
                      <m:t>i</m:t>
                    </m:r>
                    <m:ctrlPr>
                      <w:rPr>
                        <w:rFonts w:ascii="Cambria Math" w:hAnsi="Cambria Math"/>
                        <w:sz w:val="24"/>
                      </w:rPr>
                    </m:ctrlPr>
                  </m:sub>
                </m:sSub>
                <m:ctrlPr>
                  <w:rPr>
                    <w:rFonts w:ascii="Cambria Math" w:hAnsi="Cambria Math"/>
                    <w:sz w:val="24"/>
                  </w:rPr>
                </m:ctrlPr>
              </m:e>
            </m:nary>
            <m:ctrlPr>
              <w:rPr>
                <w:rFonts w:ascii="Cambria Math" w:hAnsi="Cambria Math"/>
                <w:sz w:val="24"/>
              </w:rPr>
            </m:ctrlPr>
          </m:e>
        </m:d>
        <m:sSub>
          <m:sSubPr>
            <m:ctrlPr>
              <w:rPr>
                <w:rFonts w:ascii="Cambria Math" w:hAnsi="Cambria Math"/>
                <w:sz w:val="24"/>
              </w:rPr>
            </m:ctrlPr>
          </m:sSubPr>
          <m:e>
            <m:r>
              <w:rPr>
                <w:rFonts w:ascii="Cambria Math" w:hAnsi="Cambria Math"/>
                <w:sz w:val="24"/>
              </w:rPr>
              <m:t>K</m:t>
            </m:r>
            <m:ctrlPr>
              <w:rPr>
                <w:rFonts w:ascii="Cambria Math" w:hAnsi="Cambria Math"/>
                <w:sz w:val="24"/>
              </w:rPr>
            </m:ctrlPr>
          </m:e>
          <m:sub>
            <m:r>
              <w:rPr>
                <w:rFonts w:ascii="Cambria Math" w:hAnsi="Cambria Math"/>
                <w:sz w:val="24"/>
              </w:rPr>
              <m:t>0</m:t>
            </m:r>
            <m:ctrlPr>
              <w:rPr>
                <w:rFonts w:ascii="Cambria Math" w:hAnsi="Cambria Math"/>
                <w:sz w:val="24"/>
              </w:rPr>
            </m:ctrlPr>
          </m:sub>
        </m:sSub>
        <m:r>
          <m:rPr>
            <m:sty m:val="p"/>
          </m:rPr>
          <w:rPr>
            <w:rFonts w:ascii="Cambria Math" w:hAnsi="Cambria Math"/>
            <w:sz w:val="24"/>
          </w:rPr>
          <m:t xml:space="preserve"> </m:t>
        </m:r>
      </m:oMath>
      <w:r>
        <w:rPr>
          <w:sz w:val="24"/>
        </w:rPr>
        <w:t xml:space="preserve">                     (</w:t>
      </w:r>
      <w:r>
        <w:rPr>
          <w:rFonts w:hint="eastAsia"/>
          <w:sz w:val="24"/>
        </w:rPr>
        <w:t>A</w:t>
      </w:r>
      <w:r>
        <w:rPr>
          <w:sz w:val="24"/>
        </w:rPr>
        <w:t>.0.</w:t>
      </w:r>
      <w:r>
        <w:rPr>
          <w:rFonts w:hint="eastAsia"/>
          <w:sz w:val="24"/>
        </w:rPr>
        <w:t>1</w:t>
      </w:r>
      <w:r>
        <w:rPr>
          <w:sz w:val="24"/>
        </w:rPr>
        <w:t>)</w:t>
      </w:r>
    </w:p>
    <w:p>
      <w:pPr>
        <w:tabs>
          <w:tab w:val="left" w:pos="1905"/>
        </w:tabs>
        <w:spacing w:line="360" w:lineRule="auto"/>
        <w:rPr>
          <w:sz w:val="24"/>
        </w:rPr>
      </w:pPr>
      <w:r>
        <w:rPr>
          <w:sz w:val="24"/>
        </w:rPr>
        <w:t>式中：</w:t>
      </w:r>
      <w:r>
        <w:rPr>
          <w:rFonts w:hint="eastAsia"/>
          <w:i/>
          <w:sz w:val="24"/>
        </w:rPr>
        <w:t>γ</w:t>
      </w:r>
      <w:r>
        <w:rPr>
          <w:rFonts w:hint="eastAsia"/>
          <w:i/>
          <w:sz w:val="24"/>
          <w:vertAlign w:val="subscript"/>
        </w:rPr>
        <w:t>i</w:t>
      </w:r>
      <w:r>
        <w:rPr>
          <w:sz w:val="24"/>
        </w:rPr>
        <w:t>—计算点以上第</w:t>
      </w:r>
      <w:r>
        <w:rPr>
          <w:i/>
          <w:sz w:val="24"/>
        </w:rPr>
        <w:t>i</w:t>
      </w:r>
      <w:r>
        <w:rPr>
          <w:sz w:val="24"/>
        </w:rPr>
        <w:t>层土的重度(KN/m</w:t>
      </w:r>
      <w:r>
        <w:rPr>
          <w:sz w:val="24"/>
          <w:vertAlign w:val="superscript"/>
        </w:rPr>
        <w:t>3</w:t>
      </w:r>
      <w:r>
        <w:rPr>
          <w:sz w:val="24"/>
        </w:rPr>
        <w:t>)；</w:t>
      </w:r>
    </w:p>
    <w:p>
      <w:pPr>
        <w:tabs>
          <w:tab w:val="left" w:pos="1905"/>
        </w:tabs>
        <w:spacing w:line="360" w:lineRule="auto"/>
        <w:ind w:firstLine="720" w:firstLineChars="300"/>
        <w:rPr>
          <w:sz w:val="24"/>
        </w:rPr>
      </w:pPr>
      <w:r>
        <w:rPr>
          <w:rFonts w:hint="eastAsia"/>
          <w:i/>
          <w:sz w:val="24"/>
        </w:rPr>
        <w:t>h</w:t>
      </w:r>
      <w:r>
        <w:rPr>
          <w:rFonts w:hint="eastAsia"/>
          <w:sz w:val="24"/>
          <w:vertAlign w:val="subscript"/>
        </w:rPr>
        <w:t>i</w:t>
      </w:r>
      <w:r>
        <w:rPr>
          <w:sz w:val="24"/>
        </w:rPr>
        <w:t>—计算点以上第</w:t>
      </w:r>
      <w:r>
        <w:rPr>
          <w:i/>
          <w:sz w:val="24"/>
        </w:rPr>
        <w:t>i</w:t>
      </w:r>
      <w:r>
        <w:rPr>
          <w:sz w:val="24"/>
        </w:rPr>
        <w:t>层土的厚度(m)；</w:t>
      </w:r>
    </w:p>
    <w:p>
      <w:pPr>
        <w:tabs>
          <w:tab w:val="left" w:pos="1905"/>
        </w:tabs>
        <w:spacing w:line="360" w:lineRule="auto"/>
        <w:ind w:firstLine="720" w:firstLineChars="300"/>
        <w:rPr>
          <w:b/>
          <w:i/>
          <w:sz w:val="24"/>
        </w:rPr>
      </w:pPr>
      <m:oMath>
        <m:sSub>
          <m:sSubPr>
            <m:ctrlPr>
              <w:rPr>
                <w:rFonts w:ascii="Cambria Math" w:hAnsi="Cambria Math"/>
                <w:sz w:val="24"/>
              </w:rPr>
            </m:ctrlPr>
          </m:sSubPr>
          <m:e>
            <m:r>
              <w:rPr>
                <w:rFonts w:ascii="Cambria Math" w:hAnsi="Cambria Math"/>
                <w:sz w:val="24"/>
              </w:rPr>
              <m:t>σ</m:t>
            </m:r>
            <m:ctrlPr>
              <w:rPr>
                <w:rFonts w:ascii="Cambria Math" w:hAnsi="Cambria Math"/>
                <w:sz w:val="24"/>
              </w:rPr>
            </m:ctrlPr>
          </m:e>
          <m:sub>
            <m:r>
              <w:rPr>
                <w:rFonts w:ascii="Cambria Math" w:hAnsi="Cambria Math"/>
                <w:sz w:val="24"/>
              </w:rPr>
              <m:t>k</m:t>
            </m:r>
            <m:ctrlPr>
              <w:rPr>
                <w:rFonts w:ascii="Cambria Math" w:hAnsi="Cambria Math"/>
                <w:sz w:val="24"/>
              </w:rPr>
            </m:ctrlPr>
          </m:sub>
        </m:sSub>
      </m:oMath>
      <w:r>
        <w:rPr>
          <w:rFonts w:hint="eastAsia"/>
          <w:b/>
          <w:i/>
          <w:sz w:val="24"/>
        </w:rPr>
        <w:t xml:space="preserve"> </w:t>
      </w:r>
      <w:r>
        <w:rPr>
          <w:sz w:val="24"/>
        </w:rPr>
        <w:t>—</w:t>
      </w:r>
      <w:r>
        <w:rPr>
          <w:rFonts w:hint="eastAsia"/>
          <w:sz w:val="24"/>
        </w:rPr>
        <w:t>支护结构外侧地面荷载、建筑物荷载等产生的竖向附加应力值；</w:t>
      </w:r>
    </w:p>
    <w:p>
      <w:pPr>
        <w:tabs>
          <w:tab w:val="left" w:pos="1905"/>
        </w:tabs>
        <w:spacing w:line="360" w:lineRule="auto"/>
        <w:ind w:firstLine="840" w:firstLineChars="350"/>
        <w:rPr>
          <w:sz w:val="24"/>
        </w:rPr>
      </w:pPr>
      <w:r>
        <w:rPr>
          <w:i/>
          <w:sz w:val="24"/>
        </w:rPr>
        <w:t>K</w:t>
      </w:r>
      <w:r>
        <w:rPr>
          <w:sz w:val="24"/>
          <w:vertAlign w:val="subscript"/>
        </w:rPr>
        <w:t xml:space="preserve"> 0</w:t>
      </w:r>
      <w:r>
        <w:rPr>
          <w:sz w:val="24"/>
        </w:rPr>
        <w:t>—计算点处的静止土压力系数。</w:t>
      </w:r>
    </w:p>
    <w:p>
      <w:pPr>
        <w:tabs>
          <w:tab w:val="left" w:pos="1905"/>
        </w:tabs>
        <w:spacing w:line="360" w:lineRule="auto"/>
        <w:rPr>
          <w:sz w:val="24"/>
        </w:rPr>
      </w:pPr>
      <w:r>
        <w:rPr>
          <w:b/>
          <w:sz w:val="24"/>
        </w:rPr>
        <w:t>A.0.</w:t>
      </w:r>
      <w:r>
        <w:rPr>
          <w:rFonts w:hint="eastAsia"/>
          <w:b/>
          <w:sz w:val="24"/>
        </w:rPr>
        <w:t>2</w:t>
      </w:r>
      <w:r>
        <w:rPr>
          <w:b/>
          <w:sz w:val="24"/>
        </w:rPr>
        <w:t xml:space="preserve">  </w:t>
      </w:r>
      <w:r>
        <w:rPr>
          <w:sz w:val="24"/>
        </w:rPr>
        <w:t>当基坑内侧被动区土体经人工降水或加固处理后，土体力学强度指标可根据试验或可靠经验确定。</w:t>
      </w:r>
    </w:p>
    <w:p>
      <w:pPr>
        <w:tabs>
          <w:tab w:val="left" w:pos="1905"/>
        </w:tabs>
        <w:spacing w:line="360" w:lineRule="auto"/>
        <w:rPr>
          <w:sz w:val="24"/>
        </w:rPr>
      </w:pPr>
      <w:r>
        <w:rPr>
          <w:b/>
          <w:sz w:val="24"/>
        </w:rPr>
        <w:t>A.0.</w:t>
      </w:r>
      <w:r>
        <w:rPr>
          <w:rFonts w:hint="eastAsia"/>
          <w:b/>
          <w:sz w:val="24"/>
        </w:rPr>
        <w:t>3</w:t>
      </w:r>
      <w:r>
        <w:rPr>
          <w:b/>
          <w:sz w:val="24"/>
        </w:rPr>
        <w:t xml:space="preserve">  </w:t>
      </w:r>
      <w:r>
        <w:rPr>
          <w:sz w:val="24"/>
        </w:rPr>
        <w:t>对于工程性质较好的坡残积粘性土，其自立高度较大，应重视土压力的合理选定。</w:t>
      </w:r>
    </w:p>
    <w:p>
      <w:pPr>
        <w:tabs>
          <w:tab w:val="left" w:pos="1905"/>
        </w:tabs>
        <w:spacing w:line="360" w:lineRule="auto"/>
        <w:rPr>
          <w:sz w:val="24"/>
        </w:rPr>
      </w:pPr>
      <w:r>
        <w:rPr>
          <w:b/>
          <w:sz w:val="24"/>
        </w:rPr>
        <w:t>A.0.</w:t>
      </w:r>
      <w:r>
        <w:rPr>
          <w:rFonts w:hint="eastAsia"/>
          <w:b/>
          <w:sz w:val="24"/>
        </w:rPr>
        <w:t>4</w:t>
      </w:r>
      <w:r>
        <w:rPr>
          <w:b/>
          <w:sz w:val="24"/>
        </w:rPr>
        <w:t xml:space="preserve">  </w:t>
      </w:r>
      <w:r>
        <w:rPr>
          <w:sz w:val="24"/>
        </w:rPr>
        <w:t>朗肯土压力理论适用于坑外水平的半无限空间体。若基坑外侧地表面不规则或为坡地，不能直接应用相关公式计算土压力。可分别按平面、倾斜面计算，然后再进行组合，按图</w:t>
      </w:r>
      <w:r>
        <w:rPr>
          <w:rFonts w:hint="eastAsia"/>
          <w:sz w:val="24"/>
        </w:rPr>
        <w:t>A</w:t>
      </w:r>
      <w:r>
        <w:rPr>
          <w:sz w:val="24"/>
        </w:rPr>
        <w:t>.0.6所示计算围护结构上的主动土压力。</w:t>
      </w:r>
    </w:p>
    <w:p>
      <w:pPr>
        <w:tabs>
          <w:tab w:val="left" w:pos="1905"/>
        </w:tabs>
        <w:spacing w:line="240" w:lineRule="atLeast"/>
        <w:ind w:firstLine="600"/>
        <w:jc w:val="center"/>
        <w:rPr>
          <w:sz w:val="30"/>
          <w:szCs w:val="30"/>
        </w:rPr>
      </w:pPr>
      <w:r>
        <w:rPr>
          <w:sz w:val="30"/>
          <w:szCs w:val="30"/>
        </w:rPr>
        <w:drawing>
          <wp:inline distT="0" distB="0" distL="0" distR="0">
            <wp:extent cx="5205095" cy="193992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a:xfrm>
                      <a:off x="0" y="0"/>
                      <a:ext cx="5205600" cy="1940400"/>
                    </a:xfrm>
                    <a:prstGeom prst="rect">
                      <a:avLst/>
                    </a:prstGeom>
                    <a:noFill/>
                    <a:ln>
                      <a:noFill/>
                    </a:ln>
                  </pic:spPr>
                </pic:pic>
              </a:graphicData>
            </a:graphic>
          </wp:inline>
        </w:drawing>
      </w:r>
    </w:p>
    <w:p>
      <w:pPr>
        <w:tabs>
          <w:tab w:val="left" w:pos="1905"/>
        </w:tabs>
        <w:spacing w:line="360" w:lineRule="auto"/>
        <w:jc w:val="center"/>
      </w:pPr>
      <w:r>
        <w:rPr>
          <w:rFonts w:eastAsia="黑体"/>
          <w:szCs w:val="21"/>
        </w:rPr>
        <w:t>图</w:t>
      </w:r>
      <w:r>
        <w:rPr>
          <w:rFonts w:hint="eastAsia" w:eastAsia="黑体"/>
        </w:rPr>
        <w:t>A</w:t>
      </w:r>
      <w:r>
        <w:rPr>
          <w:rFonts w:eastAsia="黑体"/>
        </w:rPr>
        <w:t>.0.</w:t>
      </w:r>
      <w:r>
        <w:rPr>
          <w:rFonts w:hint="eastAsia" w:eastAsia="黑体"/>
        </w:rPr>
        <w:t>4</w:t>
      </w:r>
      <w:r>
        <w:rPr>
          <w:rFonts w:eastAsia="黑体"/>
          <w:szCs w:val="21"/>
        </w:rPr>
        <w:t xml:space="preserve">  地面不规则情况主动土压力</w:t>
      </w:r>
    </w:p>
    <w:p>
      <w:pPr>
        <w:tabs>
          <w:tab w:val="left" w:pos="1905"/>
        </w:tabs>
        <w:spacing w:line="360" w:lineRule="auto"/>
        <w:jc w:val="left"/>
        <w:rPr>
          <w:sz w:val="24"/>
        </w:rPr>
      </w:pPr>
      <w:r>
        <w:rPr>
          <w:b/>
          <w:sz w:val="24"/>
        </w:rPr>
        <w:t>A.0.</w:t>
      </w:r>
      <w:r>
        <w:rPr>
          <w:rFonts w:hint="eastAsia"/>
          <w:b/>
          <w:sz w:val="24"/>
        </w:rPr>
        <w:t>5</w:t>
      </w:r>
      <w:r>
        <w:rPr>
          <w:b/>
          <w:sz w:val="24"/>
        </w:rPr>
        <w:t xml:space="preserve">  </w:t>
      </w:r>
      <w:r>
        <w:rPr>
          <w:sz w:val="24"/>
        </w:rPr>
        <w:t>有限范围土体土压力。基坑附近有相邻建筑物的地下室或其它地下工程，会使墙后土体不能产生完整的朗肯或库仑的主动滑动面。此时的土压力计算不能沿用常规的土压力理论，可采用滑动土楔体ABC的静力平衡，通过库伦理论的图解法计算主动土压力。</w:t>
      </w:r>
    </w:p>
    <w:p>
      <w:pPr>
        <w:tabs>
          <w:tab w:val="left" w:pos="1905"/>
        </w:tabs>
        <w:ind w:firstLine="560"/>
        <w:jc w:val="center"/>
        <w:rPr>
          <w:sz w:val="28"/>
          <w:szCs w:val="28"/>
        </w:rPr>
      </w:pPr>
      <w:r>
        <w:rPr>
          <w:sz w:val="28"/>
          <w:szCs w:val="28"/>
        </w:rPr>
        <w:drawing>
          <wp:inline distT="0" distB="0" distL="0" distR="0">
            <wp:extent cx="3305175" cy="2120265"/>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0" y="0"/>
                      <a:ext cx="3305175" cy="2120265"/>
                    </a:xfrm>
                    <a:prstGeom prst="rect">
                      <a:avLst/>
                    </a:prstGeom>
                    <a:noFill/>
                    <a:ln>
                      <a:noFill/>
                    </a:ln>
                  </pic:spPr>
                </pic:pic>
              </a:graphicData>
            </a:graphic>
          </wp:inline>
        </w:drawing>
      </w:r>
    </w:p>
    <w:p>
      <w:pPr>
        <w:tabs>
          <w:tab w:val="left" w:pos="1905"/>
        </w:tabs>
        <w:spacing w:line="240" w:lineRule="atLeast"/>
        <w:ind w:firstLine="480"/>
        <w:jc w:val="center"/>
        <w:rPr>
          <w:rFonts w:eastAsia="黑体"/>
          <w:szCs w:val="21"/>
        </w:rPr>
      </w:pPr>
      <w:r>
        <w:rPr>
          <w:rFonts w:eastAsia="黑体"/>
          <w:szCs w:val="21"/>
        </w:rPr>
        <w:t>图</w:t>
      </w:r>
      <w:r>
        <w:rPr>
          <w:rFonts w:hint="eastAsia" w:eastAsia="黑体"/>
          <w:szCs w:val="21"/>
        </w:rPr>
        <w:t>A</w:t>
      </w:r>
      <w:r>
        <w:rPr>
          <w:rFonts w:eastAsia="黑体"/>
          <w:szCs w:val="21"/>
        </w:rPr>
        <w:t>.0.</w:t>
      </w:r>
      <w:r>
        <w:rPr>
          <w:rFonts w:hint="eastAsia" w:eastAsia="黑体"/>
          <w:szCs w:val="21"/>
        </w:rPr>
        <w:t>5</w:t>
      </w:r>
      <w:r>
        <w:rPr>
          <w:rFonts w:eastAsia="黑体"/>
          <w:szCs w:val="21"/>
        </w:rPr>
        <w:t xml:space="preserve">  墙后土体受限情况下的主动土压力计算示意图</w:t>
      </w:r>
    </w:p>
    <w:p>
      <w:pPr>
        <w:tabs>
          <w:tab w:val="left" w:pos="1905"/>
        </w:tabs>
        <w:spacing w:line="360" w:lineRule="auto"/>
        <w:rPr>
          <w:sz w:val="24"/>
        </w:rPr>
      </w:pPr>
      <w:r>
        <w:rPr>
          <w:b/>
          <w:sz w:val="24"/>
        </w:rPr>
        <w:t>A.0.</w:t>
      </w:r>
      <w:r>
        <w:rPr>
          <w:rFonts w:hint="eastAsia"/>
          <w:b/>
          <w:sz w:val="24"/>
        </w:rPr>
        <w:t>6</w:t>
      </w:r>
      <w:r>
        <w:rPr>
          <w:b/>
          <w:sz w:val="24"/>
        </w:rPr>
        <w:t xml:space="preserve">  </w:t>
      </w:r>
      <w:r>
        <w:rPr>
          <w:sz w:val="24"/>
        </w:rPr>
        <w:t>合理选取土条状坑壁的土压力，土条状坑壁的土压力，不应小于其自重的1/3。</w:t>
      </w:r>
    </w:p>
    <w:p>
      <w:pPr>
        <w:tabs>
          <w:tab w:val="left" w:pos="1905"/>
        </w:tabs>
        <w:spacing w:line="360" w:lineRule="auto"/>
        <w:rPr>
          <w:sz w:val="24"/>
        </w:rPr>
      </w:pPr>
      <w:r>
        <w:rPr>
          <w:b/>
          <w:sz w:val="24"/>
        </w:rPr>
        <w:t>A.0.</w:t>
      </w:r>
      <w:r>
        <w:rPr>
          <w:rFonts w:hint="eastAsia"/>
          <w:b/>
          <w:sz w:val="24"/>
        </w:rPr>
        <w:t>7</w:t>
      </w:r>
      <w:r>
        <w:rPr>
          <w:b/>
          <w:sz w:val="24"/>
        </w:rPr>
        <w:t xml:space="preserve">  </w:t>
      </w:r>
      <w:r>
        <w:rPr>
          <w:sz w:val="24"/>
        </w:rPr>
        <w:t>当支护结构位于地下水位以下时，作用在支护结构上的土压力和水压力，对渗透性较好的砂土、碎石土应按水土分算方法计算，对渗透性差的软土、粘性土可按水土合算方法计算，对粉土应视具体情况采用水土分、合算方法计算。一般来说，若粉土层的上、下均为透水性较大的砂性等土层，粉土可采用水土分算；若其上、下层为粘性土，可采用水土合算。</w:t>
      </w:r>
    </w:p>
    <w:p>
      <w:pPr>
        <w:tabs>
          <w:tab w:val="left" w:pos="1905"/>
        </w:tabs>
        <w:spacing w:line="440" w:lineRule="exact"/>
        <w:rPr>
          <w:sz w:val="24"/>
        </w:rPr>
      </w:pPr>
    </w:p>
    <w:p>
      <w:pPr>
        <w:tabs>
          <w:tab w:val="left" w:pos="1905"/>
        </w:tabs>
        <w:spacing w:line="440" w:lineRule="exact"/>
        <w:rPr>
          <w:b/>
          <w:sz w:val="24"/>
        </w:rPr>
        <w:sectPr>
          <w:pgSz w:w="11907" w:h="16840"/>
          <w:pgMar w:top="1418" w:right="1134" w:bottom="1134" w:left="1701" w:header="851" w:footer="851" w:gutter="0"/>
          <w:cols w:space="720" w:num="1"/>
          <w:docGrid w:linePitch="312" w:charSpace="0"/>
        </w:sectPr>
      </w:pPr>
    </w:p>
    <w:p>
      <w:pPr>
        <w:spacing w:line="360" w:lineRule="auto"/>
        <w:jc w:val="center"/>
        <w:outlineLvl w:val="0"/>
        <w:rPr>
          <w:b/>
          <w:sz w:val="24"/>
        </w:rPr>
      </w:pPr>
      <w:bookmarkStart w:id="139" w:name="_Toc87018364"/>
      <w:bookmarkStart w:id="140" w:name="_Toc87018295"/>
      <w:r>
        <w:rPr>
          <w:b/>
          <w:sz w:val="24"/>
        </w:rPr>
        <w:t>附录</w:t>
      </w:r>
      <w:r>
        <w:rPr>
          <w:rFonts w:hint="eastAsia"/>
          <w:b/>
          <w:sz w:val="24"/>
        </w:rPr>
        <w:t xml:space="preserve">B  </w:t>
      </w:r>
      <w:r>
        <w:rPr>
          <w:b/>
          <w:sz w:val="24"/>
        </w:rPr>
        <w:t>锚杆</w:t>
      </w:r>
      <w:r>
        <w:rPr>
          <w:rFonts w:hint="eastAsia"/>
          <w:b/>
          <w:sz w:val="24"/>
        </w:rPr>
        <w:t>、土钉黏</w:t>
      </w:r>
      <w:r>
        <w:rPr>
          <w:b/>
          <w:sz w:val="24"/>
        </w:rPr>
        <w:t>结强度标准值参考指标</w:t>
      </w:r>
      <w:bookmarkEnd w:id="139"/>
      <w:bookmarkEnd w:id="140"/>
    </w:p>
    <w:p>
      <w:pPr>
        <w:tabs>
          <w:tab w:val="left" w:pos="1905"/>
        </w:tabs>
        <w:spacing w:line="360" w:lineRule="auto"/>
        <w:rPr>
          <w:sz w:val="24"/>
        </w:rPr>
      </w:pPr>
      <w:r>
        <w:rPr>
          <w:rFonts w:hint="eastAsia"/>
          <w:b/>
          <w:sz w:val="24"/>
        </w:rPr>
        <w:t xml:space="preserve">B.0.1  </w:t>
      </w:r>
      <w:r>
        <w:rPr>
          <w:rFonts w:hint="eastAsia" w:ascii="宋体" w:hAnsi="宋体"/>
          <w:sz w:val="24"/>
        </w:rPr>
        <w:t>锚杆黏结强度标准值宜通过抗拔基本试验确定，无试验资料时</w:t>
      </w:r>
      <w:r>
        <w:rPr>
          <w:rFonts w:hint="eastAsia"/>
          <w:sz w:val="24"/>
        </w:rPr>
        <w:t>应根据工程经验结合表B.0.1取值。</w:t>
      </w:r>
    </w:p>
    <w:p>
      <w:pPr>
        <w:spacing w:line="360" w:lineRule="auto"/>
        <w:jc w:val="center"/>
        <w:rPr>
          <w:b/>
          <w:bCs/>
          <w:sz w:val="24"/>
        </w:rPr>
      </w:pPr>
      <w:r>
        <w:rPr>
          <w:b/>
          <w:bCs/>
          <w:sz w:val="24"/>
        </w:rPr>
        <w:t>表</w:t>
      </w:r>
      <w:r>
        <w:rPr>
          <w:rFonts w:hint="eastAsia"/>
          <w:b/>
          <w:bCs/>
          <w:sz w:val="24"/>
        </w:rPr>
        <w:t>B.0.1</w:t>
      </w:r>
      <w:r>
        <w:rPr>
          <w:b/>
          <w:bCs/>
          <w:sz w:val="24"/>
        </w:rPr>
        <w:t xml:space="preserve">  </w:t>
      </w:r>
      <w:r>
        <w:rPr>
          <w:rFonts w:hint="eastAsia"/>
          <w:b/>
          <w:bCs/>
          <w:sz w:val="24"/>
        </w:rPr>
        <w:t>锚杆</w:t>
      </w:r>
      <w:r>
        <w:rPr>
          <w:b/>
          <w:bCs/>
          <w:sz w:val="24"/>
        </w:rPr>
        <w:t>的极限黏结强度标准值</w:t>
      </w:r>
    </w:p>
    <w:tbl>
      <w:tblPr>
        <w:tblStyle w:val="26"/>
        <w:tblW w:w="928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06"/>
        <w:gridCol w:w="2792"/>
        <w:gridCol w:w="2194"/>
        <w:gridCol w:w="219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restart"/>
            <w:vAlign w:val="center"/>
          </w:tcPr>
          <w:p>
            <w:pPr>
              <w:ind w:firstLine="105" w:firstLineChars="50"/>
              <w:jc w:val="center"/>
              <w:rPr>
                <w:szCs w:val="21"/>
              </w:rPr>
            </w:pPr>
            <w:r>
              <w:rPr>
                <w:szCs w:val="21"/>
              </w:rPr>
              <w:t>土的名称</w:t>
            </w:r>
          </w:p>
        </w:tc>
        <w:tc>
          <w:tcPr>
            <w:tcW w:w="2792" w:type="dxa"/>
            <w:vMerge w:val="restart"/>
            <w:vAlign w:val="center"/>
          </w:tcPr>
          <w:p>
            <w:pPr>
              <w:ind w:firstLine="105" w:firstLineChars="50"/>
              <w:jc w:val="center"/>
              <w:rPr>
                <w:szCs w:val="21"/>
              </w:rPr>
            </w:pPr>
            <w:r>
              <w:rPr>
                <w:szCs w:val="21"/>
              </w:rPr>
              <w:t>土的状态或密实度</w:t>
            </w:r>
          </w:p>
        </w:tc>
        <w:tc>
          <w:tcPr>
            <w:tcW w:w="4390" w:type="dxa"/>
            <w:gridSpan w:val="2"/>
            <w:vAlign w:val="center"/>
          </w:tcPr>
          <w:p>
            <w:pPr>
              <w:ind w:firstLine="105" w:firstLineChars="50"/>
              <w:jc w:val="center"/>
              <w:rPr>
                <w:szCs w:val="21"/>
              </w:rPr>
            </w:pPr>
            <w:r>
              <w:rPr>
                <w:i/>
                <w:szCs w:val="21"/>
              </w:rPr>
              <w:t>q</w:t>
            </w:r>
            <w:r>
              <w:rPr>
                <w:szCs w:val="21"/>
                <w:vertAlign w:val="subscript"/>
              </w:rPr>
              <w:t>sik</w:t>
            </w:r>
            <w:r>
              <w:rPr>
                <w:szCs w:val="21"/>
              </w:rPr>
              <w:t xml:space="preserve"> (kPa)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Merge w:val="continue"/>
            <w:vAlign w:val="center"/>
          </w:tcPr>
          <w:p>
            <w:pPr>
              <w:ind w:firstLine="105" w:firstLineChars="50"/>
              <w:jc w:val="center"/>
              <w:rPr>
                <w:szCs w:val="21"/>
              </w:rPr>
            </w:pPr>
          </w:p>
        </w:tc>
        <w:tc>
          <w:tcPr>
            <w:tcW w:w="2194" w:type="dxa"/>
            <w:vAlign w:val="center"/>
          </w:tcPr>
          <w:p>
            <w:pPr>
              <w:ind w:firstLine="105" w:firstLineChars="50"/>
              <w:jc w:val="center"/>
              <w:rPr>
                <w:szCs w:val="21"/>
              </w:rPr>
            </w:pPr>
            <w:r>
              <w:rPr>
                <w:szCs w:val="21"/>
              </w:rPr>
              <w:t>一次常压注浆</w:t>
            </w:r>
          </w:p>
        </w:tc>
        <w:tc>
          <w:tcPr>
            <w:tcW w:w="2196" w:type="dxa"/>
            <w:vAlign w:val="center"/>
          </w:tcPr>
          <w:p>
            <w:pPr>
              <w:ind w:firstLine="105" w:firstLineChars="50"/>
              <w:jc w:val="center"/>
              <w:rPr>
                <w:szCs w:val="21"/>
              </w:rPr>
            </w:pPr>
            <w:r>
              <w:rPr>
                <w:szCs w:val="21"/>
              </w:rPr>
              <w:t>二次压力注浆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Align w:val="center"/>
          </w:tcPr>
          <w:p>
            <w:pPr>
              <w:ind w:firstLine="105" w:firstLineChars="50"/>
              <w:jc w:val="center"/>
              <w:rPr>
                <w:szCs w:val="21"/>
              </w:rPr>
            </w:pPr>
            <w:r>
              <w:rPr>
                <w:szCs w:val="21"/>
              </w:rPr>
              <w:t>填土</w:t>
            </w:r>
          </w:p>
        </w:tc>
        <w:tc>
          <w:tcPr>
            <w:tcW w:w="2792" w:type="dxa"/>
            <w:vAlign w:val="center"/>
          </w:tcPr>
          <w:p>
            <w:pPr>
              <w:ind w:firstLine="105" w:firstLineChars="50"/>
              <w:jc w:val="center"/>
              <w:rPr>
                <w:szCs w:val="21"/>
              </w:rPr>
            </w:pPr>
            <w:r>
              <w:rPr>
                <w:szCs w:val="21"/>
              </w:rPr>
              <w:t>—</w:t>
            </w:r>
          </w:p>
        </w:tc>
        <w:tc>
          <w:tcPr>
            <w:tcW w:w="2194" w:type="dxa"/>
            <w:vAlign w:val="center"/>
          </w:tcPr>
          <w:p>
            <w:pPr>
              <w:ind w:firstLine="105" w:firstLineChars="50"/>
              <w:jc w:val="center"/>
              <w:rPr>
                <w:szCs w:val="21"/>
              </w:rPr>
            </w:pPr>
            <w:r>
              <w:rPr>
                <w:szCs w:val="21"/>
              </w:rPr>
              <w:t>16～30</w:t>
            </w:r>
          </w:p>
        </w:tc>
        <w:tc>
          <w:tcPr>
            <w:tcW w:w="2196" w:type="dxa"/>
            <w:vAlign w:val="center"/>
          </w:tcPr>
          <w:p>
            <w:pPr>
              <w:ind w:firstLine="105" w:firstLineChars="50"/>
              <w:jc w:val="center"/>
              <w:rPr>
                <w:szCs w:val="21"/>
              </w:rPr>
            </w:pPr>
            <w:r>
              <w:rPr>
                <w:szCs w:val="21"/>
              </w:rPr>
              <w:t>30～45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Align w:val="center"/>
          </w:tcPr>
          <w:p>
            <w:pPr>
              <w:ind w:firstLine="105" w:firstLineChars="50"/>
              <w:jc w:val="center"/>
              <w:rPr>
                <w:szCs w:val="21"/>
              </w:rPr>
            </w:pPr>
            <w:r>
              <w:rPr>
                <w:szCs w:val="21"/>
              </w:rPr>
              <w:t>淤泥质土</w:t>
            </w:r>
          </w:p>
        </w:tc>
        <w:tc>
          <w:tcPr>
            <w:tcW w:w="2792" w:type="dxa"/>
            <w:vAlign w:val="center"/>
          </w:tcPr>
          <w:p>
            <w:pPr>
              <w:ind w:firstLine="105" w:firstLineChars="50"/>
              <w:jc w:val="center"/>
              <w:rPr>
                <w:szCs w:val="21"/>
              </w:rPr>
            </w:pPr>
            <w:r>
              <w:rPr>
                <w:szCs w:val="21"/>
              </w:rPr>
              <w:t>—</w:t>
            </w:r>
          </w:p>
        </w:tc>
        <w:tc>
          <w:tcPr>
            <w:tcW w:w="2194" w:type="dxa"/>
            <w:vAlign w:val="center"/>
          </w:tcPr>
          <w:p>
            <w:pPr>
              <w:ind w:firstLine="105" w:firstLineChars="50"/>
              <w:jc w:val="center"/>
              <w:rPr>
                <w:szCs w:val="21"/>
              </w:rPr>
            </w:pPr>
            <w:r>
              <w:rPr>
                <w:szCs w:val="21"/>
              </w:rPr>
              <w:t>16～20</w:t>
            </w:r>
          </w:p>
        </w:tc>
        <w:tc>
          <w:tcPr>
            <w:tcW w:w="2196" w:type="dxa"/>
            <w:vAlign w:val="center"/>
          </w:tcPr>
          <w:p>
            <w:pPr>
              <w:ind w:firstLine="105" w:firstLineChars="50"/>
              <w:jc w:val="center"/>
              <w:rPr>
                <w:szCs w:val="21"/>
              </w:rPr>
            </w:pPr>
            <w:r>
              <w:rPr>
                <w:szCs w:val="21"/>
              </w:rPr>
              <w:t>20～30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restart"/>
            <w:vAlign w:val="center"/>
          </w:tcPr>
          <w:p>
            <w:pPr>
              <w:ind w:firstLine="105" w:firstLineChars="50"/>
              <w:jc w:val="center"/>
              <w:rPr>
                <w:szCs w:val="21"/>
              </w:rPr>
            </w:pPr>
            <w:r>
              <w:rPr>
                <w:rFonts w:hint="eastAsia"/>
                <w:szCs w:val="21"/>
              </w:rPr>
              <w:t>黏</w:t>
            </w:r>
            <w:r>
              <w:rPr>
                <w:szCs w:val="21"/>
              </w:rPr>
              <w:t>性土</w:t>
            </w:r>
          </w:p>
        </w:tc>
        <w:tc>
          <w:tcPr>
            <w:tcW w:w="2792" w:type="dxa"/>
            <w:vAlign w:val="center"/>
          </w:tcPr>
          <w:p>
            <w:pPr>
              <w:ind w:firstLine="105" w:firstLineChars="50"/>
              <w:jc w:val="center"/>
              <w:rPr>
                <w:szCs w:val="21"/>
              </w:rPr>
            </w:pPr>
            <w:r>
              <w:rPr>
                <w:i/>
                <w:szCs w:val="21"/>
              </w:rPr>
              <w:t>I</w:t>
            </w:r>
            <w:r>
              <w:rPr>
                <w:szCs w:val="21"/>
                <w:vertAlign w:val="subscript"/>
              </w:rPr>
              <w:t>L</w:t>
            </w:r>
            <w:r>
              <w:rPr>
                <w:szCs w:val="21"/>
              </w:rPr>
              <w:t>＞1</w:t>
            </w:r>
          </w:p>
        </w:tc>
        <w:tc>
          <w:tcPr>
            <w:tcW w:w="2194" w:type="dxa"/>
            <w:vAlign w:val="center"/>
          </w:tcPr>
          <w:p>
            <w:pPr>
              <w:ind w:firstLine="105" w:firstLineChars="50"/>
              <w:jc w:val="center"/>
              <w:rPr>
                <w:szCs w:val="21"/>
              </w:rPr>
            </w:pPr>
            <w:r>
              <w:rPr>
                <w:szCs w:val="21"/>
              </w:rPr>
              <w:t>18～30</w:t>
            </w:r>
          </w:p>
        </w:tc>
        <w:tc>
          <w:tcPr>
            <w:tcW w:w="2196" w:type="dxa"/>
            <w:vAlign w:val="center"/>
          </w:tcPr>
          <w:p>
            <w:pPr>
              <w:ind w:firstLine="105" w:firstLineChars="50"/>
              <w:jc w:val="center"/>
              <w:rPr>
                <w:szCs w:val="21"/>
              </w:rPr>
            </w:pPr>
            <w:r>
              <w:rPr>
                <w:szCs w:val="21"/>
              </w:rPr>
              <w:t>25～45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0.75＜</w:t>
            </w:r>
            <w:r>
              <w:rPr>
                <w:i/>
                <w:szCs w:val="21"/>
              </w:rPr>
              <w:t>I</w:t>
            </w:r>
            <w:r>
              <w:rPr>
                <w:szCs w:val="21"/>
                <w:vertAlign w:val="subscript"/>
              </w:rPr>
              <w:t>L</w:t>
            </w:r>
            <w:r>
              <w:rPr>
                <w:szCs w:val="21"/>
              </w:rPr>
              <w:t>≤1</w:t>
            </w:r>
          </w:p>
        </w:tc>
        <w:tc>
          <w:tcPr>
            <w:tcW w:w="2194" w:type="dxa"/>
            <w:vAlign w:val="center"/>
          </w:tcPr>
          <w:p>
            <w:pPr>
              <w:ind w:firstLine="105" w:firstLineChars="50"/>
              <w:jc w:val="center"/>
              <w:rPr>
                <w:szCs w:val="21"/>
              </w:rPr>
            </w:pPr>
            <w:r>
              <w:rPr>
                <w:szCs w:val="21"/>
              </w:rPr>
              <w:t>30～40</w:t>
            </w:r>
          </w:p>
        </w:tc>
        <w:tc>
          <w:tcPr>
            <w:tcW w:w="2196" w:type="dxa"/>
            <w:vAlign w:val="center"/>
          </w:tcPr>
          <w:p>
            <w:pPr>
              <w:ind w:firstLine="105" w:firstLineChars="50"/>
              <w:jc w:val="center"/>
              <w:rPr>
                <w:szCs w:val="21"/>
              </w:rPr>
            </w:pPr>
            <w:r>
              <w:rPr>
                <w:szCs w:val="21"/>
              </w:rPr>
              <w:t>45～60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0.50＜</w:t>
            </w:r>
            <w:r>
              <w:rPr>
                <w:i/>
                <w:szCs w:val="21"/>
              </w:rPr>
              <w:t>I</w:t>
            </w:r>
            <w:r>
              <w:rPr>
                <w:szCs w:val="21"/>
                <w:vertAlign w:val="subscript"/>
              </w:rPr>
              <w:t>L</w:t>
            </w:r>
            <w:r>
              <w:rPr>
                <w:szCs w:val="21"/>
              </w:rPr>
              <w:t>≤0.75</w:t>
            </w:r>
          </w:p>
        </w:tc>
        <w:tc>
          <w:tcPr>
            <w:tcW w:w="2194" w:type="dxa"/>
            <w:vAlign w:val="center"/>
          </w:tcPr>
          <w:p>
            <w:pPr>
              <w:ind w:firstLine="105" w:firstLineChars="50"/>
              <w:jc w:val="center"/>
              <w:rPr>
                <w:szCs w:val="21"/>
              </w:rPr>
            </w:pPr>
            <w:r>
              <w:rPr>
                <w:szCs w:val="21"/>
              </w:rPr>
              <w:t>40～53</w:t>
            </w:r>
          </w:p>
        </w:tc>
        <w:tc>
          <w:tcPr>
            <w:tcW w:w="2196" w:type="dxa"/>
            <w:vAlign w:val="center"/>
          </w:tcPr>
          <w:p>
            <w:pPr>
              <w:ind w:firstLine="105" w:firstLineChars="50"/>
              <w:jc w:val="center"/>
              <w:rPr>
                <w:szCs w:val="21"/>
              </w:rPr>
            </w:pPr>
            <w:r>
              <w:rPr>
                <w:szCs w:val="21"/>
              </w:rPr>
              <w:t>60～70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0.25＜</w:t>
            </w:r>
            <w:r>
              <w:rPr>
                <w:i/>
                <w:szCs w:val="21"/>
              </w:rPr>
              <w:t>I</w:t>
            </w:r>
            <w:r>
              <w:rPr>
                <w:szCs w:val="21"/>
                <w:vertAlign w:val="subscript"/>
              </w:rPr>
              <w:t>L</w:t>
            </w:r>
            <w:r>
              <w:rPr>
                <w:szCs w:val="21"/>
              </w:rPr>
              <w:t>≤0.50</w:t>
            </w:r>
          </w:p>
        </w:tc>
        <w:tc>
          <w:tcPr>
            <w:tcW w:w="2194" w:type="dxa"/>
            <w:vAlign w:val="center"/>
          </w:tcPr>
          <w:p>
            <w:pPr>
              <w:ind w:firstLine="105" w:firstLineChars="50"/>
              <w:jc w:val="center"/>
              <w:rPr>
                <w:szCs w:val="21"/>
              </w:rPr>
            </w:pPr>
            <w:r>
              <w:rPr>
                <w:szCs w:val="21"/>
              </w:rPr>
              <w:t>53～65</w:t>
            </w:r>
          </w:p>
        </w:tc>
        <w:tc>
          <w:tcPr>
            <w:tcW w:w="2196" w:type="dxa"/>
            <w:vAlign w:val="center"/>
          </w:tcPr>
          <w:p>
            <w:pPr>
              <w:ind w:firstLine="105" w:firstLineChars="50"/>
              <w:jc w:val="center"/>
              <w:rPr>
                <w:szCs w:val="21"/>
              </w:rPr>
            </w:pPr>
            <w:r>
              <w:rPr>
                <w:szCs w:val="21"/>
              </w:rPr>
              <w:t>70～85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0＜</w:t>
            </w:r>
            <w:r>
              <w:rPr>
                <w:i/>
                <w:szCs w:val="21"/>
              </w:rPr>
              <w:t>I</w:t>
            </w:r>
            <w:r>
              <w:rPr>
                <w:szCs w:val="21"/>
                <w:vertAlign w:val="subscript"/>
              </w:rPr>
              <w:t>L</w:t>
            </w:r>
            <w:r>
              <w:rPr>
                <w:szCs w:val="21"/>
              </w:rPr>
              <w:t>≤0.25</w:t>
            </w:r>
          </w:p>
        </w:tc>
        <w:tc>
          <w:tcPr>
            <w:tcW w:w="2194" w:type="dxa"/>
            <w:vAlign w:val="center"/>
          </w:tcPr>
          <w:p>
            <w:pPr>
              <w:ind w:firstLine="105" w:firstLineChars="50"/>
              <w:jc w:val="center"/>
              <w:rPr>
                <w:szCs w:val="21"/>
              </w:rPr>
            </w:pPr>
            <w:r>
              <w:rPr>
                <w:szCs w:val="21"/>
              </w:rPr>
              <w:t>65～73</w:t>
            </w:r>
          </w:p>
        </w:tc>
        <w:tc>
          <w:tcPr>
            <w:tcW w:w="2196" w:type="dxa"/>
            <w:vAlign w:val="center"/>
          </w:tcPr>
          <w:p>
            <w:pPr>
              <w:ind w:firstLine="105" w:firstLineChars="50"/>
              <w:jc w:val="center"/>
              <w:rPr>
                <w:szCs w:val="21"/>
              </w:rPr>
            </w:pPr>
            <w:r>
              <w:rPr>
                <w:szCs w:val="21"/>
              </w:rPr>
              <w:t>85～100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i/>
                <w:szCs w:val="21"/>
              </w:rPr>
              <w:t>I</w:t>
            </w:r>
            <w:r>
              <w:rPr>
                <w:szCs w:val="21"/>
                <w:vertAlign w:val="subscript"/>
              </w:rPr>
              <w:t>L</w:t>
            </w:r>
            <w:r>
              <w:rPr>
                <w:szCs w:val="21"/>
              </w:rPr>
              <w:t>≤0</w:t>
            </w:r>
          </w:p>
        </w:tc>
        <w:tc>
          <w:tcPr>
            <w:tcW w:w="2194" w:type="dxa"/>
            <w:vAlign w:val="center"/>
          </w:tcPr>
          <w:p>
            <w:pPr>
              <w:ind w:firstLine="105" w:firstLineChars="50"/>
              <w:jc w:val="center"/>
              <w:rPr>
                <w:szCs w:val="21"/>
              </w:rPr>
            </w:pPr>
            <w:r>
              <w:rPr>
                <w:szCs w:val="21"/>
              </w:rPr>
              <w:t>73～90</w:t>
            </w:r>
          </w:p>
        </w:tc>
        <w:tc>
          <w:tcPr>
            <w:tcW w:w="2196" w:type="dxa"/>
            <w:vAlign w:val="center"/>
          </w:tcPr>
          <w:p>
            <w:pPr>
              <w:ind w:firstLine="105" w:firstLineChars="50"/>
              <w:jc w:val="center"/>
              <w:rPr>
                <w:szCs w:val="21"/>
              </w:rPr>
            </w:pPr>
            <w:r>
              <w:rPr>
                <w:szCs w:val="21"/>
              </w:rPr>
              <w:t>100～130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restart"/>
            <w:vAlign w:val="center"/>
          </w:tcPr>
          <w:p>
            <w:pPr>
              <w:ind w:firstLine="105" w:firstLineChars="50"/>
              <w:jc w:val="center"/>
              <w:rPr>
                <w:szCs w:val="21"/>
              </w:rPr>
            </w:pPr>
            <w:r>
              <w:rPr>
                <w:szCs w:val="21"/>
              </w:rPr>
              <w:t>粉土</w:t>
            </w:r>
          </w:p>
        </w:tc>
        <w:tc>
          <w:tcPr>
            <w:tcW w:w="2792" w:type="dxa"/>
            <w:vAlign w:val="center"/>
          </w:tcPr>
          <w:p>
            <w:pPr>
              <w:ind w:firstLine="105" w:firstLineChars="50"/>
              <w:jc w:val="center"/>
              <w:rPr>
                <w:szCs w:val="21"/>
              </w:rPr>
            </w:pPr>
            <w:r>
              <w:rPr>
                <w:i/>
                <w:szCs w:val="21"/>
              </w:rPr>
              <w:t>e</w:t>
            </w:r>
            <w:r>
              <w:rPr>
                <w:szCs w:val="21"/>
              </w:rPr>
              <w:t>＞0.90</w:t>
            </w:r>
          </w:p>
        </w:tc>
        <w:tc>
          <w:tcPr>
            <w:tcW w:w="2194" w:type="dxa"/>
            <w:vAlign w:val="center"/>
          </w:tcPr>
          <w:p>
            <w:pPr>
              <w:ind w:firstLine="105" w:firstLineChars="50"/>
              <w:jc w:val="center"/>
              <w:rPr>
                <w:szCs w:val="21"/>
              </w:rPr>
            </w:pPr>
            <w:r>
              <w:rPr>
                <w:szCs w:val="21"/>
              </w:rPr>
              <w:t>22～44</w:t>
            </w:r>
          </w:p>
        </w:tc>
        <w:tc>
          <w:tcPr>
            <w:tcW w:w="2196" w:type="dxa"/>
            <w:vAlign w:val="center"/>
          </w:tcPr>
          <w:p>
            <w:pPr>
              <w:ind w:firstLine="105" w:firstLineChars="50"/>
              <w:jc w:val="center"/>
              <w:rPr>
                <w:szCs w:val="21"/>
              </w:rPr>
            </w:pPr>
            <w:r>
              <w:rPr>
                <w:szCs w:val="21"/>
              </w:rPr>
              <w:t>40～60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0.75≤</w:t>
            </w:r>
            <w:r>
              <w:rPr>
                <w:i/>
                <w:szCs w:val="21"/>
              </w:rPr>
              <w:t>e</w:t>
            </w:r>
            <w:r>
              <w:rPr>
                <w:szCs w:val="21"/>
              </w:rPr>
              <w:t>≤0.90</w:t>
            </w:r>
          </w:p>
        </w:tc>
        <w:tc>
          <w:tcPr>
            <w:tcW w:w="2194" w:type="dxa"/>
            <w:vAlign w:val="center"/>
          </w:tcPr>
          <w:p>
            <w:pPr>
              <w:ind w:firstLine="105" w:firstLineChars="50"/>
              <w:jc w:val="center"/>
              <w:rPr>
                <w:szCs w:val="21"/>
              </w:rPr>
            </w:pPr>
            <w:r>
              <w:rPr>
                <w:szCs w:val="21"/>
              </w:rPr>
              <w:t>44～64</w:t>
            </w:r>
          </w:p>
        </w:tc>
        <w:tc>
          <w:tcPr>
            <w:tcW w:w="2196" w:type="dxa"/>
            <w:vAlign w:val="center"/>
          </w:tcPr>
          <w:p>
            <w:pPr>
              <w:ind w:firstLine="105" w:firstLineChars="50"/>
              <w:jc w:val="center"/>
              <w:rPr>
                <w:szCs w:val="21"/>
              </w:rPr>
            </w:pPr>
            <w:r>
              <w:rPr>
                <w:szCs w:val="21"/>
              </w:rPr>
              <w:t>60～90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i/>
                <w:szCs w:val="21"/>
              </w:rPr>
              <w:t>e</w:t>
            </w:r>
            <w:r>
              <w:rPr>
                <w:szCs w:val="21"/>
              </w:rPr>
              <w:t>＜0.75</w:t>
            </w:r>
          </w:p>
        </w:tc>
        <w:tc>
          <w:tcPr>
            <w:tcW w:w="2194" w:type="dxa"/>
            <w:vAlign w:val="center"/>
          </w:tcPr>
          <w:p>
            <w:pPr>
              <w:ind w:firstLine="105" w:firstLineChars="50"/>
              <w:jc w:val="center"/>
              <w:rPr>
                <w:szCs w:val="21"/>
              </w:rPr>
            </w:pPr>
            <w:r>
              <w:rPr>
                <w:szCs w:val="21"/>
              </w:rPr>
              <w:t>64～100</w:t>
            </w:r>
          </w:p>
        </w:tc>
        <w:tc>
          <w:tcPr>
            <w:tcW w:w="2196" w:type="dxa"/>
            <w:vAlign w:val="center"/>
          </w:tcPr>
          <w:p>
            <w:pPr>
              <w:ind w:firstLine="105" w:firstLineChars="50"/>
              <w:jc w:val="center"/>
              <w:rPr>
                <w:szCs w:val="21"/>
              </w:rPr>
            </w:pPr>
            <w:r>
              <w:rPr>
                <w:szCs w:val="21"/>
              </w:rPr>
              <w:t>80～130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restart"/>
            <w:vAlign w:val="center"/>
          </w:tcPr>
          <w:p>
            <w:pPr>
              <w:ind w:firstLine="105" w:firstLineChars="50"/>
              <w:jc w:val="center"/>
              <w:rPr>
                <w:szCs w:val="21"/>
              </w:rPr>
            </w:pPr>
            <w:r>
              <w:rPr>
                <w:szCs w:val="21"/>
              </w:rPr>
              <w:t>粉细砂</w:t>
            </w:r>
          </w:p>
        </w:tc>
        <w:tc>
          <w:tcPr>
            <w:tcW w:w="2792" w:type="dxa"/>
            <w:vAlign w:val="center"/>
          </w:tcPr>
          <w:p>
            <w:pPr>
              <w:ind w:firstLine="105" w:firstLineChars="50"/>
              <w:jc w:val="center"/>
              <w:rPr>
                <w:szCs w:val="21"/>
              </w:rPr>
            </w:pPr>
            <w:r>
              <w:rPr>
                <w:szCs w:val="21"/>
              </w:rPr>
              <w:t>稍密</w:t>
            </w:r>
          </w:p>
        </w:tc>
        <w:tc>
          <w:tcPr>
            <w:tcW w:w="2194" w:type="dxa"/>
            <w:vAlign w:val="center"/>
          </w:tcPr>
          <w:p>
            <w:pPr>
              <w:ind w:firstLine="105" w:firstLineChars="50"/>
              <w:jc w:val="center"/>
              <w:rPr>
                <w:szCs w:val="21"/>
              </w:rPr>
            </w:pPr>
            <w:r>
              <w:rPr>
                <w:szCs w:val="21"/>
              </w:rPr>
              <w:t>22～42</w:t>
            </w:r>
          </w:p>
        </w:tc>
        <w:tc>
          <w:tcPr>
            <w:tcW w:w="2196" w:type="dxa"/>
            <w:vAlign w:val="center"/>
          </w:tcPr>
          <w:p>
            <w:pPr>
              <w:ind w:firstLine="105" w:firstLineChars="50"/>
              <w:jc w:val="center"/>
              <w:rPr>
                <w:szCs w:val="21"/>
              </w:rPr>
            </w:pPr>
            <w:r>
              <w:rPr>
                <w:szCs w:val="21"/>
              </w:rPr>
              <w:t>40～70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中密</w:t>
            </w:r>
          </w:p>
        </w:tc>
        <w:tc>
          <w:tcPr>
            <w:tcW w:w="2194" w:type="dxa"/>
            <w:vAlign w:val="center"/>
          </w:tcPr>
          <w:p>
            <w:pPr>
              <w:ind w:firstLine="105" w:firstLineChars="50"/>
              <w:jc w:val="center"/>
              <w:rPr>
                <w:szCs w:val="21"/>
              </w:rPr>
            </w:pPr>
            <w:r>
              <w:rPr>
                <w:szCs w:val="21"/>
              </w:rPr>
              <w:t>42～63</w:t>
            </w:r>
          </w:p>
        </w:tc>
        <w:tc>
          <w:tcPr>
            <w:tcW w:w="2196" w:type="dxa"/>
            <w:vAlign w:val="center"/>
          </w:tcPr>
          <w:p>
            <w:pPr>
              <w:ind w:firstLine="105" w:firstLineChars="50"/>
              <w:jc w:val="center"/>
              <w:rPr>
                <w:szCs w:val="21"/>
              </w:rPr>
            </w:pPr>
            <w:r>
              <w:rPr>
                <w:szCs w:val="21"/>
              </w:rPr>
              <w:t>75～110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密实</w:t>
            </w:r>
          </w:p>
        </w:tc>
        <w:tc>
          <w:tcPr>
            <w:tcW w:w="2194" w:type="dxa"/>
            <w:vAlign w:val="center"/>
          </w:tcPr>
          <w:p>
            <w:pPr>
              <w:ind w:firstLine="105" w:firstLineChars="50"/>
              <w:jc w:val="center"/>
              <w:rPr>
                <w:szCs w:val="21"/>
              </w:rPr>
            </w:pPr>
            <w:r>
              <w:rPr>
                <w:szCs w:val="21"/>
              </w:rPr>
              <w:t>63～85</w:t>
            </w:r>
          </w:p>
        </w:tc>
        <w:tc>
          <w:tcPr>
            <w:tcW w:w="2196" w:type="dxa"/>
            <w:vAlign w:val="center"/>
          </w:tcPr>
          <w:p>
            <w:pPr>
              <w:ind w:firstLine="105" w:firstLineChars="50"/>
              <w:jc w:val="center"/>
              <w:rPr>
                <w:szCs w:val="21"/>
              </w:rPr>
            </w:pPr>
            <w:r>
              <w:rPr>
                <w:szCs w:val="21"/>
              </w:rPr>
              <w:t>90～130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restart"/>
            <w:vAlign w:val="center"/>
          </w:tcPr>
          <w:p>
            <w:pPr>
              <w:ind w:firstLine="105" w:firstLineChars="50"/>
              <w:jc w:val="center"/>
              <w:rPr>
                <w:szCs w:val="21"/>
              </w:rPr>
            </w:pPr>
            <w:r>
              <w:rPr>
                <w:szCs w:val="21"/>
              </w:rPr>
              <w:t>中砂</w:t>
            </w:r>
          </w:p>
        </w:tc>
        <w:tc>
          <w:tcPr>
            <w:tcW w:w="2792" w:type="dxa"/>
            <w:vAlign w:val="center"/>
          </w:tcPr>
          <w:p>
            <w:pPr>
              <w:ind w:firstLine="105" w:firstLineChars="50"/>
              <w:jc w:val="center"/>
              <w:rPr>
                <w:szCs w:val="21"/>
              </w:rPr>
            </w:pPr>
            <w:r>
              <w:rPr>
                <w:szCs w:val="21"/>
              </w:rPr>
              <w:t>稍密</w:t>
            </w:r>
          </w:p>
        </w:tc>
        <w:tc>
          <w:tcPr>
            <w:tcW w:w="2194" w:type="dxa"/>
            <w:vAlign w:val="center"/>
          </w:tcPr>
          <w:p>
            <w:pPr>
              <w:ind w:firstLine="105" w:firstLineChars="50"/>
              <w:jc w:val="center"/>
              <w:rPr>
                <w:szCs w:val="21"/>
              </w:rPr>
            </w:pPr>
            <w:r>
              <w:rPr>
                <w:szCs w:val="21"/>
              </w:rPr>
              <w:t>54～74</w:t>
            </w:r>
          </w:p>
        </w:tc>
        <w:tc>
          <w:tcPr>
            <w:tcW w:w="2196" w:type="dxa"/>
            <w:vAlign w:val="center"/>
          </w:tcPr>
          <w:p>
            <w:pPr>
              <w:ind w:firstLine="105" w:firstLineChars="50"/>
              <w:jc w:val="center"/>
              <w:rPr>
                <w:szCs w:val="21"/>
              </w:rPr>
            </w:pPr>
            <w:r>
              <w:rPr>
                <w:szCs w:val="21"/>
              </w:rPr>
              <w:t>70～100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中密</w:t>
            </w:r>
          </w:p>
        </w:tc>
        <w:tc>
          <w:tcPr>
            <w:tcW w:w="2194" w:type="dxa"/>
            <w:vAlign w:val="center"/>
          </w:tcPr>
          <w:p>
            <w:pPr>
              <w:ind w:firstLine="105" w:firstLineChars="50"/>
              <w:jc w:val="center"/>
              <w:rPr>
                <w:szCs w:val="21"/>
              </w:rPr>
            </w:pPr>
            <w:r>
              <w:rPr>
                <w:szCs w:val="21"/>
              </w:rPr>
              <w:t>74～90</w:t>
            </w:r>
          </w:p>
        </w:tc>
        <w:tc>
          <w:tcPr>
            <w:tcW w:w="2196" w:type="dxa"/>
            <w:vAlign w:val="center"/>
          </w:tcPr>
          <w:p>
            <w:pPr>
              <w:ind w:firstLine="105" w:firstLineChars="50"/>
              <w:jc w:val="center"/>
              <w:rPr>
                <w:szCs w:val="21"/>
              </w:rPr>
            </w:pPr>
            <w:r>
              <w:rPr>
                <w:szCs w:val="21"/>
              </w:rPr>
              <w:t>100～130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密实</w:t>
            </w:r>
          </w:p>
        </w:tc>
        <w:tc>
          <w:tcPr>
            <w:tcW w:w="2194" w:type="dxa"/>
            <w:vAlign w:val="center"/>
          </w:tcPr>
          <w:p>
            <w:pPr>
              <w:ind w:firstLine="105" w:firstLineChars="50"/>
              <w:jc w:val="center"/>
              <w:rPr>
                <w:szCs w:val="21"/>
              </w:rPr>
            </w:pPr>
            <w:r>
              <w:rPr>
                <w:szCs w:val="21"/>
              </w:rPr>
              <w:t>90～120</w:t>
            </w:r>
          </w:p>
        </w:tc>
        <w:tc>
          <w:tcPr>
            <w:tcW w:w="2196" w:type="dxa"/>
            <w:vAlign w:val="center"/>
          </w:tcPr>
          <w:p>
            <w:pPr>
              <w:ind w:firstLine="105" w:firstLineChars="50"/>
              <w:jc w:val="center"/>
              <w:rPr>
                <w:szCs w:val="21"/>
              </w:rPr>
            </w:pPr>
            <w:r>
              <w:rPr>
                <w:szCs w:val="21"/>
              </w:rPr>
              <w:t>130～170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restart"/>
            <w:vAlign w:val="center"/>
          </w:tcPr>
          <w:p>
            <w:pPr>
              <w:ind w:firstLine="105" w:firstLineChars="50"/>
              <w:jc w:val="center"/>
              <w:rPr>
                <w:szCs w:val="21"/>
              </w:rPr>
            </w:pPr>
            <w:r>
              <w:rPr>
                <w:szCs w:val="21"/>
              </w:rPr>
              <w:t>粗砂</w:t>
            </w:r>
          </w:p>
        </w:tc>
        <w:tc>
          <w:tcPr>
            <w:tcW w:w="2792" w:type="dxa"/>
            <w:vAlign w:val="center"/>
          </w:tcPr>
          <w:p>
            <w:pPr>
              <w:ind w:firstLine="105" w:firstLineChars="50"/>
              <w:jc w:val="center"/>
              <w:rPr>
                <w:szCs w:val="21"/>
              </w:rPr>
            </w:pPr>
            <w:r>
              <w:rPr>
                <w:szCs w:val="21"/>
              </w:rPr>
              <w:t>稍密</w:t>
            </w:r>
          </w:p>
        </w:tc>
        <w:tc>
          <w:tcPr>
            <w:tcW w:w="2194" w:type="dxa"/>
            <w:vAlign w:val="center"/>
          </w:tcPr>
          <w:p>
            <w:pPr>
              <w:ind w:firstLine="105" w:firstLineChars="50"/>
              <w:jc w:val="center"/>
              <w:rPr>
                <w:szCs w:val="21"/>
              </w:rPr>
            </w:pPr>
            <w:r>
              <w:rPr>
                <w:szCs w:val="21"/>
              </w:rPr>
              <w:t>80～130</w:t>
            </w:r>
          </w:p>
        </w:tc>
        <w:tc>
          <w:tcPr>
            <w:tcW w:w="2196" w:type="dxa"/>
            <w:vAlign w:val="center"/>
          </w:tcPr>
          <w:p>
            <w:pPr>
              <w:ind w:firstLine="105" w:firstLineChars="50"/>
              <w:jc w:val="center"/>
              <w:rPr>
                <w:szCs w:val="21"/>
              </w:rPr>
            </w:pPr>
            <w:r>
              <w:rPr>
                <w:szCs w:val="21"/>
              </w:rPr>
              <w:t>100～140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中密</w:t>
            </w:r>
          </w:p>
        </w:tc>
        <w:tc>
          <w:tcPr>
            <w:tcW w:w="2194" w:type="dxa"/>
            <w:vAlign w:val="center"/>
          </w:tcPr>
          <w:p>
            <w:pPr>
              <w:ind w:firstLine="105" w:firstLineChars="50"/>
              <w:jc w:val="center"/>
              <w:rPr>
                <w:szCs w:val="21"/>
              </w:rPr>
            </w:pPr>
            <w:r>
              <w:rPr>
                <w:szCs w:val="21"/>
              </w:rPr>
              <w:t>130～170</w:t>
            </w:r>
          </w:p>
        </w:tc>
        <w:tc>
          <w:tcPr>
            <w:tcW w:w="2196" w:type="dxa"/>
            <w:vAlign w:val="center"/>
          </w:tcPr>
          <w:p>
            <w:pPr>
              <w:ind w:firstLine="105" w:firstLineChars="50"/>
              <w:jc w:val="center"/>
              <w:rPr>
                <w:szCs w:val="21"/>
              </w:rPr>
            </w:pPr>
            <w:r>
              <w:rPr>
                <w:szCs w:val="21"/>
              </w:rPr>
              <w:t>170～220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jc w:val="center"/>
              <w:rPr>
                <w:szCs w:val="21"/>
              </w:rPr>
            </w:pPr>
          </w:p>
        </w:tc>
        <w:tc>
          <w:tcPr>
            <w:tcW w:w="2792" w:type="dxa"/>
            <w:vAlign w:val="center"/>
          </w:tcPr>
          <w:p>
            <w:pPr>
              <w:ind w:firstLine="105" w:firstLineChars="50"/>
              <w:jc w:val="center"/>
              <w:rPr>
                <w:szCs w:val="21"/>
              </w:rPr>
            </w:pPr>
            <w:r>
              <w:rPr>
                <w:szCs w:val="21"/>
              </w:rPr>
              <w:t>密实</w:t>
            </w:r>
          </w:p>
        </w:tc>
        <w:tc>
          <w:tcPr>
            <w:tcW w:w="2194" w:type="dxa"/>
            <w:vAlign w:val="center"/>
          </w:tcPr>
          <w:p>
            <w:pPr>
              <w:ind w:firstLine="105" w:firstLineChars="50"/>
              <w:jc w:val="center"/>
              <w:rPr>
                <w:szCs w:val="21"/>
              </w:rPr>
            </w:pPr>
            <w:r>
              <w:rPr>
                <w:szCs w:val="21"/>
              </w:rPr>
              <w:t>170～220</w:t>
            </w:r>
          </w:p>
        </w:tc>
        <w:tc>
          <w:tcPr>
            <w:tcW w:w="2196" w:type="dxa"/>
            <w:vAlign w:val="center"/>
          </w:tcPr>
          <w:p>
            <w:pPr>
              <w:ind w:firstLine="105" w:firstLineChars="50"/>
              <w:jc w:val="center"/>
              <w:rPr>
                <w:szCs w:val="21"/>
              </w:rPr>
            </w:pPr>
            <w:r>
              <w:rPr>
                <w:szCs w:val="21"/>
              </w:rPr>
              <w:t>220～250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Align w:val="center"/>
          </w:tcPr>
          <w:p>
            <w:pPr>
              <w:ind w:firstLine="105" w:firstLineChars="50"/>
              <w:jc w:val="center"/>
              <w:rPr>
                <w:szCs w:val="21"/>
              </w:rPr>
            </w:pPr>
            <w:r>
              <w:rPr>
                <w:szCs w:val="21"/>
              </w:rPr>
              <w:t>砾砂</w:t>
            </w:r>
          </w:p>
        </w:tc>
        <w:tc>
          <w:tcPr>
            <w:tcW w:w="2792" w:type="dxa"/>
            <w:vAlign w:val="center"/>
          </w:tcPr>
          <w:p>
            <w:pPr>
              <w:ind w:firstLine="105" w:firstLineChars="50"/>
              <w:jc w:val="center"/>
              <w:rPr>
                <w:szCs w:val="21"/>
              </w:rPr>
            </w:pPr>
            <w:r>
              <w:rPr>
                <w:szCs w:val="21"/>
              </w:rPr>
              <w:t>中密、密实</w:t>
            </w:r>
          </w:p>
        </w:tc>
        <w:tc>
          <w:tcPr>
            <w:tcW w:w="2194" w:type="dxa"/>
            <w:vAlign w:val="center"/>
          </w:tcPr>
          <w:p>
            <w:pPr>
              <w:ind w:firstLine="105" w:firstLineChars="50"/>
              <w:jc w:val="center"/>
              <w:rPr>
                <w:szCs w:val="21"/>
              </w:rPr>
            </w:pPr>
            <w:r>
              <w:rPr>
                <w:szCs w:val="21"/>
              </w:rPr>
              <w:t>190～260</w:t>
            </w:r>
          </w:p>
        </w:tc>
        <w:tc>
          <w:tcPr>
            <w:tcW w:w="2196" w:type="dxa"/>
            <w:vAlign w:val="center"/>
          </w:tcPr>
          <w:p>
            <w:pPr>
              <w:ind w:firstLine="105" w:firstLineChars="50"/>
              <w:jc w:val="center"/>
              <w:rPr>
                <w:szCs w:val="21"/>
              </w:rPr>
            </w:pPr>
            <w:r>
              <w:rPr>
                <w:szCs w:val="21"/>
              </w:rPr>
              <w:t>240～290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restart"/>
            <w:vAlign w:val="center"/>
          </w:tcPr>
          <w:p>
            <w:pPr>
              <w:ind w:firstLine="105" w:firstLineChars="50"/>
              <w:jc w:val="center"/>
              <w:rPr>
                <w:szCs w:val="21"/>
              </w:rPr>
            </w:pPr>
            <w:r>
              <w:rPr>
                <w:szCs w:val="21"/>
              </w:rPr>
              <w:t>风化岩</w:t>
            </w:r>
          </w:p>
        </w:tc>
        <w:tc>
          <w:tcPr>
            <w:tcW w:w="2792" w:type="dxa"/>
            <w:vAlign w:val="center"/>
          </w:tcPr>
          <w:p>
            <w:pPr>
              <w:ind w:firstLine="105" w:firstLineChars="50"/>
              <w:jc w:val="center"/>
              <w:rPr>
                <w:szCs w:val="21"/>
              </w:rPr>
            </w:pPr>
            <w:r>
              <w:rPr>
                <w:szCs w:val="21"/>
              </w:rPr>
              <w:t>全风化</w:t>
            </w:r>
          </w:p>
        </w:tc>
        <w:tc>
          <w:tcPr>
            <w:tcW w:w="2194" w:type="dxa"/>
            <w:vAlign w:val="center"/>
          </w:tcPr>
          <w:p>
            <w:pPr>
              <w:ind w:firstLine="105" w:firstLineChars="50"/>
              <w:jc w:val="center"/>
              <w:rPr>
                <w:szCs w:val="21"/>
              </w:rPr>
            </w:pPr>
            <w:r>
              <w:rPr>
                <w:szCs w:val="21"/>
              </w:rPr>
              <w:t>80～100</w:t>
            </w:r>
          </w:p>
        </w:tc>
        <w:tc>
          <w:tcPr>
            <w:tcW w:w="2196" w:type="dxa"/>
            <w:vAlign w:val="center"/>
          </w:tcPr>
          <w:p>
            <w:pPr>
              <w:ind w:firstLine="105" w:firstLineChars="50"/>
              <w:jc w:val="center"/>
              <w:rPr>
                <w:szCs w:val="21"/>
              </w:rPr>
            </w:pPr>
            <w:r>
              <w:rPr>
                <w:szCs w:val="21"/>
              </w:rPr>
              <w:t>120～150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06" w:type="dxa"/>
            <w:vMerge w:val="continue"/>
            <w:vAlign w:val="center"/>
          </w:tcPr>
          <w:p>
            <w:pPr>
              <w:ind w:firstLine="105" w:firstLineChars="50"/>
              <w:rPr>
                <w:szCs w:val="21"/>
              </w:rPr>
            </w:pPr>
          </w:p>
        </w:tc>
        <w:tc>
          <w:tcPr>
            <w:tcW w:w="2792" w:type="dxa"/>
            <w:vAlign w:val="center"/>
          </w:tcPr>
          <w:p>
            <w:pPr>
              <w:ind w:firstLine="105" w:firstLineChars="50"/>
              <w:jc w:val="center"/>
              <w:rPr>
                <w:szCs w:val="21"/>
              </w:rPr>
            </w:pPr>
            <w:r>
              <w:rPr>
                <w:szCs w:val="21"/>
              </w:rPr>
              <w:t>强风化</w:t>
            </w:r>
          </w:p>
        </w:tc>
        <w:tc>
          <w:tcPr>
            <w:tcW w:w="2194" w:type="dxa"/>
            <w:vAlign w:val="center"/>
          </w:tcPr>
          <w:p>
            <w:pPr>
              <w:ind w:firstLine="105" w:firstLineChars="50"/>
              <w:jc w:val="center"/>
              <w:rPr>
                <w:szCs w:val="21"/>
              </w:rPr>
            </w:pPr>
            <w:r>
              <w:rPr>
                <w:szCs w:val="21"/>
              </w:rPr>
              <w:t>150～200</w:t>
            </w:r>
          </w:p>
        </w:tc>
        <w:tc>
          <w:tcPr>
            <w:tcW w:w="2196" w:type="dxa"/>
            <w:vAlign w:val="center"/>
          </w:tcPr>
          <w:p>
            <w:pPr>
              <w:ind w:firstLine="105" w:firstLineChars="50"/>
              <w:jc w:val="center"/>
              <w:rPr>
                <w:szCs w:val="21"/>
              </w:rPr>
            </w:pPr>
            <w:r>
              <w:rPr>
                <w:szCs w:val="21"/>
              </w:rPr>
              <w:t>200～260</w:t>
            </w:r>
          </w:p>
        </w:tc>
      </w:tr>
    </w:tbl>
    <w:p>
      <w:pPr>
        <w:spacing w:line="360" w:lineRule="auto"/>
        <w:jc w:val="left"/>
        <w:rPr>
          <w:szCs w:val="21"/>
        </w:rPr>
      </w:pPr>
      <w:r>
        <w:rPr>
          <w:szCs w:val="21"/>
        </w:rPr>
        <w:t>注：1</w:t>
      </w:r>
      <w:r>
        <w:rPr>
          <w:rFonts w:hint="eastAsia"/>
          <w:szCs w:val="21"/>
        </w:rPr>
        <w:t xml:space="preserve"> 采用泥浆护壁成孔工艺时，应按表取低值后再根据具体情况适当折减；</w:t>
      </w:r>
    </w:p>
    <w:p>
      <w:pPr>
        <w:spacing w:line="360" w:lineRule="auto"/>
        <w:ind w:firstLine="420"/>
        <w:jc w:val="left"/>
        <w:rPr>
          <w:szCs w:val="21"/>
        </w:rPr>
      </w:pPr>
      <w:r>
        <w:rPr>
          <w:rFonts w:hint="eastAsia"/>
          <w:szCs w:val="21"/>
        </w:rPr>
        <w:t>2 采用套管护壁成孔工艺时，可取表中的高值；</w:t>
      </w:r>
    </w:p>
    <w:p>
      <w:pPr>
        <w:spacing w:line="360" w:lineRule="auto"/>
        <w:ind w:firstLine="420"/>
        <w:jc w:val="left"/>
        <w:rPr>
          <w:szCs w:val="21"/>
        </w:rPr>
      </w:pPr>
      <w:r>
        <w:rPr>
          <w:rFonts w:hint="eastAsia"/>
          <w:szCs w:val="21"/>
        </w:rPr>
        <w:t>3采用扩孔工艺时，可在表中数值基础上适当提高；</w:t>
      </w:r>
      <w:r>
        <w:rPr>
          <w:szCs w:val="21"/>
        </w:rPr>
        <w:t xml:space="preserve"> </w:t>
      </w:r>
    </w:p>
    <w:p>
      <w:pPr>
        <w:spacing w:line="360" w:lineRule="auto"/>
        <w:ind w:firstLine="420"/>
        <w:jc w:val="left"/>
        <w:rPr>
          <w:szCs w:val="21"/>
        </w:rPr>
      </w:pPr>
      <w:r>
        <w:rPr>
          <w:rFonts w:hint="eastAsia"/>
          <w:szCs w:val="21"/>
        </w:rPr>
        <w:t>4 采用分段劈裂二次压力注浆工艺时，可在表中二次压力注浆数值基础上适当提高；</w:t>
      </w:r>
    </w:p>
    <w:p>
      <w:pPr>
        <w:spacing w:line="360" w:lineRule="auto"/>
        <w:ind w:firstLine="420"/>
        <w:jc w:val="left"/>
        <w:rPr>
          <w:szCs w:val="21"/>
        </w:rPr>
      </w:pPr>
      <w:r>
        <w:rPr>
          <w:rFonts w:hint="eastAsia"/>
          <w:szCs w:val="21"/>
        </w:rPr>
        <w:t>5 当砂土中的细粒含量超过总质量的30%时，按表取值后应乘以0.75的系数；有机质土应按表取值后适当折减；对强度较好的填土，有经验时，其粘结强度标准值可适当提高；</w:t>
      </w:r>
    </w:p>
    <w:p>
      <w:pPr>
        <w:spacing w:line="360" w:lineRule="auto"/>
        <w:ind w:firstLine="420"/>
        <w:jc w:val="left"/>
        <w:rPr>
          <w:szCs w:val="21"/>
        </w:rPr>
      </w:pPr>
      <w:r>
        <w:rPr>
          <w:rFonts w:hint="eastAsia"/>
          <w:szCs w:val="21"/>
        </w:rPr>
        <w:t>6当锚杆锚固段长度大于16m时，应对表中数值适当折减；</w:t>
      </w:r>
    </w:p>
    <w:p>
      <w:pPr>
        <w:spacing w:line="360" w:lineRule="auto"/>
        <w:ind w:firstLine="420"/>
        <w:jc w:val="left"/>
        <w:rPr>
          <w:szCs w:val="21"/>
        </w:rPr>
      </w:pPr>
      <w:r>
        <w:rPr>
          <w:rFonts w:hint="eastAsia"/>
          <w:szCs w:val="21"/>
        </w:rPr>
        <w:t>7 泥炭、</w:t>
      </w:r>
      <w:r>
        <w:rPr>
          <w:szCs w:val="21"/>
        </w:rPr>
        <w:t>泥炭质土</w:t>
      </w:r>
      <w:r>
        <w:rPr>
          <w:rFonts w:hint="eastAsia"/>
          <w:szCs w:val="21"/>
        </w:rPr>
        <w:t>的极限黏结强度标准值根据土的物理力学特征、区域位置、沉积时间等结合工程经验综合确定。</w:t>
      </w:r>
    </w:p>
    <w:p>
      <w:pPr>
        <w:tabs>
          <w:tab w:val="left" w:pos="1905"/>
        </w:tabs>
        <w:spacing w:line="360" w:lineRule="auto"/>
        <w:rPr>
          <w:sz w:val="24"/>
        </w:rPr>
      </w:pPr>
      <w:r>
        <w:rPr>
          <w:rFonts w:hint="eastAsia"/>
          <w:b/>
          <w:sz w:val="24"/>
        </w:rPr>
        <w:t xml:space="preserve">B.0.2  </w:t>
      </w:r>
      <w:r>
        <w:rPr>
          <w:rFonts w:hint="eastAsia" w:ascii="宋体" w:hAnsi="宋体"/>
          <w:sz w:val="24"/>
        </w:rPr>
        <w:t>土钉粘结强度标准值宜通过抗拔基本试验确定，无试验资料时</w:t>
      </w:r>
      <w:r>
        <w:rPr>
          <w:rFonts w:hint="eastAsia"/>
          <w:sz w:val="24"/>
        </w:rPr>
        <w:t>应根据工程经验结合表B.0.2取值。</w:t>
      </w:r>
    </w:p>
    <w:p>
      <w:pPr>
        <w:spacing w:line="360" w:lineRule="auto"/>
        <w:jc w:val="center"/>
        <w:rPr>
          <w:b/>
          <w:bCs/>
          <w:sz w:val="24"/>
        </w:rPr>
      </w:pPr>
      <w:r>
        <w:rPr>
          <w:b/>
          <w:bCs/>
          <w:sz w:val="24"/>
        </w:rPr>
        <w:t>表</w:t>
      </w:r>
      <w:r>
        <w:rPr>
          <w:rFonts w:hint="eastAsia"/>
          <w:b/>
          <w:bCs/>
          <w:sz w:val="24"/>
        </w:rPr>
        <w:t>B.0.2</w:t>
      </w:r>
      <w:r>
        <w:rPr>
          <w:b/>
          <w:bCs/>
          <w:sz w:val="24"/>
        </w:rPr>
        <w:t xml:space="preserve">  土钉的极限黏结强度标准值</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22" w:type="dxa"/>
            <w:vMerge w:val="restart"/>
            <w:vAlign w:val="center"/>
          </w:tcPr>
          <w:p>
            <w:pPr>
              <w:jc w:val="center"/>
              <w:rPr>
                <w:sz w:val="24"/>
              </w:rPr>
            </w:pPr>
            <w:r>
              <w:rPr>
                <w:kern w:val="0"/>
                <w:szCs w:val="21"/>
              </w:rPr>
              <w:t>土的名称</w:t>
            </w:r>
          </w:p>
        </w:tc>
        <w:tc>
          <w:tcPr>
            <w:tcW w:w="2322" w:type="dxa"/>
            <w:vMerge w:val="restart"/>
            <w:vAlign w:val="center"/>
          </w:tcPr>
          <w:p>
            <w:pPr>
              <w:jc w:val="center"/>
              <w:rPr>
                <w:sz w:val="24"/>
              </w:rPr>
            </w:pPr>
            <w:r>
              <w:rPr>
                <w:kern w:val="0"/>
                <w:szCs w:val="21"/>
              </w:rPr>
              <w:t>土的状态</w:t>
            </w:r>
            <w:r>
              <w:rPr>
                <w:rFonts w:hint="eastAsia"/>
                <w:kern w:val="0"/>
                <w:szCs w:val="21"/>
              </w:rPr>
              <w:t>或密实度</w:t>
            </w:r>
          </w:p>
        </w:tc>
        <w:tc>
          <w:tcPr>
            <w:tcW w:w="4644" w:type="dxa"/>
            <w:gridSpan w:val="2"/>
            <w:vAlign w:val="center"/>
          </w:tcPr>
          <w:p>
            <w:pPr>
              <w:jc w:val="center"/>
              <w:rPr>
                <w:sz w:val="24"/>
              </w:rPr>
            </w:pPr>
            <w:r>
              <w:rPr>
                <w:i/>
                <w:kern w:val="0"/>
                <w:szCs w:val="21"/>
              </w:rPr>
              <w:t>q</w:t>
            </w:r>
            <w:r>
              <w:rPr>
                <w:kern w:val="0"/>
                <w:szCs w:val="21"/>
                <w:vertAlign w:val="subscript"/>
              </w:rPr>
              <w:t>sk</w:t>
            </w:r>
            <w:r>
              <w:rPr>
                <w:kern w:val="0"/>
                <w:szCs w:val="21"/>
              </w:rPr>
              <w:t>(kPa)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22" w:type="dxa"/>
            <w:vMerge w:val="continue"/>
            <w:vAlign w:val="center"/>
          </w:tcPr>
          <w:p>
            <w:pPr>
              <w:jc w:val="center"/>
              <w:rPr>
                <w:sz w:val="24"/>
              </w:rPr>
            </w:pPr>
          </w:p>
        </w:tc>
        <w:tc>
          <w:tcPr>
            <w:tcW w:w="2322" w:type="dxa"/>
            <w:vMerge w:val="continue"/>
            <w:vAlign w:val="center"/>
          </w:tcPr>
          <w:p>
            <w:pPr>
              <w:jc w:val="center"/>
              <w:rPr>
                <w:sz w:val="24"/>
              </w:rPr>
            </w:pPr>
          </w:p>
        </w:tc>
        <w:tc>
          <w:tcPr>
            <w:tcW w:w="2322" w:type="dxa"/>
            <w:vAlign w:val="center"/>
          </w:tcPr>
          <w:p>
            <w:pPr>
              <w:jc w:val="center"/>
              <w:rPr>
                <w:sz w:val="24"/>
              </w:rPr>
            </w:pPr>
            <w:r>
              <w:rPr>
                <w:kern w:val="0"/>
                <w:szCs w:val="21"/>
              </w:rPr>
              <w:t>成孔注浆土钉</w:t>
            </w:r>
          </w:p>
        </w:tc>
        <w:tc>
          <w:tcPr>
            <w:tcW w:w="2322" w:type="dxa"/>
            <w:vAlign w:val="center"/>
          </w:tcPr>
          <w:p>
            <w:pPr>
              <w:jc w:val="center"/>
              <w:rPr>
                <w:sz w:val="24"/>
              </w:rPr>
            </w:pPr>
            <w:r>
              <w:rPr>
                <w:kern w:val="0"/>
                <w:szCs w:val="21"/>
              </w:rPr>
              <w:t>打入钢管土钉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22" w:type="dxa"/>
            <w:vAlign w:val="center"/>
          </w:tcPr>
          <w:p>
            <w:pPr>
              <w:jc w:val="center"/>
              <w:rPr>
                <w:kern w:val="0"/>
                <w:szCs w:val="21"/>
              </w:rPr>
            </w:pPr>
            <w:r>
              <w:rPr>
                <w:kern w:val="0"/>
                <w:szCs w:val="21"/>
              </w:rPr>
              <w:t>素填土</w:t>
            </w:r>
          </w:p>
        </w:tc>
        <w:tc>
          <w:tcPr>
            <w:tcW w:w="2322" w:type="dxa"/>
            <w:vAlign w:val="center"/>
          </w:tcPr>
          <w:p>
            <w:pPr>
              <w:jc w:val="center"/>
              <w:rPr>
                <w:kern w:val="0"/>
                <w:szCs w:val="21"/>
              </w:rPr>
            </w:pPr>
          </w:p>
        </w:tc>
        <w:tc>
          <w:tcPr>
            <w:tcW w:w="2322" w:type="dxa"/>
            <w:vAlign w:val="center"/>
          </w:tcPr>
          <w:p>
            <w:pPr>
              <w:jc w:val="center"/>
              <w:rPr>
                <w:kern w:val="0"/>
                <w:szCs w:val="21"/>
              </w:rPr>
            </w:pPr>
            <w:r>
              <w:rPr>
                <w:kern w:val="0"/>
                <w:szCs w:val="21"/>
              </w:rPr>
              <w:t>15～30</w:t>
            </w:r>
          </w:p>
        </w:tc>
        <w:tc>
          <w:tcPr>
            <w:tcW w:w="2322" w:type="dxa"/>
            <w:vAlign w:val="center"/>
          </w:tcPr>
          <w:p>
            <w:pPr>
              <w:jc w:val="center"/>
              <w:rPr>
                <w:kern w:val="0"/>
                <w:szCs w:val="21"/>
              </w:rPr>
            </w:pPr>
            <w:r>
              <w:rPr>
                <w:kern w:val="0"/>
                <w:szCs w:val="21"/>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22" w:type="dxa"/>
            <w:vAlign w:val="center"/>
          </w:tcPr>
          <w:p>
            <w:pPr>
              <w:jc w:val="center"/>
              <w:rPr>
                <w:kern w:val="0"/>
                <w:szCs w:val="21"/>
              </w:rPr>
            </w:pPr>
            <w:r>
              <w:rPr>
                <w:kern w:val="0"/>
                <w:szCs w:val="21"/>
              </w:rPr>
              <w:t>淤泥质土</w:t>
            </w:r>
          </w:p>
        </w:tc>
        <w:tc>
          <w:tcPr>
            <w:tcW w:w="2322" w:type="dxa"/>
            <w:vAlign w:val="center"/>
          </w:tcPr>
          <w:p>
            <w:pPr>
              <w:jc w:val="center"/>
              <w:rPr>
                <w:kern w:val="0"/>
                <w:szCs w:val="21"/>
              </w:rPr>
            </w:pPr>
          </w:p>
        </w:tc>
        <w:tc>
          <w:tcPr>
            <w:tcW w:w="2322" w:type="dxa"/>
            <w:vAlign w:val="center"/>
          </w:tcPr>
          <w:p>
            <w:pPr>
              <w:jc w:val="center"/>
              <w:rPr>
                <w:kern w:val="0"/>
                <w:szCs w:val="21"/>
              </w:rPr>
            </w:pPr>
            <w:r>
              <w:rPr>
                <w:kern w:val="0"/>
                <w:szCs w:val="21"/>
              </w:rPr>
              <w:t>10～20</w:t>
            </w:r>
          </w:p>
        </w:tc>
        <w:tc>
          <w:tcPr>
            <w:tcW w:w="2322" w:type="dxa"/>
            <w:vAlign w:val="center"/>
          </w:tcPr>
          <w:p>
            <w:pPr>
              <w:jc w:val="center"/>
              <w:rPr>
                <w:kern w:val="0"/>
                <w:szCs w:val="21"/>
              </w:rPr>
            </w:pPr>
            <w:r>
              <w:rPr>
                <w:kern w:val="0"/>
                <w:szCs w:val="21"/>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22" w:type="dxa"/>
            <w:vAlign w:val="center"/>
          </w:tcPr>
          <w:p>
            <w:pPr>
              <w:jc w:val="center"/>
              <w:rPr>
                <w:kern w:val="0"/>
                <w:szCs w:val="21"/>
              </w:rPr>
            </w:pPr>
            <w:r>
              <w:rPr>
                <w:kern w:val="0"/>
                <w:szCs w:val="21"/>
              </w:rPr>
              <w:t>黏性土</w:t>
            </w:r>
          </w:p>
        </w:tc>
        <w:tc>
          <w:tcPr>
            <w:tcW w:w="2322" w:type="dxa"/>
            <w:vAlign w:val="center"/>
          </w:tcPr>
          <w:p>
            <w:pPr>
              <w:jc w:val="center"/>
              <w:rPr>
                <w:kern w:val="0"/>
                <w:szCs w:val="21"/>
              </w:rPr>
            </w:pPr>
            <w:r>
              <w:rPr>
                <w:kern w:val="0"/>
                <w:szCs w:val="21"/>
              </w:rPr>
              <w:t>0.75＜I</w:t>
            </w:r>
            <w:r>
              <w:rPr>
                <w:kern w:val="0"/>
                <w:szCs w:val="21"/>
                <w:vertAlign w:val="subscript"/>
              </w:rPr>
              <w:t>L</w:t>
            </w:r>
            <w:r>
              <w:rPr>
                <w:kern w:val="0"/>
                <w:szCs w:val="21"/>
              </w:rPr>
              <w:t>≤1</w:t>
            </w:r>
          </w:p>
          <w:p>
            <w:pPr>
              <w:jc w:val="center"/>
              <w:rPr>
                <w:kern w:val="0"/>
                <w:szCs w:val="21"/>
              </w:rPr>
            </w:pPr>
            <w:r>
              <w:rPr>
                <w:kern w:val="0"/>
                <w:szCs w:val="21"/>
              </w:rPr>
              <w:t>0.25＜I</w:t>
            </w:r>
            <w:r>
              <w:rPr>
                <w:kern w:val="0"/>
                <w:szCs w:val="21"/>
                <w:vertAlign w:val="subscript"/>
              </w:rPr>
              <w:t>L</w:t>
            </w:r>
            <w:r>
              <w:rPr>
                <w:kern w:val="0"/>
                <w:szCs w:val="21"/>
              </w:rPr>
              <w:t>≤0.75</w:t>
            </w:r>
          </w:p>
          <w:p>
            <w:pPr>
              <w:jc w:val="center"/>
              <w:rPr>
                <w:kern w:val="0"/>
                <w:szCs w:val="21"/>
              </w:rPr>
            </w:pPr>
            <w:r>
              <w:rPr>
                <w:kern w:val="0"/>
                <w:szCs w:val="21"/>
              </w:rPr>
              <w:t>0＜I</w:t>
            </w:r>
            <w:r>
              <w:rPr>
                <w:kern w:val="0"/>
                <w:szCs w:val="21"/>
                <w:vertAlign w:val="subscript"/>
              </w:rPr>
              <w:t>L</w:t>
            </w:r>
            <w:r>
              <w:rPr>
                <w:kern w:val="0"/>
                <w:szCs w:val="21"/>
              </w:rPr>
              <w:t>≤0.25</w:t>
            </w:r>
          </w:p>
          <w:p>
            <w:pPr>
              <w:jc w:val="center"/>
              <w:rPr>
                <w:kern w:val="0"/>
                <w:szCs w:val="21"/>
              </w:rPr>
            </w:pPr>
            <w:r>
              <w:rPr>
                <w:kern w:val="0"/>
                <w:szCs w:val="21"/>
              </w:rPr>
              <w:t>I</w:t>
            </w:r>
            <w:r>
              <w:rPr>
                <w:kern w:val="0"/>
                <w:szCs w:val="21"/>
                <w:vertAlign w:val="subscript"/>
              </w:rPr>
              <w:t>L</w:t>
            </w:r>
            <w:r>
              <w:rPr>
                <w:kern w:val="0"/>
                <w:szCs w:val="21"/>
              </w:rPr>
              <w:t>≤0</w:t>
            </w:r>
          </w:p>
        </w:tc>
        <w:tc>
          <w:tcPr>
            <w:tcW w:w="2322" w:type="dxa"/>
            <w:vAlign w:val="center"/>
          </w:tcPr>
          <w:p>
            <w:pPr>
              <w:jc w:val="center"/>
              <w:rPr>
                <w:kern w:val="0"/>
                <w:szCs w:val="21"/>
              </w:rPr>
            </w:pPr>
            <w:r>
              <w:rPr>
                <w:kern w:val="0"/>
                <w:szCs w:val="21"/>
              </w:rPr>
              <w:t>20～30</w:t>
            </w:r>
          </w:p>
          <w:p>
            <w:pPr>
              <w:jc w:val="center"/>
              <w:rPr>
                <w:kern w:val="0"/>
                <w:szCs w:val="21"/>
              </w:rPr>
            </w:pPr>
            <w:r>
              <w:rPr>
                <w:kern w:val="0"/>
                <w:szCs w:val="21"/>
              </w:rPr>
              <w:t>30～45</w:t>
            </w:r>
          </w:p>
          <w:p>
            <w:pPr>
              <w:jc w:val="center"/>
              <w:rPr>
                <w:kern w:val="0"/>
                <w:szCs w:val="21"/>
              </w:rPr>
            </w:pPr>
            <w:r>
              <w:rPr>
                <w:kern w:val="0"/>
                <w:szCs w:val="21"/>
              </w:rPr>
              <w:t>45～60</w:t>
            </w:r>
          </w:p>
          <w:p>
            <w:pPr>
              <w:jc w:val="center"/>
              <w:rPr>
                <w:kern w:val="0"/>
                <w:szCs w:val="21"/>
              </w:rPr>
            </w:pPr>
            <w:r>
              <w:rPr>
                <w:kern w:val="0"/>
                <w:szCs w:val="21"/>
              </w:rPr>
              <w:t>60～70</w:t>
            </w:r>
          </w:p>
        </w:tc>
        <w:tc>
          <w:tcPr>
            <w:tcW w:w="2322" w:type="dxa"/>
            <w:vAlign w:val="center"/>
          </w:tcPr>
          <w:p>
            <w:pPr>
              <w:jc w:val="center"/>
              <w:rPr>
                <w:kern w:val="0"/>
                <w:szCs w:val="21"/>
              </w:rPr>
            </w:pPr>
            <w:r>
              <w:rPr>
                <w:kern w:val="0"/>
                <w:szCs w:val="21"/>
              </w:rPr>
              <w:t>20～40</w:t>
            </w:r>
          </w:p>
          <w:p>
            <w:pPr>
              <w:jc w:val="center"/>
              <w:rPr>
                <w:kern w:val="0"/>
                <w:szCs w:val="21"/>
              </w:rPr>
            </w:pPr>
            <w:r>
              <w:rPr>
                <w:kern w:val="0"/>
                <w:szCs w:val="21"/>
              </w:rPr>
              <w:t>40～55</w:t>
            </w:r>
          </w:p>
          <w:p>
            <w:pPr>
              <w:jc w:val="center"/>
              <w:rPr>
                <w:kern w:val="0"/>
                <w:szCs w:val="21"/>
              </w:rPr>
            </w:pPr>
            <w:r>
              <w:rPr>
                <w:kern w:val="0"/>
                <w:szCs w:val="21"/>
              </w:rPr>
              <w:t>55～70</w:t>
            </w:r>
          </w:p>
          <w:p>
            <w:pPr>
              <w:jc w:val="center"/>
              <w:rPr>
                <w:kern w:val="0"/>
                <w:szCs w:val="21"/>
              </w:rPr>
            </w:pPr>
            <w:r>
              <w:rPr>
                <w:kern w:val="0"/>
                <w:szCs w:val="21"/>
              </w:rPr>
              <w:t>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22" w:type="dxa"/>
            <w:vAlign w:val="center"/>
          </w:tcPr>
          <w:p>
            <w:pPr>
              <w:jc w:val="center"/>
              <w:rPr>
                <w:kern w:val="0"/>
                <w:szCs w:val="21"/>
              </w:rPr>
            </w:pPr>
            <w:r>
              <w:rPr>
                <w:kern w:val="0"/>
                <w:szCs w:val="21"/>
              </w:rPr>
              <w:t>粉土</w:t>
            </w:r>
          </w:p>
        </w:tc>
        <w:tc>
          <w:tcPr>
            <w:tcW w:w="2322" w:type="dxa"/>
            <w:vAlign w:val="center"/>
          </w:tcPr>
          <w:p>
            <w:pPr>
              <w:jc w:val="center"/>
              <w:rPr>
                <w:kern w:val="0"/>
                <w:szCs w:val="21"/>
              </w:rPr>
            </w:pPr>
          </w:p>
        </w:tc>
        <w:tc>
          <w:tcPr>
            <w:tcW w:w="2322" w:type="dxa"/>
            <w:vAlign w:val="center"/>
          </w:tcPr>
          <w:p>
            <w:pPr>
              <w:jc w:val="center"/>
              <w:rPr>
                <w:kern w:val="0"/>
                <w:szCs w:val="21"/>
              </w:rPr>
            </w:pPr>
            <w:r>
              <w:rPr>
                <w:kern w:val="0"/>
                <w:szCs w:val="21"/>
              </w:rPr>
              <w:t>40～80</w:t>
            </w:r>
          </w:p>
        </w:tc>
        <w:tc>
          <w:tcPr>
            <w:tcW w:w="2322" w:type="dxa"/>
            <w:vAlign w:val="center"/>
          </w:tcPr>
          <w:p>
            <w:pPr>
              <w:jc w:val="center"/>
              <w:rPr>
                <w:kern w:val="0"/>
                <w:szCs w:val="21"/>
              </w:rPr>
            </w:pPr>
            <w:r>
              <w:rPr>
                <w:kern w:val="0"/>
                <w:szCs w:val="21"/>
              </w:rPr>
              <w:t>50～90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322" w:type="dxa"/>
            <w:vAlign w:val="center"/>
          </w:tcPr>
          <w:p>
            <w:pPr>
              <w:jc w:val="center"/>
              <w:rPr>
                <w:kern w:val="0"/>
                <w:szCs w:val="21"/>
              </w:rPr>
            </w:pPr>
            <w:r>
              <w:rPr>
                <w:kern w:val="0"/>
                <w:szCs w:val="21"/>
              </w:rPr>
              <w:t>砂土</w:t>
            </w:r>
          </w:p>
        </w:tc>
        <w:tc>
          <w:tcPr>
            <w:tcW w:w="2322" w:type="dxa"/>
            <w:vAlign w:val="center"/>
          </w:tcPr>
          <w:p>
            <w:pPr>
              <w:jc w:val="center"/>
              <w:rPr>
                <w:kern w:val="0"/>
                <w:szCs w:val="21"/>
              </w:rPr>
            </w:pPr>
            <w:r>
              <w:rPr>
                <w:kern w:val="0"/>
                <w:szCs w:val="21"/>
              </w:rPr>
              <w:t>松散</w:t>
            </w:r>
          </w:p>
          <w:p>
            <w:pPr>
              <w:jc w:val="center"/>
              <w:rPr>
                <w:kern w:val="0"/>
                <w:szCs w:val="21"/>
              </w:rPr>
            </w:pPr>
            <w:r>
              <w:rPr>
                <w:kern w:val="0"/>
                <w:szCs w:val="21"/>
              </w:rPr>
              <w:t>稍密</w:t>
            </w:r>
          </w:p>
          <w:p>
            <w:pPr>
              <w:jc w:val="center"/>
              <w:rPr>
                <w:kern w:val="0"/>
                <w:szCs w:val="21"/>
              </w:rPr>
            </w:pPr>
            <w:r>
              <w:rPr>
                <w:kern w:val="0"/>
                <w:szCs w:val="21"/>
              </w:rPr>
              <w:t>中密</w:t>
            </w:r>
          </w:p>
          <w:p>
            <w:pPr>
              <w:jc w:val="center"/>
              <w:rPr>
                <w:kern w:val="0"/>
                <w:szCs w:val="21"/>
              </w:rPr>
            </w:pPr>
            <w:r>
              <w:rPr>
                <w:kern w:val="0"/>
                <w:szCs w:val="21"/>
              </w:rPr>
              <w:t>密实</w:t>
            </w:r>
          </w:p>
        </w:tc>
        <w:tc>
          <w:tcPr>
            <w:tcW w:w="2322" w:type="dxa"/>
            <w:vAlign w:val="center"/>
          </w:tcPr>
          <w:p>
            <w:pPr>
              <w:jc w:val="center"/>
              <w:rPr>
                <w:kern w:val="0"/>
                <w:szCs w:val="21"/>
              </w:rPr>
            </w:pPr>
            <w:r>
              <w:rPr>
                <w:kern w:val="0"/>
                <w:szCs w:val="21"/>
              </w:rPr>
              <w:t>35～50</w:t>
            </w:r>
          </w:p>
          <w:p>
            <w:pPr>
              <w:jc w:val="center"/>
              <w:rPr>
                <w:kern w:val="0"/>
                <w:szCs w:val="21"/>
              </w:rPr>
            </w:pPr>
            <w:r>
              <w:rPr>
                <w:kern w:val="0"/>
                <w:szCs w:val="21"/>
              </w:rPr>
              <w:t>50～65</w:t>
            </w:r>
          </w:p>
          <w:p>
            <w:pPr>
              <w:jc w:val="center"/>
              <w:rPr>
                <w:kern w:val="0"/>
                <w:szCs w:val="21"/>
              </w:rPr>
            </w:pPr>
            <w:r>
              <w:rPr>
                <w:kern w:val="0"/>
                <w:szCs w:val="21"/>
              </w:rPr>
              <w:t>65～80</w:t>
            </w:r>
          </w:p>
          <w:p>
            <w:pPr>
              <w:jc w:val="center"/>
              <w:rPr>
                <w:kern w:val="0"/>
                <w:szCs w:val="21"/>
              </w:rPr>
            </w:pPr>
            <w:r>
              <w:rPr>
                <w:kern w:val="0"/>
                <w:szCs w:val="21"/>
              </w:rPr>
              <w:t>80～100</w:t>
            </w:r>
          </w:p>
        </w:tc>
        <w:tc>
          <w:tcPr>
            <w:tcW w:w="2322" w:type="dxa"/>
            <w:vAlign w:val="center"/>
          </w:tcPr>
          <w:p>
            <w:pPr>
              <w:jc w:val="center"/>
              <w:rPr>
                <w:kern w:val="0"/>
                <w:szCs w:val="21"/>
              </w:rPr>
            </w:pPr>
            <w:r>
              <w:rPr>
                <w:kern w:val="0"/>
                <w:szCs w:val="21"/>
              </w:rPr>
              <w:t>50～65</w:t>
            </w:r>
          </w:p>
          <w:p>
            <w:pPr>
              <w:jc w:val="center"/>
              <w:rPr>
                <w:kern w:val="0"/>
                <w:szCs w:val="21"/>
              </w:rPr>
            </w:pPr>
            <w:r>
              <w:rPr>
                <w:kern w:val="0"/>
                <w:szCs w:val="21"/>
              </w:rPr>
              <w:t>65～80</w:t>
            </w:r>
          </w:p>
          <w:p>
            <w:pPr>
              <w:jc w:val="center"/>
              <w:rPr>
                <w:kern w:val="0"/>
                <w:szCs w:val="21"/>
              </w:rPr>
            </w:pPr>
            <w:r>
              <w:rPr>
                <w:kern w:val="0"/>
                <w:szCs w:val="21"/>
              </w:rPr>
              <w:t>80～100</w:t>
            </w:r>
          </w:p>
          <w:p>
            <w:pPr>
              <w:jc w:val="center"/>
              <w:rPr>
                <w:kern w:val="0"/>
                <w:szCs w:val="21"/>
              </w:rPr>
            </w:pPr>
            <w:r>
              <w:rPr>
                <w:kern w:val="0"/>
                <w:szCs w:val="21"/>
              </w:rPr>
              <w:t>100～120</w:t>
            </w:r>
          </w:p>
        </w:tc>
      </w:tr>
    </w:tbl>
    <w:p>
      <w:pPr>
        <w:pStyle w:val="79"/>
        <w:widowControl/>
        <w:spacing w:line="360" w:lineRule="auto"/>
        <w:ind w:firstLine="0" w:firstLineChars="0"/>
        <w:rPr>
          <w:rFonts w:ascii="Times New Roman" w:hAnsi="Times New Roman"/>
          <w:szCs w:val="21"/>
        </w:rPr>
      </w:pPr>
      <w:r>
        <w:rPr>
          <w:rFonts w:hint="eastAsia" w:ascii="Times New Roman" w:hAnsi="Times New Roman"/>
          <w:szCs w:val="21"/>
        </w:rPr>
        <w:t>注：1 泥炭、</w:t>
      </w:r>
      <w:r>
        <w:rPr>
          <w:rFonts w:ascii="Times New Roman" w:hAnsi="Times New Roman"/>
          <w:szCs w:val="21"/>
        </w:rPr>
        <w:t>泥炭质土</w:t>
      </w:r>
      <w:r>
        <w:rPr>
          <w:rFonts w:hint="eastAsia" w:ascii="Times New Roman" w:hAnsi="Times New Roman"/>
          <w:szCs w:val="21"/>
        </w:rPr>
        <w:t>的极限黏结强度标准值根据土的物理力学特征、区域位置、沉积时间等结合工程经验综合确定；</w:t>
      </w:r>
    </w:p>
    <w:p>
      <w:pPr>
        <w:pStyle w:val="79"/>
        <w:widowControl/>
        <w:spacing w:line="360" w:lineRule="auto"/>
        <w:rPr>
          <w:b/>
          <w:color w:val="FF0000"/>
          <w:szCs w:val="21"/>
        </w:rPr>
      </w:pPr>
      <w:r>
        <w:rPr>
          <w:rFonts w:hint="eastAsia" w:ascii="Times New Roman" w:hAnsi="Times New Roman"/>
          <w:szCs w:val="21"/>
        </w:rPr>
        <w:t>2 粉土的极限黏结强度标准值根据密实度、施工工艺综合取值，密实时取高值。</w:t>
      </w:r>
    </w:p>
    <w:p>
      <w:pPr>
        <w:spacing w:line="360" w:lineRule="auto"/>
        <w:jc w:val="center"/>
        <w:outlineLvl w:val="0"/>
        <w:rPr>
          <w:b/>
          <w:color w:val="FF0000"/>
          <w:szCs w:val="21"/>
        </w:rPr>
        <w:sectPr>
          <w:pgSz w:w="11907" w:h="16840"/>
          <w:pgMar w:top="1418" w:right="1134" w:bottom="1134" w:left="1701" w:header="851" w:footer="851" w:gutter="0"/>
          <w:cols w:space="720" w:num="1"/>
          <w:docGrid w:linePitch="312" w:charSpace="0"/>
        </w:sectPr>
      </w:pPr>
    </w:p>
    <w:p>
      <w:pPr>
        <w:spacing w:line="360" w:lineRule="auto"/>
        <w:jc w:val="center"/>
        <w:outlineLvl w:val="0"/>
        <w:rPr>
          <w:b/>
          <w:sz w:val="24"/>
        </w:rPr>
      </w:pPr>
      <w:bookmarkStart w:id="141" w:name="_Toc87018365"/>
      <w:bookmarkStart w:id="142" w:name="_Toc87018296"/>
      <w:r>
        <w:rPr>
          <w:b/>
          <w:sz w:val="24"/>
        </w:rPr>
        <w:t>附录</w:t>
      </w:r>
      <w:r>
        <w:rPr>
          <w:rFonts w:hint="eastAsia"/>
          <w:b/>
          <w:sz w:val="24"/>
        </w:rPr>
        <w:t xml:space="preserve">C  </w:t>
      </w:r>
      <w:r>
        <w:rPr>
          <w:b/>
          <w:sz w:val="24"/>
        </w:rPr>
        <w:t>渗透系数参考值</w:t>
      </w:r>
      <w:bookmarkEnd w:id="141"/>
      <w:bookmarkEnd w:id="142"/>
    </w:p>
    <w:p>
      <w:pPr>
        <w:spacing w:line="360" w:lineRule="auto"/>
        <w:jc w:val="center"/>
        <w:rPr>
          <w:b/>
          <w:sz w:val="24"/>
        </w:rPr>
      </w:pPr>
      <w:r>
        <w:rPr>
          <w:rFonts w:hint="eastAsia"/>
          <w:b/>
          <w:sz w:val="24"/>
        </w:rPr>
        <w:t>表C</w:t>
      </w:r>
      <w:r>
        <w:rPr>
          <w:b/>
          <w:sz w:val="24"/>
        </w:rPr>
        <w:t>.0.1</w:t>
      </w:r>
      <w:r>
        <w:rPr>
          <w:rFonts w:hint="eastAsia"/>
          <w:b/>
          <w:sz w:val="24"/>
        </w:rPr>
        <w:t xml:space="preserve">  </w:t>
      </w:r>
      <w:r>
        <w:rPr>
          <w:rFonts w:hint="eastAsia"/>
          <w:sz w:val="24"/>
        </w:rPr>
        <w:t>各土层渗透系数参考值（室内渗透试验成果）</w:t>
      </w:r>
    </w:p>
    <w:tbl>
      <w:tblPr>
        <w:tblStyle w:val="26"/>
        <w:tblW w:w="9288" w:type="dxa"/>
        <w:tblInd w:w="0" w:type="dxa"/>
        <w:tblLayout w:type="fixed"/>
        <w:tblCellMar>
          <w:top w:w="0" w:type="dxa"/>
          <w:left w:w="108" w:type="dxa"/>
          <w:bottom w:w="0" w:type="dxa"/>
          <w:right w:w="108" w:type="dxa"/>
        </w:tblCellMar>
      </w:tblPr>
      <w:tblGrid>
        <w:gridCol w:w="1808"/>
        <w:gridCol w:w="857"/>
        <w:gridCol w:w="1324"/>
        <w:gridCol w:w="1326"/>
        <w:gridCol w:w="1324"/>
        <w:gridCol w:w="1326"/>
        <w:gridCol w:w="1323"/>
      </w:tblGrid>
      <w:tr>
        <w:tblPrEx>
          <w:tblLayout w:type="fixed"/>
          <w:tblCellMar>
            <w:top w:w="0" w:type="dxa"/>
            <w:left w:w="108" w:type="dxa"/>
            <w:bottom w:w="0" w:type="dxa"/>
            <w:right w:w="108" w:type="dxa"/>
          </w:tblCellMar>
        </w:tblPrEx>
        <w:trPr>
          <w:trHeight w:val="20" w:hRule="atLeast"/>
        </w:trPr>
        <w:tc>
          <w:tcPr>
            <w:tcW w:w="180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岩土名称</w:t>
            </w:r>
          </w:p>
        </w:tc>
        <w:tc>
          <w:tcPr>
            <w:tcW w:w="85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成因</w:t>
            </w:r>
          </w:p>
        </w:tc>
        <w:tc>
          <w:tcPr>
            <w:tcW w:w="6623" w:type="dxa"/>
            <w:gridSpan w:val="5"/>
            <w:tcBorders>
              <w:top w:val="single" w:color="auto" w:sz="4" w:space="0"/>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渗透系数范围（cm/s)</w:t>
            </w:r>
          </w:p>
        </w:tc>
      </w:tr>
      <w:tr>
        <w:tblPrEx>
          <w:tblLayout w:type="fixed"/>
          <w:tblCellMar>
            <w:top w:w="0" w:type="dxa"/>
            <w:left w:w="108" w:type="dxa"/>
            <w:bottom w:w="0" w:type="dxa"/>
            <w:right w:w="108" w:type="dxa"/>
          </w:tblCellMar>
        </w:tblPrEx>
        <w:trPr>
          <w:trHeight w:val="20" w:hRule="atLeast"/>
        </w:trPr>
        <w:tc>
          <w:tcPr>
            <w:tcW w:w="1808"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left"/>
              <w:rPr>
                <w:color w:val="000000"/>
                <w:kern w:val="0"/>
                <w:szCs w:val="21"/>
              </w:rPr>
            </w:pPr>
          </w:p>
        </w:tc>
        <w:tc>
          <w:tcPr>
            <w:tcW w:w="857" w:type="dxa"/>
            <w:vMerge w:val="continue"/>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left"/>
              <w:rPr>
                <w:color w:val="000000"/>
                <w:kern w:val="0"/>
                <w:szCs w:val="21"/>
              </w:rPr>
            </w:pP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东市区</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南市区</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西市区</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北市区</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中心市区</w:t>
            </w:r>
          </w:p>
        </w:tc>
      </w:tr>
      <w:tr>
        <w:tblPrEx>
          <w:tblLayout w:type="fixed"/>
          <w:tblCellMar>
            <w:top w:w="0" w:type="dxa"/>
            <w:left w:w="108" w:type="dxa"/>
            <w:bottom w:w="0" w:type="dxa"/>
            <w:right w:w="108" w:type="dxa"/>
          </w:tblCellMar>
        </w:tblPrEx>
        <w:trPr>
          <w:trHeight w:val="20" w:hRule="atLeast"/>
        </w:trPr>
        <w:tc>
          <w:tcPr>
            <w:tcW w:w="180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粘土</w:t>
            </w: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残坡积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rFonts w:hint="eastAsia"/>
                <w:kern w:val="0"/>
                <w:szCs w:val="21"/>
                <w:vertAlign w:val="superscript"/>
              </w:rPr>
              <w:t>-</w:t>
            </w:r>
            <w:r>
              <w:rPr>
                <w:kern w:val="0"/>
                <w:szCs w:val="21"/>
                <w:vertAlign w:val="superscript"/>
              </w:rPr>
              <w:t>5</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　</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-5</w:t>
            </w:r>
            <w:r>
              <w:rPr>
                <w:color w:val="000000"/>
                <w:kern w:val="0"/>
                <w:szCs w:val="21"/>
              </w:rPr>
              <w:t>~10</w:t>
            </w:r>
            <w:r>
              <w:rPr>
                <w:kern w:val="0"/>
                <w:szCs w:val="21"/>
                <w:vertAlign w:val="superscript"/>
              </w:rPr>
              <w:t>-8</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r>
      <w:tr>
        <w:tblPrEx>
          <w:tblLayout w:type="fixed"/>
          <w:tblCellMar>
            <w:top w:w="0" w:type="dxa"/>
            <w:left w:w="108" w:type="dxa"/>
            <w:bottom w:w="0" w:type="dxa"/>
            <w:right w:w="108" w:type="dxa"/>
          </w:tblCellMar>
        </w:tblPrEx>
        <w:trPr>
          <w:trHeight w:val="20" w:hRule="atLeast"/>
        </w:trPr>
        <w:tc>
          <w:tcPr>
            <w:tcW w:w="1808" w:type="dxa"/>
            <w:vMerge w:val="continue"/>
            <w:tcBorders>
              <w:top w:val="nil"/>
              <w:left w:val="single" w:color="auto" w:sz="4" w:space="0"/>
              <w:bottom w:val="single" w:color="auto" w:sz="4" w:space="0"/>
              <w:right w:val="single" w:color="auto" w:sz="4" w:space="0"/>
            </w:tcBorders>
            <w:vAlign w:val="center"/>
          </w:tcPr>
          <w:p>
            <w:pPr>
              <w:widowControl/>
              <w:ind w:left="-105" w:leftChars="-50" w:right="-105" w:rightChars="-50"/>
              <w:jc w:val="left"/>
              <w:rPr>
                <w:color w:val="000000"/>
                <w:kern w:val="0"/>
                <w:szCs w:val="21"/>
              </w:rPr>
            </w:pP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冲湖积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-7</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r>
      <w:tr>
        <w:tblPrEx>
          <w:tblLayout w:type="fixed"/>
          <w:tblCellMar>
            <w:top w:w="0" w:type="dxa"/>
            <w:left w:w="108" w:type="dxa"/>
            <w:bottom w:w="0" w:type="dxa"/>
            <w:right w:w="108" w:type="dxa"/>
          </w:tblCellMar>
        </w:tblPrEx>
        <w:trPr>
          <w:trHeight w:val="20" w:hRule="atLeast"/>
        </w:trPr>
        <w:tc>
          <w:tcPr>
            <w:tcW w:w="1808" w:type="dxa"/>
            <w:tcBorders>
              <w:top w:val="nil"/>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粘土（红粘土）</w:t>
            </w: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冲洪积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-7</w:t>
            </w:r>
            <w:r>
              <w:rPr>
                <w:color w:val="000000"/>
                <w:kern w:val="0"/>
                <w:szCs w:val="21"/>
              </w:rPr>
              <w:t>~10</w:t>
            </w:r>
            <w:r>
              <w:rPr>
                <w:kern w:val="0"/>
                <w:szCs w:val="21"/>
                <w:vertAlign w:val="superscript"/>
              </w:rPr>
              <w:t>-8</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r>
      <w:tr>
        <w:tblPrEx>
          <w:tblLayout w:type="fixed"/>
          <w:tblCellMar>
            <w:top w:w="0" w:type="dxa"/>
            <w:left w:w="108" w:type="dxa"/>
            <w:bottom w:w="0" w:type="dxa"/>
            <w:right w:w="108" w:type="dxa"/>
          </w:tblCellMar>
        </w:tblPrEx>
        <w:trPr>
          <w:trHeight w:val="20" w:hRule="atLeast"/>
        </w:trPr>
        <w:tc>
          <w:tcPr>
            <w:tcW w:w="1808" w:type="dxa"/>
            <w:tcBorders>
              <w:top w:val="nil"/>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部分欠固结红粘土</w:t>
            </w: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冲洪积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-4</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　</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-4</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-5</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left"/>
              <w:rPr>
                <w:color w:val="000000"/>
                <w:kern w:val="0"/>
                <w:szCs w:val="21"/>
              </w:rPr>
            </w:pPr>
            <w:r>
              <w:rPr>
                <w:color w:val="000000"/>
                <w:kern w:val="0"/>
                <w:szCs w:val="21"/>
              </w:rPr>
              <w:t>　</w:t>
            </w:r>
          </w:p>
        </w:tc>
      </w:tr>
      <w:tr>
        <w:tblPrEx>
          <w:tblLayout w:type="fixed"/>
          <w:tblCellMar>
            <w:top w:w="0" w:type="dxa"/>
            <w:left w:w="108" w:type="dxa"/>
            <w:bottom w:w="0" w:type="dxa"/>
            <w:right w:w="108" w:type="dxa"/>
          </w:tblCellMar>
        </w:tblPrEx>
        <w:trPr>
          <w:trHeight w:val="20" w:hRule="atLeast"/>
        </w:trPr>
        <w:tc>
          <w:tcPr>
            <w:tcW w:w="180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粉质粘土</w:t>
            </w: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残坡积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-5</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　</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-5</w:t>
            </w:r>
            <w:r>
              <w:rPr>
                <w:color w:val="000000"/>
                <w:kern w:val="0"/>
                <w:szCs w:val="21"/>
              </w:rPr>
              <w:t>~10</w:t>
            </w:r>
            <w:r>
              <w:rPr>
                <w:kern w:val="0"/>
                <w:szCs w:val="21"/>
                <w:vertAlign w:val="superscript"/>
              </w:rPr>
              <w:t>-8</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r>
      <w:tr>
        <w:tblPrEx>
          <w:tblLayout w:type="fixed"/>
          <w:tblCellMar>
            <w:top w:w="0" w:type="dxa"/>
            <w:left w:w="108" w:type="dxa"/>
            <w:bottom w:w="0" w:type="dxa"/>
            <w:right w:w="108" w:type="dxa"/>
          </w:tblCellMar>
        </w:tblPrEx>
        <w:trPr>
          <w:trHeight w:val="20" w:hRule="atLeast"/>
        </w:trPr>
        <w:tc>
          <w:tcPr>
            <w:tcW w:w="1808" w:type="dxa"/>
            <w:vMerge w:val="continue"/>
            <w:tcBorders>
              <w:top w:val="nil"/>
              <w:left w:val="single" w:color="auto" w:sz="4" w:space="0"/>
              <w:bottom w:val="single" w:color="auto" w:sz="4" w:space="0"/>
              <w:right w:val="single" w:color="auto" w:sz="4" w:space="0"/>
            </w:tcBorders>
            <w:vAlign w:val="center"/>
          </w:tcPr>
          <w:p>
            <w:pPr>
              <w:widowControl/>
              <w:ind w:left="-105" w:leftChars="-50" w:right="-105" w:rightChars="-50"/>
              <w:jc w:val="left"/>
              <w:rPr>
                <w:color w:val="000000"/>
                <w:kern w:val="0"/>
                <w:szCs w:val="21"/>
              </w:rPr>
            </w:pP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冲洪积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-5</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r>
      <w:tr>
        <w:tblPrEx>
          <w:tblLayout w:type="fixed"/>
          <w:tblCellMar>
            <w:top w:w="0" w:type="dxa"/>
            <w:left w:w="108" w:type="dxa"/>
            <w:bottom w:w="0" w:type="dxa"/>
            <w:right w:w="108" w:type="dxa"/>
          </w:tblCellMar>
        </w:tblPrEx>
        <w:trPr>
          <w:trHeight w:val="20" w:hRule="atLeast"/>
        </w:trPr>
        <w:tc>
          <w:tcPr>
            <w:tcW w:w="1808" w:type="dxa"/>
            <w:vMerge w:val="continue"/>
            <w:tcBorders>
              <w:top w:val="nil"/>
              <w:left w:val="single" w:color="auto" w:sz="4" w:space="0"/>
              <w:bottom w:val="single" w:color="auto" w:sz="4" w:space="0"/>
              <w:right w:val="single" w:color="auto" w:sz="4" w:space="0"/>
            </w:tcBorders>
            <w:vAlign w:val="center"/>
          </w:tcPr>
          <w:p>
            <w:pPr>
              <w:widowControl/>
              <w:ind w:left="-105" w:leftChars="-50" w:right="-105" w:rightChars="-50"/>
              <w:jc w:val="left"/>
              <w:rPr>
                <w:color w:val="000000"/>
                <w:kern w:val="0"/>
                <w:szCs w:val="21"/>
              </w:rPr>
            </w:pP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冲湖积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-5</w:t>
            </w:r>
            <w:r>
              <w:rPr>
                <w:color w:val="000000"/>
                <w:kern w:val="0"/>
                <w:szCs w:val="21"/>
              </w:rPr>
              <w:t>~10</w:t>
            </w:r>
            <w:r>
              <w:rPr>
                <w:kern w:val="0"/>
                <w:szCs w:val="21"/>
                <w:vertAlign w:val="superscript"/>
              </w:rPr>
              <w:t>-8</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-6</w:t>
            </w:r>
            <w:r>
              <w:rPr>
                <w:color w:val="000000"/>
                <w:kern w:val="0"/>
                <w:szCs w:val="21"/>
              </w:rPr>
              <w:t>~10</w:t>
            </w:r>
            <w:r>
              <w:rPr>
                <w:kern w:val="0"/>
                <w:szCs w:val="21"/>
                <w:vertAlign w:val="superscript"/>
              </w:rPr>
              <w:t>-8</w:t>
            </w:r>
          </w:p>
        </w:tc>
      </w:tr>
      <w:tr>
        <w:tblPrEx>
          <w:tblLayout w:type="fixed"/>
          <w:tblCellMar>
            <w:top w:w="0" w:type="dxa"/>
            <w:left w:w="108" w:type="dxa"/>
            <w:bottom w:w="0" w:type="dxa"/>
            <w:right w:w="108" w:type="dxa"/>
          </w:tblCellMar>
        </w:tblPrEx>
        <w:trPr>
          <w:trHeight w:val="20" w:hRule="atLeast"/>
        </w:trPr>
        <w:tc>
          <w:tcPr>
            <w:tcW w:w="180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粉砂</w:t>
            </w: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残坡积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-5</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　</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-6</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-5</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r>
      <w:tr>
        <w:tblPrEx>
          <w:tblLayout w:type="fixed"/>
          <w:tblCellMar>
            <w:top w:w="0" w:type="dxa"/>
            <w:left w:w="108" w:type="dxa"/>
            <w:bottom w:w="0" w:type="dxa"/>
            <w:right w:w="108" w:type="dxa"/>
          </w:tblCellMar>
        </w:tblPrEx>
        <w:trPr>
          <w:trHeight w:val="20" w:hRule="atLeast"/>
        </w:trPr>
        <w:tc>
          <w:tcPr>
            <w:tcW w:w="1808" w:type="dxa"/>
            <w:vMerge w:val="continue"/>
            <w:tcBorders>
              <w:top w:val="nil"/>
              <w:left w:val="single" w:color="auto" w:sz="4" w:space="0"/>
              <w:bottom w:val="single" w:color="auto" w:sz="4" w:space="0"/>
              <w:right w:val="single" w:color="auto" w:sz="4" w:space="0"/>
            </w:tcBorders>
            <w:vAlign w:val="center"/>
          </w:tcPr>
          <w:p>
            <w:pPr>
              <w:widowControl/>
              <w:ind w:left="-105" w:leftChars="-50" w:right="-105" w:rightChars="-50"/>
              <w:jc w:val="left"/>
              <w:rPr>
                <w:color w:val="000000"/>
                <w:kern w:val="0"/>
                <w:szCs w:val="21"/>
              </w:rPr>
            </w:pP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冲洪积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-5</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-4</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-5</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-5</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r>
      <w:tr>
        <w:tblPrEx>
          <w:tblLayout w:type="fixed"/>
          <w:tblCellMar>
            <w:top w:w="0" w:type="dxa"/>
            <w:left w:w="108" w:type="dxa"/>
            <w:bottom w:w="0" w:type="dxa"/>
            <w:right w:w="108" w:type="dxa"/>
          </w:tblCellMar>
        </w:tblPrEx>
        <w:trPr>
          <w:trHeight w:val="20" w:hRule="atLeast"/>
        </w:trPr>
        <w:tc>
          <w:tcPr>
            <w:tcW w:w="1808" w:type="dxa"/>
            <w:vMerge w:val="continue"/>
            <w:tcBorders>
              <w:top w:val="nil"/>
              <w:left w:val="single" w:color="auto" w:sz="4" w:space="0"/>
              <w:bottom w:val="single" w:color="auto" w:sz="4" w:space="0"/>
              <w:right w:val="single" w:color="auto" w:sz="4" w:space="0"/>
            </w:tcBorders>
            <w:vAlign w:val="center"/>
          </w:tcPr>
          <w:p>
            <w:pPr>
              <w:widowControl/>
              <w:ind w:left="-105" w:leftChars="-50" w:right="-105" w:rightChars="-50"/>
              <w:jc w:val="left"/>
              <w:rPr>
                <w:color w:val="000000"/>
                <w:kern w:val="0"/>
                <w:szCs w:val="21"/>
              </w:rPr>
            </w:pP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冲湖积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-6</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-5</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-5</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-7</w:t>
            </w:r>
          </w:p>
        </w:tc>
      </w:tr>
      <w:tr>
        <w:tblPrEx>
          <w:tblLayout w:type="fixed"/>
          <w:tblCellMar>
            <w:top w:w="0" w:type="dxa"/>
            <w:left w:w="108" w:type="dxa"/>
            <w:bottom w:w="0" w:type="dxa"/>
            <w:right w:w="108" w:type="dxa"/>
          </w:tblCellMar>
        </w:tblPrEx>
        <w:trPr>
          <w:trHeight w:val="20" w:hRule="atLeast"/>
        </w:trPr>
        <w:tc>
          <w:tcPr>
            <w:tcW w:w="180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粉土</w:t>
            </w: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残坡积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-5</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　</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-6</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-6</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-5</w:t>
            </w:r>
            <w:r>
              <w:rPr>
                <w:color w:val="000000"/>
                <w:kern w:val="0"/>
                <w:szCs w:val="21"/>
              </w:rPr>
              <w:t>~10</w:t>
            </w:r>
            <w:r>
              <w:rPr>
                <w:kern w:val="0"/>
                <w:szCs w:val="21"/>
                <w:vertAlign w:val="superscript"/>
              </w:rPr>
              <w:t>-7</w:t>
            </w:r>
          </w:p>
        </w:tc>
      </w:tr>
      <w:tr>
        <w:tblPrEx>
          <w:tblLayout w:type="fixed"/>
          <w:tblCellMar>
            <w:top w:w="0" w:type="dxa"/>
            <w:left w:w="108" w:type="dxa"/>
            <w:bottom w:w="0" w:type="dxa"/>
            <w:right w:w="108" w:type="dxa"/>
          </w:tblCellMar>
        </w:tblPrEx>
        <w:trPr>
          <w:trHeight w:val="20" w:hRule="atLeast"/>
        </w:trPr>
        <w:tc>
          <w:tcPr>
            <w:tcW w:w="1808" w:type="dxa"/>
            <w:vMerge w:val="continue"/>
            <w:tcBorders>
              <w:top w:val="nil"/>
              <w:left w:val="single" w:color="auto" w:sz="4" w:space="0"/>
              <w:bottom w:val="single" w:color="auto" w:sz="4" w:space="0"/>
              <w:right w:val="single" w:color="auto" w:sz="4" w:space="0"/>
            </w:tcBorders>
            <w:vAlign w:val="center"/>
          </w:tcPr>
          <w:p>
            <w:pPr>
              <w:widowControl/>
              <w:ind w:left="-105" w:leftChars="-50" w:right="-105" w:rightChars="-50"/>
              <w:jc w:val="left"/>
              <w:rPr>
                <w:color w:val="000000"/>
                <w:kern w:val="0"/>
                <w:szCs w:val="21"/>
              </w:rPr>
            </w:pP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冲洪积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-6</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-5</w:t>
            </w:r>
            <w:r>
              <w:rPr>
                <w:color w:val="000000"/>
                <w:kern w:val="0"/>
                <w:szCs w:val="21"/>
              </w:rPr>
              <w:t>~10</w:t>
            </w:r>
            <w:r>
              <w:rPr>
                <w:kern w:val="0"/>
                <w:szCs w:val="21"/>
                <w:vertAlign w:val="superscript"/>
              </w:rPr>
              <w:t>-7</w:t>
            </w:r>
          </w:p>
        </w:tc>
      </w:tr>
      <w:tr>
        <w:tblPrEx>
          <w:tblLayout w:type="fixed"/>
          <w:tblCellMar>
            <w:top w:w="0" w:type="dxa"/>
            <w:left w:w="108" w:type="dxa"/>
            <w:bottom w:w="0" w:type="dxa"/>
            <w:right w:w="108" w:type="dxa"/>
          </w:tblCellMar>
        </w:tblPrEx>
        <w:trPr>
          <w:trHeight w:val="20" w:hRule="atLeast"/>
        </w:trPr>
        <w:tc>
          <w:tcPr>
            <w:tcW w:w="1808" w:type="dxa"/>
            <w:vMerge w:val="continue"/>
            <w:tcBorders>
              <w:top w:val="nil"/>
              <w:left w:val="single" w:color="auto" w:sz="4" w:space="0"/>
              <w:bottom w:val="single" w:color="auto" w:sz="4" w:space="0"/>
              <w:right w:val="single" w:color="auto" w:sz="4" w:space="0"/>
            </w:tcBorders>
            <w:vAlign w:val="center"/>
          </w:tcPr>
          <w:p>
            <w:pPr>
              <w:widowControl/>
              <w:ind w:left="-105" w:leftChars="-50" w:right="-105" w:rightChars="-50"/>
              <w:jc w:val="left"/>
              <w:rPr>
                <w:color w:val="000000"/>
                <w:kern w:val="0"/>
                <w:szCs w:val="21"/>
              </w:rPr>
            </w:pP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冲湖积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-7</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-7</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-7</w:t>
            </w:r>
          </w:p>
        </w:tc>
      </w:tr>
      <w:tr>
        <w:tblPrEx>
          <w:tblLayout w:type="fixed"/>
          <w:tblCellMar>
            <w:top w:w="0" w:type="dxa"/>
            <w:left w:w="108" w:type="dxa"/>
            <w:bottom w:w="0" w:type="dxa"/>
            <w:right w:w="108" w:type="dxa"/>
          </w:tblCellMar>
        </w:tblPrEx>
        <w:trPr>
          <w:trHeight w:val="20" w:hRule="atLeast"/>
        </w:trPr>
        <w:tc>
          <w:tcPr>
            <w:tcW w:w="1808" w:type="dxa"/>
            <w:tcBorders>
              <w:top w:val="nil"/>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泥炭</w:t>
            </w:r>
            <w:r>
              <w:rPr>
                <w:rFonts w:hint="eastAsia"/>
                <w:color w:val="000000"/>
                <w:kern w:val="0"/>
                <w:szCs w:val="21"/>
              </w:rPr>
              <w:t>质</w:t>
            </w:r>
            <w:r>
              <w:rPr>
                <w:color w:val="000000"/>
                <w:kern w:val="0"/>
                <w:szCs w:val="21"/>
              </w:rPr>
              <w:t>土（泥炭）</w:t>
            </w: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冲湖积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-5</w:t>
            </w:r>
            <w:r>
              <w:rPr>
                <w:color w:val="000000"/>
                <w:kern w:val="0"/>
                <w:szCs w:val="21"/>
              </w:rPr>
              <w:t>~10</w:t>
            </w:r>
            <w:r>
              <w:rPr>
                <w:kern w:val="0"/>
                <w:szCs w:val="21"/>
                <w:vertAlign w:val="superscript"/>
              </w:rPr>
              <w:t>-6</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-3</w:t>
            </w:r>
            <w:r>
              <w:rPr>
                <w:color w:val="000000"/>
                <w:kern w:val="0"/>
                <w:szCs w:val="21"/>
              </w:rPr>
              <w:t>~10</w:t>
            </w:r>
            <w:r>
              <w:rPr>
                <w:kern w:val="0"/>
                <w:szCs w:val="21"/>
                <w:vertAlign w:val="superscript"/>
              </w:rPr>
              <w:t>-5</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-6</w:t>
            </w:r>
          </w:p>
        </w:tc>
      </w:tr>
      <w:tr>
        <w:tblPrEx>
          <w:tblLayout w:type="fixed"/>
          <w:tblCellMar>
            <w:top w:w="0" w:type="dxa"/>
            <w:left w:w="108" w:type="dxa"/>
            <w:bottom w:w="0" w:type="dxa"/>
            <w:right w:w="108" w:type="dxa"/>
          </w:tblCellMar>
        </w:tblPrEx>
        <w:trPr>
          <w:trHeight w:val="20" w:hRule="atLeast"/>
        </w:trPr>
        <w:tc>
          <w:tcPr>
            <w:tcW w:w="1808" w:type="dxa"/>
            <w:tcBorders>
              <w:top w:val="nil"/>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rFonts w:hint="eastAsia"/>
                <w:color w:val="000000"/>
                <w:kern w:val="0"/>
                <w:szCs w:val="21"/>
              </w:rPr>
              <w:t>淤泥质土（</w:t>
            </w:r>
            <w:r>
              <w:rPr>
                <w:color w:val="000000"/>
                <w:kern w:val="0"/>
                <w:szCs w:val="21"/>
              </w:rPr>
              <w:t>淤泥</w:t>
            </w:r>
            <w:r>
              <w:rPr>
                <w:rFonts w:hint="eastAsia"/>
                <w:color w:val="000000"/>
                <w:kern w:val="0"/>
                <w:szCs w:val="21"/>
              </w:rPr>
              <w:t>）</w:t>
            </w:r>
          </w:p>
        </w:tc>
        <w:tc>
          <w:tcPr>
            <w:tcW w:w="857"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冲湖积</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　</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10</w:t>
            </w:r>
            <w:r>
              <w:rPr>
                <w:kern w:val="0"/>
                <w:szCs w:val="21"/>
                <w:vertAlign w:val="superscript"/>
              </w:rPr>
              <w:t>-4</w:t>
            </w:r>
            <w:r>
              <w:rPr>
                <w:color w:val="000000"/>
                <w:kern w:val="0"/>
                <w:szCs w:val="21"/>
              </w:rPr>
              <w:t>~10</w:t>
            </w:r>
            <w:r>
              <w:rPr>
                <w:kern w:val="0"/>
                <w:szCs w:val="21"/>
                <w:vertAlign w:val="superscript"/>
              </w:rPr>
              <w:t>-7</w:t>
            </w:r>
          </w:p>
        </w:tc>
        <w:tc>
          <w:tcPr>
            <w:tcW w:w="1324"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　</w:t>
            </w:r>
          </w:p>
        </w:tc>
        <w:tc>
          <w:tcPr>
            <w:tcW w:w="1326"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　</w:t>
            </w:r>
          </w:p>
        </w:tc>
        <w:tc>
          <w:tcPr>
            <w:tcW w:w="1323" w:type="dxa"/>
            <w:tcBorders>
              <w:top w:val="nil"/>
              <w:left w:val="nil"/>
              <w:bottom w:val="single" w:color="auto" w:sz="4" w:space="0"/>
              <w:right w:val="single" w:color="auto" w:sz="4" w:space="0"/>
            </w:tcBorders>
            <w:shd w:val="clear" w:color="auto" w:fill="auto"/>
            <w:noWrap/>
            <w:vAlign w:val="center"/>
          </w:tcPr>
          <w:p>
            <w:pPr>
              <w:widowControl/>
              <w:ind w:left="-105" w:leftChars="-50" w:right="-105" w:rightChars="-50"/>
              <w:jc w:val="left"/>
              <w:rPr>
                <w:color w:val="000000"/>
                <w:kern w:val="0"/>
                <w:szCs w:val="21"/>
              </w:rPr>
            </w:pPr>
            <w:r>
              <w:rPr>
                <w:color w:val="000000"/>
                <w:kern w:val="0"/>
                <w:szCs w:val="21"/>
              </w:rPr>
              <w:t>　</w:t>
            </w:r>
          </w:p>
        </w:tc>
      </w:tr>
      <w:tr>
        <w:tblPrEx>
          <w:tblLayout w:type="fixed"/>
          <w:tblCellMar>
            <w:top w:w="0" w:type="dxa"/>
            <w:left w:w="108" w:type="dxa"/>
            <w:bottom w:w="0" w:type="dxa"/>
            <w:right w:w="108" w:type="dxa"/>
          </w:tblCellMar>
        </w:tblPrEx>
        <w:trPr>
          <w:trHeight w:val="20" w:hRule="atLeast"/>
        </w:trPr>
        <w:tc>
          <w:tcPr>
            <w:tcW w:w="2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left="-105" w:leftChars="-50" w:right="-105" w:rightChars="-50"/>
              <w:jc w:val="center"/>
              <w:rPr>
                <w:color w:val="000000"/>
                <w:kern w:val="0"/>
                <w:szCs w:val="21"/>
              </w:rPr>
            </w:pPr>
            <w:r>
              <w:rPr>
                <w:color w:val="000000"/>
                <w:kern w:val="0"/>
                <w:szCs w:val="21"/>
              </w:rPr>
              <w:t>备注</w:t>
            </w:r>
          </w:p>
        </w:tc>
        <w:tc>
          <w:tcPr>
            <w:tcW w:w="1324"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left"/>
              <w:rPr>
                <w:color w:val="000000"/>
                <w:kern w:val="0"/>
                <w:szCs w:val="21"/>
              </w:rPr>
            </w:pPr>
            <w:r>
              <w:rPr>
                <w:color w:val="000000"/>
                <w:kern w:val="0"/>
                <w:szCs w:val="21"/>
              </w:rPr>
              <w:t>主要包括320国道、昆石路向两侧延伸地带，特征土壤以红粘土系为代表，交错分布有沙质壤和沉积土</w:t>
            </w:r>
          </w:p>
        </w:tc>
        <w:tc>
          <w:tcPr>
            <w:tcW w:w="1326"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left"/>
              <w:rPr>
                <w:color w:val="000000"/>
                <w:kern w:val="0"/>
                <w:szCs w:val="21"/>
              </w:rPr>
            </w:pPr>
            <w:r>
              <w:rPr>
                <w:color w:val="000000"/>
                <w:kern w:val="0"/>
                <w:szCs w:val="21"/>
              </w:rPr>
              <w:t>主要是呈贡区为中心向二环方向和晋城方向主要特征土壤为红粘土和湖相沉积土</w:t>
            </w:r>
          </w:p>
        </w:tc>
        <w:tc>
          <w:tcPr>
            <w:tcW w:w="1324"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left"/>
              <w:rPr>
                <w:color w:val="000000"/>
                <w:kern w:val="0"/>
                <w:szCs w:val="21"/>
              </w:rPr>
            </w:pPr>
            <w:r>
              <w:rPr>
                <w:color w:val="000000"/>
                <w:kern w:val="0"/>
                <w:szCs w:val="21"/>
              </w:rPr>
              <w:t>主要包括滇池沿岸、马街地区及区域安宁方向，特征土壤为湖相沉积土、部分红粘土、滇西红层区域特征沙壤土（安宁附近）</w:t>
            </w:r>
          </w:p>
        </w:tc>
        <w:tc>
          <w:tcPr>
            <w:tcW w:w="1326"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left"/>
              <w:rPr>
                <w:color w:val="000000"/>
                <w:kern w:val="0"/>
                <w:szCs w:val="21"/>
              </w:rPr>
            </w:pPr>
            <w:r>
              <w:rPr>
                <w:color w:val="000000"/>
                <w:kern w:val="0"/>
                <w:szCs w:val="21"/>
              </w:rPr>
              <w:t>主要包括北二环向北辐射嵩明、富民方向区域特征土壤以红粘土、沉积土（昆明附近）为主</w:t>
            </w:r>
          </w:p>
        </w:tc>
        <w:tc>
          <w:tcPr>
            <w:tcW w:w="1323" w:type="dxa"/>
            <w:tcBorders>
              <w:top w:val="nil"/>
              <w:left w:val="nil"/>
              <w:bottom w:val="single" w:color="auto" w:sz="4" w:space="0"/>
              <w:right w:val="single" w:color="auto" w:sz="4" w:space="0"/>
            </w:tcBorders>
            <w:shd w:val="clear" w:color="auto" w:fill="auto"/>
            <w:vAlign w:val="center"/>
          </w:tcPr>
          <w:p>
            <w:pPr>
              <w:widowControl/>
              <w:ind w:left="-105" w:leftChars="-50" w:right="-105" w:rightChars="-50"/>
              <w:jc w:val="left"/>
              <w:rPr>
                <w:color w:val="000000"/>
                <w:kern w:val="0"/>
                <w:szCs w:val="21"/>
              </w:rPr>
            </w:pPr>
            <w:r>
              <w:rPr>
                <w:color w:val="000000"/>
                <w:kern w:val="0"/>
                <w:szCs w:val="21"/>
              </w:rPr>
              <w:t>主要包括昆明二环以内地区，特征土壤以沉积土为主，部分红粘土</w:t>
            </w:r>
          </w:p>
        </w:tc>
      </w:tr>
    </w:tbl>
    <w:p>
      <w:pPr>
        <w:spacing w:before="240" w:beforeLines="100" w:line="360" w:lineRule="auto"/>
        <w:jc w:val="center"/>
        <w:rPr>
          <w:b/>
          <w:sz w:val="24"/>
        </w:rPr>
      </w:pPr>
      <w:r>
        <w:rPr>
          <w:rFonts w:hint="eastAsia"/>
          <w:b/>
          <w:sz w:val="24"/>
        </w:rPr>
        <w:t>表C</w:t>
      </w:r>
      <w:r>
        <w:rPr>
          <w:b/>
          <w:sz w:val="24"/>
        </w:rPr>
        <w:t>.0.</w:t>
      </w:r>
      <w:r>
        <w:rPr>
          <w:rFonts w:hint="eastAsia"/>
          <w:b/>
          <w:sz w:val="24"/>
        </w:rPr>
        <w:t xml:space="preserve">2  </w:t>
      </w:r>
      <w:r>
        <w:rPr>
          <w:rFonts w:hint="eastAsia"/>
          <w:sz w:val="24"/>
        </w:rPr>
        <w:t>各土层渗透系数参考值（抽水试验成果）</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8"/>
        <w:gridCol w:w="2775"/>
        <w:gridCol w:w="2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vMerge w:val="restar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岩土名称</w:t>
            </w:r>
          </w:p>
        </w:tc>
        <w:tc>
          <w:tcPr>
            <w:tcW w:w="5550" w:type="dxa"/>
            <w:gridSpan w:val="2"/>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渗透系数范围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vMerge w:val="continue"/>
            <w:vAlign w:val="center"/>
          </w:tcPr>
          <w:p>
            <w:pPr>
              <w:widowControl/>
              <w:jc w:val="left"/>
              <w:rPr>
                <w:rFonts w:ascii="宋体" w:hAnsi="宋体" w:cs="宋体"/>
                <w:kern w:val="0"/>
                <w:sz w:val="22"/>
                <w:szCs w:val="22"/>
              </w:rPr>
            </w:pPr>
          </w:p>
        </w:tc>
        <w:tc>
          <w:tcPr>
            <w:tcW w:w="2775"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m/d</w:t>
            </w:r>
          </w:p>
        </w:tc>
        <w:tc>
          <w:tcPr>
            <w:tcW w:w="2775" w:type="dxa"/>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vAlign w:val="center"/>
          </w:tcPr>
          <w:p>
            <w:pPr>
              <w:jc w:val="center"/>
            </w:pPr>
            <w:r>
              <w:t>粘土</w:t>
            </w:r>
          </w:p>
        </w:tc>
        <w:tc>
          <w:tcPr>
            <w:tcW w:w="2775" w:type="dxa"/>
            <w:shd w:val="clear" w:color="auto" w:fill="auto"/>
            <w:noWrap/>
            <w:vAlign w:val="center"/>
          </w:tcPr>
          <w:p>
            <w:pPr>
              <w:jc w:val="center"/>
            </w:pPr>
            <w:r>
              <w:t>&lt;0.005</w:t>
            </w:r>
          </w:p>
        </w:tc>
        <w:tc>
          <w:tcPr>
            <w:tcW w:w="2775" w:type="dxa"/>
            <w:shd w:val="clear" w:color="auto" w:fill="auto"/>
            <w:noWrap/>
            <w:vAlign w:val="center"/>
          </w:tcPr>
          <w:p>
            <w:pPr>
              <w:jc w:val="center"/>
            </w:pPr>
            <w:r>
              <w:t>&lt;6×10</w:t>
            </w:r>
            <w:r>
              <w:rPr>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vAlign w:val="center"/>
          </w:tcPr>
          <w:p>
            <w:pPr>
              <w:jc w:val="center"/>
            </w:pPr>
            <w:r>
              <w:t>粉质粘土</w:t>
            </w:r>
          </w:p>
        </w:tc>
        <w:tc>
          <w:tcPr>
            <w:tcW w:w="2775" w:type="dxa"/>
            <w:shd w:val="clear" w:color="auto" w:fill="auto"/>
            <w:noWrap/>
            <w:vAlign w:val="center"/>
          </w:tcPr>
          <w:p>
            <w:pPr>
              <w:jc w:val="center"/>
            </w:pPr>
            <w:r>
              <w:t>0.005~0.1</w:t>
            </w:r>
          </w:p>
        </w:tc>
        <w:tc>
          <w:tcPr>
            <w:tcW w:w="2775" w:type="dxa"/>
            <w:shd w:val="clear" w:color="auto" w:fill="auto"/>
            <w:noWrap/>
            <w:vAlign w:val="center"/>
          </w:tcPr>
          <w:p>
            <w:pPr>
              <w:jc w:val="center"/>
            </w:pPr>
            <w:r>
              <w:t>6×10</w:t>
            </w:r>
            <w:r>
              <w:rPr>
                <w:vertAlign w:val="superscript"/>
              </w:rPr>
              <w:t>-6</w:t>
            </w:r>
            <w:r>
              <w:t>~1×10</w:t>
            </w:r>
            <w:r>
              <w:rPr>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vAlign w:val="center"/>
          </w:tcPr>
          <w:p>
            <w:pPr>
              <w:jc w:val="center"/>
            </w:pPr>
            <w:r>
              <w:t>粉质粘土</w:t>
            </w:r>
          </w:p>
        </w:tc>
        <w:tc>
          <w:tcPr>
            <w:tcW w:w="2775" w:type="dxa"/>
            <w:shd w:val="clear" w:color="auto" w:fill="auto"/>
            <w:noWrap/>
            <w:vAlign w:val="center"/>
          </w:tcPr>
          <w:p>
            <w:pPr>
              <w:jc w:val="center"/>
            </w:pPr>
            <w:r>
              <w:t>0.1~0.5</w:t>
            </w:r>
          </w:p>
        </w:tc>
        <w:tc>
          <w:tcPr>
            <w:tcW w:w="2775" w:type="dxa"/>
            <w:shd w:val="clear" w:color="auto" w:fill="auto"/>
            <w:noWrap/>
            <w:vAlign w:val="center"/>
          </w:tcPr>
          <w:p>
            <w:pPr>
              <w:jc w:val="center"/>
            </w:pPr>
            <w:r>
              <w:t>1×10</w:t>
            </w:r>
            <w:r>
              <w:rPr>
                <w:vertAlign w:val="superscript"/>
              </w:rPr>
              <w:t>-4</w:t>
            </w:r>
            <w:r>
              <w:t>~6×10</w:t>
            </w:r>
            <w:r>
              <w:rPr>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vAlign w:val="center"/>
          </w:tcPr>
          <w:p>
            <w:pPr>
              <w:jc w:val="center"/>
            </w:pPr>
            <w:r>
              <w:t>粉土</w:t>
            </w:r>
          </w:p>
        </w:tc>
        <w:tc>
          <w:tcPr>
            <w:tcW w:w="2775" w:type="dxa"/>
            <w:shd w:val="clear" w:color="auto" w:fill="auto"/>
            <w:noWrap/>
            <w:vAlign w:val="center"/>
          </w:tcPr>
          <w:p>
            <w:pPr>
              <w:jc w:val="center"/>
            </w:pPr>
            <w:r>
              <w:t>0.5~1.0</w:t>
            </w:r>
          </w:p>
        </w:tc>
        <w:tc>
          <w:tcPr>
            <w:tcW w:w="2775" w:type="dxa"/>
            <w:shd w:val="clear" w:color="auto" w:fill="auto"/>
            <w:noWrap/>
            <w:vAlign w:val="center"/>
          </w:tcPr>
          <w:p>
            <w:pPr>
              <w:jc w:val="center"/>
            </w:pPr>
            <w:r>
              <w:t>6×10</w:t>
            </w:r>
            <w:r>
              <w:rPr>
                <w:vertAlign w:val="superscript"/>
              </w:rPr>
              <w:t>-4</w:t>
            </w:r>
            <w:r>
              <w:t>~1×10</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kern w:val="0"/>
                <w:szCs w:val="21"/>
              </w:rPr>
            </w:pPr>
            <w:r>
              <w:rPr>
                <w:kern w:val="0"/>
                <w:szCs w:val="21"/>
              </w:rPr>
              <w:t>细砂</w:t>
            </w:r>
          </w:p>
        </w:tc>
        <w:tc>
          <w:tcPr>
            <w:tcW w:w="2775" w:type="dxa"/>
            <w:shd w:val="clear" w:color="auto" w:fill="auto"/>
            <w:vAlign w:val="center"/>
          </w:tcPr>
          <w:p>
            <w:pPr>
              <w:widowControl/>
              <w:jc w:val="center"/>
              <w:rPr>
                <w:kern w:val="0"/>
                <w:szCs w:val="21"/>
              </w:rPr>
            </w:pPr>
            <w:r>
              <w:rPr>
                <w:kern w:val="0"/>
                <w:szCs w:val="21"/>
              </w:rPr>
              <w:t>1.0~5</w:t>
            </w:r>
          </w:p>
        </w:tc>
        <w:tc>
          <w:tcPr>
            <w:tcW w:w="2775" w:type="dxa"/>
            <w:shd w:val="clear" w:color="auto" w:fill="auto"/>
            <w:vAlign w:val="center"/>
          </w:tcPr>
          <w:p>
            <w:pPr>
              <w:widowControl/>
              <w:jc w:val="center"/>
              <w:rPr>
                <w:kern w:val="0"/>
                <w:szCs w:val="21"/>
              </w:rPr>
            </w:pPr>
            <w:r>
              <w:rPr>
                <w:kern w:val="0"/>
                <w:szCs w:val="21"/>
              </w:rPr>
              <w:t>1×10</w:t>
            </w:r>
            <w:r>
              <w:rPr>
                <w:kern w:val="0"/>
                <w:szCs w:val="21"/>
                <w:vertAlign w:val="superscript"/>
              </w:rPr>
              <w:t>-3</w:t>
            </w:r>
            <w:r>
              <w:rPr>
                <w:kern w:val="0"/>
                <w:szCs w:val="21"/>
              </w:rPr>
              <w:t>~6×10</w:t>
            </w:r>
            <w:r>
              <w:rPr>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kern w:val="0"/>
                <w:szCs w:val="21"/>
              </w:rPr>
            </w:pPr>
            <w:r>
              <w:rPr>
                <w:kern w:val="0"/>
                <w:szCs w:val="21"/>
              </w:rPr>
              <w:t>中砂</w:t>
            </w:r>
          </w:p>
        </w:tc>
        <w:tc>
          <w:tcPr>
            <w:tcW w:w="2775" w:type="dxa"/>
            <w:shd w:val="clear" w:color="auto" w:fill="auto"/>
            <w:vAlign w:val="center"/>
          </w:tcPr>
          <w:p>
            <w:pPr>
              <w:widowControl/>
              <w:jc w:val="center"/>
              <w:rPr>
                <w:kern w:val="0"/>
                <w:szCs w:val="21"/>
              </w:rPr>
            </w:pPr>
            <w:r>
              <w:rPr>
                <w:kern w:val="0"/>
                <w:szCs w:val="21"/>
              </w:rPr>
              <w:t>5~20</w:t>
            </w:r>
          </w:p>
        </w:tc>
        <w:tc>
          <w:tcPr>
            <w:tcW w:w="2775" w:type="dxa"/>
            <w:shd w:val="clear" w:color="auto" w:fill="auto"/>
            <w:vAlign w:val="center"/>
          </w:tcPr>
          <w:p>
            <w:pPr>
              <w:widowControl/>
              <w:jc w:val="center"/>
              <w:rPr>
                <w:kern w:val="0"/>
                <w:szCs w:val="21"/>
              </w:rPr>
            </w:pPr>
            <w:r>
              <w:rPr>
                <w:kern w:val="0"/>
                <w:szCs w:val="21"/>
              </w:rPr>
              <w:t>6×10</w:t>
            </w:r>
            <w:r>
              <w:rPr>
                <w:kern w:val="0"/>
                <w:szCs w:val="21"/>
                <w:vertAlign w:val="superscript"/>
              </w:rPr>
              <w:t>-3</w:t>
            </w:r>
            <w:r>
              <w:rPr>
                <w:kern w:val="0"/>
                <w:szCs w:val="21"/>
              </w:rPr>
              <w:t>~2×10</w:t>
            </w:r>
            <w:r>
              <w:rPr>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kern w:val="0"/>
                <w:szCs w:val="21"/>
              </w:rPr>
            </w:pPr>
            <w:r>
              <w:rPr>
                <w:kern w:val="0"/>
                <w:szCs w:val="21"/>
              </w:rPr>
              <w:t>均质中砂</w:t>
            </w:r>
          </w:p>
        </w:tc>
        <w:tc>
          <w:tcPr>
            <w:tcW w:w="2775" w:type="dxa"/>
            <w:shd w:val="clear" w:color="auto" w:fill="auto"/>
            <w:vAlign w:val="center"/>
          </w:tcPr>
          <w:p>
            <w:pPr>
              <w:widowControl/>
              <w:jc w:val="center"/>
              <w:rPr>
                <w:kern w:val="0"/>
                <w:szCs w:val="21"/>
              </w:rPr>
            </w:pPr>
            <w:r>
              <w:rPr>
                <w:kern w:val="0"/>
                <w:szCs w:val="21"/>
              </w:rPr>
              <w:t>35~50</w:t>
            </w:r>
          </w:p>
        </w:tc>
        <w:tc>
          <w:tcPr>
            <w:tcW w:w="2775" w:type="dxa"/>
            <w:shd w:val="clear" w:color="auto" w:fill="auto"/>
            <w:vAlign w:val="center"/>
          </w:tcPr>
          <w:p>
            <w:pPr>
              <w:widowControl/>
              <w:jc w:val="center"/>
              <w:rPr>
                <w:kern w:val="0"/>
                <w:szCs w:val="21"/>
              </w:rPr>
            </w:pPr>
            <w:r>
              <w:rPr>
                <w:kern w:val="0"/>
                <w:szCs w:val="21"/>
              </w:rPr>
              <w:t>4×10</w:t>
            </w:r>
            <w:r>
              <w:rPr>
                <w:kern w:val="0"/>
                <w:szCs w:val="21"/>
                <w:vertAlign w:val="superscript"/>
              </w:rPr>
              <w:t>-2</w:t>
            </w:r>
            <w:r>
              <w:rPr>
                <w:kern w:val="0"/>
                <w:szCs w:val="21"/>
              </w:rPr>
              <w:t>~6×10</w:t>
            </w:r>
            <w:r>
              <w:rPr>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kern w:val="0"/>
                <w:szCs w:val="21"/>
              </w:rPr>
            </w:pPr>
            <w:r>
              <w:rPr>
                <w:kern w:val="0"/>
                <w:szCs w:val="21"/>
              </w:rPr>
              <w:t>粗砂</w:t>
            </w:r>
          </w:p>
        </w:tc>
        <w:tc>
          <w:tcPr>
            <w:tcW w:w="2775" w:type="dxa"/>
            <w:shd w:val="clear" w:color="auto" w:fill="auto"/>
            <w:vAlign w:val="center"/>
          </w:tcPr>
          <w:p>
            <w:pPr>
              <w:widowControl/>
              <w:jc w:val="center"/>
              <w:rPr>
                <w:kern w:val="0"/>
                <w:szCs w:val="21"/>
              </w:rPr>
            </w:pPr>
            <w:r>
              <w:rPr>
                <w:kern w:val="0"/>
                <w:szCs w:val="21"/>
              </w:rPr>
              <w:t>20~50</w:t>
            </w:r>
          </w:p>
        </w:tc>
        <w:tc>
          <w:tcPr>
            <w:tcW w:w="2775" w:type="dxa"/>
            <w:shd w:val="clear" w:color="auto" w:fill="auto"/>
            <w:vAlign w:val="center"/>
          </w:tcPr>
          <w:p>
            <w:pPr>
              <w:widowControl/>
              <w:jc w:val="center"/>
              <w:rPr>
                <w:kern w:val="0"/>
                <w:szCs w:val="21"/>
              </w:rPr>
            </w:pPr>
            <w:r>
              <w:rPr>
                <w:kern w:val="0"/>
                <w:szCs w:val="21"/>
              </w:rPr>
              <w:t>2×10</w:t>
            </w:r>
            <w:r>
              <w:rPr>
                <w:kern w:val="0"/>
                <w:szCs w:val="21"/>
                <w:vertAlign w:val="superscript"/>
              </w:rPr>
              <w:t>-2</w:t>
            </w:r>
            <w:r>
              <w:rPr>
                <w:kern w:val="0"/>
                <w:szCs w:val="21"/>
              </w:rPr>
              <w:t>~6×10-2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kern w:val="0"/>
                <w:szCs w:val="21"/>
              </w:rPr>
            </w:pPr>
            <w:r>
              <w:rPr>
                <w:kern w:val="0"/>
                <w:szCs w:val="21"/>
              </w:rPr>
              <w:t>均质粗砂</w:t>
            </w:r>
          </w:p>
        </w:tc>
        <w:tc>
          <w:tcPr>
            <w:tcW w:w="2775" w:type="dxa"/>
            <w:shd w:val="clear" w:color="auto" w:fill="auto"/>
            <w:vAlign w:val="center"/>
          </w:tcPr>
          <w:p>
            <w:pPr>
              <w:widowControl/>
              <w:jc w:val="center"/>
              <w:rPr>
                <w:kern w:val="0"/>
                <w:szCs w:val="21"/>
              </w:rPr>
            </w:pPr>
            <w:r>
              <w:rPr>
                <w:kern w:val="0"/>
                <w:szCs w:val="21"/>
              </w:rPr>
              <w:t>60~75</w:t>
            </w:r>
          </w:p>
        </w:tc>
        <w:tc>
          <w:tcPr>
            <w:tcW w:w="2775" w:type="dxa"/>
            <w:shd w:val="clear" w:color="auto" w:fill="auto"/>
            <w:vAlign w:val="center"/>
          </w:tcPr>
          <w:p>
            <w:pPr>
              <w:widowControl/>
              <w:jc w:val="center"/>
              <w:rPr>
                <w:kern w:val="0"/>
                <w:szCs w:val="21"/>
              </w:rPr>
            </w:pPr>
            <w:r>
              <w:rPr>
                <w:kern w:val="0"/>
                <w:szCs w:val="21"/>
              </w:rPr>
              <w:t>7×10-2~8×10</w:t>
            </w:r>
            <w:r>
              <w:rPr>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圆砾（粘性土充填）</w:t>
            </w:r>
          </w:p>
        </w:tc>
        <w:tc>
          <w:tcPr>
            <w:tcW w:w="2775" w:type="dxa"/>
            <w:shd w:val="clear" w:color="auto" w:fill="auto"/>
            <w:vAlign w:val="center"/>
          </w:tcPr>
          <w:p>
            <w:pPr>
              <w:widowControl/>
              <w:jc w:val="center"/>
              <w:rPr>
                <w:kern w:val="0"/>
                <w:szCs w:val="21"/>
              </w:rPr>
            </w:pPr>
            <w:r>
              <w:rPr>
                <w:kern w:val="0"/>
                <w:szCs w:val="21"/>
              </w:rPr>
              <w:t>2~20</w:t>
            </w:r>
          </w:p>
        </w:tc>
        <w:tc>
          <w:tcPr>
            <w:tcW w:w="2775" w:type="dxa"/>
            <w:shd w:val="clear" w:color="auto" w:fill="auto"/>
            <w:vAlign w:val="center"/>
          </w:tcPr>
          <w:p>
            <w:pPr>
              <w:widowControl/>
              <w:jc w:val="center"/>
              <w:rPr>
                <w:kern w:val="0"/>
                <w:szCs w:val="21"/>
              </w:rPr>
            </w:pPr>
            <w:r>
              <w:rPr>
                <w:kern w:val="0"/>
                <w:szCs w:val="21"/>
              </w:rPr>
              <w:t>2×10</w:t>
            </w:r>
            <w:r>
              <w:rPr>
                <w:kern w:val="0"/>
                <w:szCs w:val="21"/>
                <w:vertAlign w:val="superscript"/>
              </w:rPr>
              <w:t>-3</w:t>
            </w:r>
            <w:r>
              <w:rPr>
                <w:kern w:val="0"/>
                <w:szCs w:val="21"/>
              </w:rPr>
              <w:t>~2×10</w:t>
            </w:r>
            <w:r>
              <w:rPr>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圆砾（砂土充填）</w:t>
            </w:r>
          </w:p>
        </w:tc>
        <w:tc>
          <w:tcPr>
            <w:tcW w:w="2775" w:type="dxa"/>
            <w:shd w:val="clear" w:color="auto" w:fill="auto"/>
            <w:vAlign w:val="center"/>
          </w:tcPr>
          <w:p>
            <w:pPr>
              <w:widowControl/>
              <w:jc w:val="center"/>
              <w:rPr>
                <w:kern w:val="0"/>
                <w:szCs w:val="21"/>
              </w:rPr>
            </w:pPr>
            <w:r>
              <w:rPr>
                <w:kern w:val="0"/>
                <w:szCs w:val="21"/>
              </w:rPr>
              <w:t>50~100</w:t>
            </w:r>
          </w:p>
        </w:tc>
        <w:tc>
          <w:tcPr>
            <w:tcW w:w="2775" w:type="dxa"/>
            <w:shd w:val="clear" w:color="auto" w:fill="auto"/>
            <w:vAlign w:val="center"/>
          </w:tcPr>
          <w:p>
            <w:pPr>
              <w:widowControl/>
              <w:jc w:val="center"/>
              <w:rPr>
                <w:kern w:val="0"/>
                <w:szCs w:val="21"/>
              </w:rPr>
            </w:pPr>
            <w:r>
              <w:rPr>
                <w:kern w:val="0"/>
                <w:szCs w:val="21"/>
              </w:rPr>
              <w:t>6×10</w:t>
            </w:r>
            <w:r>
              <w:rPr>
                <w:kern w:val="0"/>
                <w:szCs w:val="21"/>
                <w:vertAlign w:val="superscript"/>
              </w:rPr>
              <w:t>-2</w:t>
            </w:r>
            <w:r>
              <w:rPr>
                <w:kern w:val="0"/>
                <w:szCs w:val="21"/>
              </w:rPr>
              <w:t>~1×10</w:t>
            </w:r>
            <w:r>
              <w:rPr>
                <w:kern w:val="0"/>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kern w:val="0"/>
                <w:szCs w:val="21"/>
              </w:rPr>
            </w:pPr>
            <w:r>
              <w:rPr>
                <w:kern w:val="0"/>
                <w:szCs w:val="21"/>
              </w:rPr>
              <w:t>卵石</w:t>
            </w:r>
          </w:p>
        </w:tc>
        <w:tc>
          <w:tcPr>
            <w:tcW w:w="2775" w:type="dxa"/>
            <w:shd w:val="clear" w:color="auto" w:fill="auto"/>
            <w:vAlign w:val="center"/>
          </w:tcPr>
          <w:p>
            <w:pPr>
              <w:widowControl/>
              <w:jc w:val="center"/>
              <w:rPr>
                <w:kern w:val="0"/>
                <w:szCs w:val="21"/>
              </w:rPr>
            </w:pPr>
            <w:r>
              <w:rPr>
                <w:kern w:val="0"/>
                <w:szCs w:val="21"/>
              </w:rPr>
              <w:t>100~500</w:t>
            </w:r>
          </w:p>
        </w:tc>
        <w:tc>
          <w:tcPr>
            <w:tcW w:w="2775" w:type="dxa"/>
            <w:shd w:val="clear" w:color="auto" w:fill="auto"/>
            <w:vAlign w:val="center"/>
          </w:tcPr>
          <w:p>
            <w:pPr>
              <w:widowControl/>
              <w:jc w:val="center"/>
              <w:rPr>
                <w:kern w:val="0"/>
                <w:szCs w:val="21"/>
              </w:rPr>
            </w:pPr>
            <w:r>
              <w:rPr>
                <w:kern w:val="0"/>
                <w:szCs w:val="21"/>
              </w:rPr>
              <w:t>1×10</w:t>
            </w:r>
            <w:r>
              <w:rPr>
                <w:kern w:val="0"/>
                <w:szCs w:val="21"/>
                <w:vertAlign w:val="superscript"/>
              </w:rPr>
              <w:t>-1</w:t>
            </w:r>
            <w:r>
              <w:rPr>
                <w:kern w:val="0"/>
                <w:szCs w:val="21"/>
              </w:rPr>
              <w:t>~6×10</w:t>
            </w:r>
            <w:r>
              <w:rPr>
                <w:kern w:val="0"/>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kern w:val="0"/>
                <w:szCs w:val="21"/>
              </w:rPr>
            </w:pPr>
            <w:r>
              <w:rPr>
                <w:kern w:val="0"/>
                <w:szCs w:val="21"/>
              </w:rPr>
              <w:t>无充填物卵石</w:t>
            </w:r>
          </w:p>
        </w:tc>
        <w:tc>
          <w:tcPr>
            <w:tcW w:w="2775" w:type="dxa"/>
            <w:shd w:val="clear" w:color="auto" w:fill="auto"/>
            <w:vAlign w:val="center"/>
          </w:tcPr>
          <w:p>
            <w:pPr>
              <w:widowControl/>
              <w:jc w:val="center"/>
              <w:rPr>
                <w:kern w:val="0"/>
                <w:szCs w:val="21"/>
              </w:rPr>
            </w:pPr>
            <w:r>
              <w:rPr>
                <w:kern w:val="0"/>
                <w:szCs w:val="21"/>
              </w:rPr>
              <w:t>500~1000</w:t>
            </w:r>
          </w:p>
        </w:tc>
        <w:tc>
          <w:tcPr>
            <w:tcW w:w="2775" w:type="dxa"/>
            <w:shd w:val="clear" w:color="auto" w:fill="auto"/>
            <w:vAlign w:val="center"/>
          </w:tcPr>
          <w:p>
            <w:pPr>
              <w:widowControl/>
              <w:jc w:val="center"/>
              <w:rPr>
                <w:kern w:val="0"/>
                <w:szCs w:val="21"/>
              </w:rPr>
            </w:pPr>
            <w:r>
              <w:rPr>
                <w:kern w:val="0"/>
                <w:szCs w:val="21"/>
              </w:rPr>
              <w:t>6×10</w:t>
            </w:r>
            <w:r>
              <w:rPr>
                <w:kern w:val="0"/>
                <w:szCs w:val="21"/>
                <w:vertAlign w:val="superscript"/>
              </w:rPr>
              <w:t>-1</w:t>
            </w:r>
            <w:r>
              <w:rPr>
                <w:kern w:val="0"/>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kern w:val="0"/>
                <w:szCs w:val="21"/>
              </w:rPr>
            </w:pPr>
            <w:r>
              <w:rPr>
                <w:kern w:val="0"/>
                <w:szCs w:val="21"/>
              </w:rPr>
              <w:t>稍有裂隙岩石</w:t>
            </w:r>
          </w:p>
        </w:tc>
        <w:tc>
          <w:tcPr>
            <w:tcW w:w="2775" w:type="dxa"/>
            <w:shd w:val="clear" w:color="auto" w:fill="auto"/>
            <w:vAlign w:val="center"/>
          </w:tcPr>
          <w:p>
            <w:pPr>
              <w:widowControl/>
              <w:jc w:val="center"/>
              <w:rPr>
                <w:kern w:val="0"/>
                <w:szCs w:val="21"/>
              </w:rPr>
            </w:pPr>
            <w:r>
              <w:rPr>
                <w:kern w:val="0"/>
                <w:szCs w:val="21"/>
              </w:rPr>
              <w:t>20~60</w:t>
            </w:r>
          </w:p>
        </w:tc>
        <w:tc>
          <w:tcPr>
            <w:tcW w:w="2775" w:type="dxa"/>
            <w:shd w:val="clear" w:color="auto" w:fill="auto"/>
            <w:vAlign w:val="center"/>
          </w:tcPr>
          <w:p>
            <w:pPr>
              <w:widowControl/>
              <w:jc w:val="center"/>
              <w:rPr>
                <w:kern w:val="0"/>
                <w:szCs w:val="21"/>
              </w:rPr>
            </w:pPr>
            <w:r>
              <w:rPr>
                <w:kern w:val="0"/>
                <w:szCs w:val="21"/>
              </w:rPr>
              <w:t>2×10</w:t>
            </w:r>
            <w:r>
              <w:rPr>
                <w:kern w:val="0"/>
                <w:szCs w:val="21"/>
                <w:vertAlign w:val="superscript"/>
              </w:rPr>
              <w:t>-2</w:t>
            </w:r>
            <w:r>
              <w:rPr>
                <w:kern w:val="0"/>
                <w:szCs w:val="21"/>
              </w:rPr>
              <w:t>~7×10</w:t>
            </w:r>
            <w:r>
              <w:rPr>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738" w:type="dxa"/>
            <w:shd w:val="clear" w:color="auto" w:fill="auto"/>
            <w:vAlign w:val="center"/>
          </w:tcPr>
          <w:p>
            <w:pPr>
              <w:widowControl/>
              <w:jc w:val="center"/>
              <w:rPr>
                <w:kern w:val="0"/>
                <w:szCs w:val="21"/>
              </w:rPr>
            </w:pPr>
            <w:r>
              <w:rPr>
                <w:kern w:val="0"/>
                <w:szCs w:val="21"/>
              </w:rPr>
              <w:t>裂隙多的岩石</w:t>
            </w:r>
          </w:p>
        </w:tc>
        <w:tc>
          <w:tcPr>
            <w:tcW w:w="2775" w:type="dxa"/>
            <w:shd w:val="clear" w:color="auto" w:fill="auto"/>
            <w:vAlign w:val="center"/>
          </w:tcPr>
          <w:p>
            <w:pPr>
              <w:widowControl/>
              <w:jc w:val="center"/>
              <w:rPr>
                <w:kern w:val="0"/>
                <w:szCs w:val="21"/>
              </w:rPr>
            </w:pPr>
            <w:r>
              <w:rPr>
                <w:kern w:val="0"/>
                <w:szCs w:val="21"/>
              </w:rPr>
              <w:t>&gt;60</w:t>
            </w:r>
          </w:p>
        </w:tc>
        <w:tc>
          <w:tcPr>
            <w:tcW w:w="2775" w:type="dxa"/>
            <w:shd w:val="clear" w:color="auto" w:fill="auto"/>
            <w:vAlign w:val="center"/>
          </w:tcPr>
          <w:p>
            <w:pPr>
              <w:widowControl/>
              <w:jc w:val="center"/>
              <w:rPr>
                <w:kern w:val="0"/>
                <w:szCs w:val="21"/>
              </w:rPr>
            </w:pPr>
            <w:r>
              <w:rPr>
                <w:kern w:val="0"/>
                <w:szCs w:val="21"/>
              </w:rPr>
              <w:t>&gt;7×10</w:t>
            </w:r>
            <w:r>
              <w:rPr>
                <w:kern w:val="0"/>
                <w:szCs w:val="21"/>
                <w:vertAlign w:val="superscript"/>
              </w:rPr>
              <w:t>-2</w:t>
            </w:r>
          </w:p>
        </w:tc>
      </w:tr>
    </w:tbl>
    <w:p>
      <w:pPr>
        <w:spacing w:line="360" w:lineRule="auto"/>
        <w:rPr>
          <w:szCs w:val="21"/>
        </w:rPr>
      </w:pPr>
      <w:r>
        <w:rPr>
          <w:rFonts w:hint="eastAsia"/>
          <w:szCs w:val="21"/>
        </w:rPr>
        <w:t>注：本附录参考值由昆明市建筑设计研究院集团有限公司实验室提供。</w:t>
      </w:r>
    </w:p>
    <w:p>
      <w:pPr>
        <w:spacing w:line="360" w:lineRule="auto"/>
        <w:rPr>
          <w:szCs w:val="21"/>
        </w:rPr>
        <w:sectPr>
          <w:pgSz w:w="11907" w:h="16840"/>
          <w:pgMar w:top="1418" w:right="1134" w:bottom="1134" w:left="1701" w:header="851" w:footer="851" w:gutter="0"/>
          <w:cols w:space="720" w:num="1"/>
          <w:docGrid w:linePitch="312" w:charSpace="0"/>
        </w:sectPr>
      </w:pPr>
    </w:p>
    <w:bookmarkEnd w:id="124"/>
    <w:p>
      <w:pPr>
        <w:spacing w:line="360" w:lineRule="auto"/>
        <w:jc w:val="center"/>
        <w:outlineLvl w:val="0"/>
        <w:rPr>
          <w:b/>
          <w:sz w:val="24"/>
        </w:rPr>
      </w:pPr>
      <w:bookmarkStart w:id="143" w:name="_Toc87018366"/>
      <w:bookmarkStart w:id="144" w:name="_Toc87018297"/>
      <w:r>
        <w:rPr>
          <w:b/>
          <w:sz w:val="24"/>
        </w:rPr>
        <w:t>附录</w:t>
      </w:r>
      <w:r>
        <w:rPr>
          <w:rFonts w:hint="eastAsia"/>
          <w:b/>
          <w:sz w:val="24"/>
        </w:rPr>
        <w:t xml:space="preserve">D  </w:t>
      </w:r>
      <w:r>
        <w:rPr>
          <w:b/>
          <w:sz w:val="24"/>
        </w:rPr>
        <w:t>锚杆基本试验</w:t>
      </w:r>
      <w:bookmarkEnd w:id="143"/>
      <w:bookmarkEnd w:id="144"/>
    </w:p>
    <w:p>
      <w:pPr>
        <w:spacing w:line="360" w:lineRule="auto"/>
        <w:jc w:val="center"/>
        <w:outlineLvl w:val="2"/>
        <w:rPr>
          <w:b/>
          <w:sz w:val="24"/>
        </w:rPr>
      </w:pPr>
      <w:bookmarkStart w:id="145" w:name="_Toc398222544"/>
      <w:bookmarkStart w:id="146" w:name="_Toc398222664"/>
      <w:r>
        <w:rPr>
          <w:rFonts w:hint="eastAsia"/>
          <w:b/>
          <w:sz w:val="24"/>
        </w:rPr>
        <w:t>D</w:t>
      </w:r>
      <w:r>
        <w:rPr>
          <w:b/>
          <w:sz w:val="24"/>
        </w:rPr>
        <w:t xml:space="preserve">.1 </w:t>
      </w:r>
      <w:r>
        <w:rPr>
          <w:rFonts w:hint="eastAsia"/>
          <w:b/>
          <w:sz w:val="24"/>
        </w:rPr>
        <w:t xml:space="preserve"> </w:t>
      </w:r>
      <w:r>
        <w:rPr>
          <w:b/>
          <w:sz w:val="24"/>
        </w:rPr>
        <w:t>一般规定</w:t>
      </w:r>
      <w:bookmarkEnd w:id="145"/>
      <w:bookmarkEnd w:id="146"/>
    </w:p>
    <w:p>
      <w:pPr>
        <w:spacing w:line="360" w:lineRule="auto"/>
        <w:rPr>
          <w:sz w:val="24"/>
        </w:rPr>
      </w:pPr>
      <w:r>
        <w:rPr>
          <w:rFonts w:hint="eastAsia"/>
          <w:b/>
          <w:sz w:val="24"/>
        </w:rPr>
        <w:t>D</w:t>
      </w:r>
      <w:r>
        <w:rPr>
          <w:b/>
          <w:sz w:val="24"/>
        </w:rPr>
        <w:t>.</w:t>
      </w:r>
      <w:r>
        <w:rPr>
          <w:rFonts w:hint="eastAsia"/>
          <w:b/>
          <w:sz w:val="24"/>
        </w:rPr>
        <w:t>1</w:t>
      </w:r>
      <w:r>
        <w:rPr>
          <w:b/>
          <w:sz w:val="24"/>
        </w:rPr>
        <w:t xml:space="preserve">.1  </w:t>
      </w:r>
      <w:r>
        <w:rPr>
          <w:rFonts w:hint="eastAsia"/>
          <w:sz w:val="24"/>
        </w:rPr>
        <w:t>试验锚杆的参数、材料、施工工艺及所处的地质条件应与工程锚杆相同。</w:t>
      </w:r>
    </w:p>
    <w:p>
      <w:pPr>
        <w:autoSpaceDE w:val="0"/>
        <w:autoSpaceDN w:val="0"/>
        <w:adjustRightInd w:val="0"/>
        <w:spacing w:line="360" w:lineRule="auto"/>
        <w:jc w:val="left"/>
        <w:rPr>
          <w:sz w:val="24"/>
        </w:rPr>
      </w:pPr>
      <w:r>
        <w:rPr>
          <w:rFonts w:hint="eastAsia"/>
          <w:b/>
          <w:sz w:val="24"/>
        </w:rPr>
        <w:t>D</w:t>
      </w:r>
      <w:r>
        <w:rPr>
          <w:b/>
          <w:bCs/>
          <w:sz w:val="24"/>
        </w:rPr>
        <w:t>.</w:t>
      </w:r>
      <w:r>
        <w:rPr>
          <w:rFonts w:eastAsia="SimSun,Bold"/>
          <w:b/>
          <w:bCs/>
          <w:sz w:val="24"/>
        </w:rPr>
        <w:t>1</w:t>
      </w:r>
      <w:r>
        <w:rPr>
          <w:b/>
          <w:bCs/>
          <w:sz w:val="24"/>
        </w:rPr>
        <w:t>.</w:t>
      </w:r>
      <w:r>
        <w:rPr>
          <w:rFonts w:hint="eastAsia" w:eastAsia="SimSun,Bold"/>
          <w:b/>
          <w:bCs/>
          <w:sz w:val="24"/>
        </w:rPr>
        <w:t>2</w:t>
      </w:r>
      <w:r>
        <w:rPr>
          <w:rFonts w:eastAsia="SimSun,Bold"/>
          <w:b/>
          <w:bCs/>
          <w:sz w:val="24"/>
        </w:rPr>
        <w:t xml:space="preserve">  </w:t>
      </w:r>
      <w:r>
        <w:rPr>
          <w:sz w:val="24"/>
        </w:rPr>
        <w:t>锚杆</w:t>
      </w:r>
      <w:r>
        <w:rPr>
          <w:rFonts w:hint="eastAsia"/>
          <w:sz w:val="24"/>
        </w:rPr>
        <w:t>抗拔试验应在</w:t>
      </w:r>
      <w:r>
        <w:rPr>
          <w:sz w:val="24"/>
        </w:rPr>
        <w:t>锚固段浆体</w:t>
      </w:r>
      <w:r>
        <w:rPr>
          <w:rFonts w:hint="eastAsia"/>
          <w:sz w:val="24"/>
        </w:rPr>
        <w:t>固结</w:t>
      </w:r>
      <w:r>
        <w:rPr>
          <w:sz w:val="24"/>
        </w:rPr>
        <w:t>强度达到15</w:t>
      </w:r>
      <w:r>
        <w:rPr>
          <w:rFonts w:eastAsia="SimSun,Bold"/>
          <w:sz w:val="24"/>
        </w:rPr>
        <w:t>MPa</w:t>
      </w:r>
      <w:r>
        <w:rPr>
          <w:sz w:val="24"/>
        </w:rPr>
        <w:t>或达到设计强度的75</w:t>
      </w:r>
      <w:r>
        <w:rPr>
          <w:rFonts w:eastAsia="SimSun,Bold"/>
          <w:sz w:val="24"/>
        </w:rPr>
        <w:t>%</w:t>
      </w:r>
      <w:r>
        <w:rPr>
          <w:sz w:val="24"/>
        </w:rPr>
        <w:t>时方可进行验。</w:t>
      </w:r>
    </w:p>
    <w:p>
      <w:pPr>
        <w:autoSpaceDE w:val="0"/>
        <w:autoSpaceDN w:val="0"/>
        <w:adjustRightInd w:val="0"/>
        <w:spacing w:line="360" w:lineRule="auto"/>
        <w:jc w:val="left"/>
        <w:rPr>
          <w:sz w:val="24"/>
        </w:rPr>
      </w:pPr>
      <w:r>
        <w:rPr>
          <w:rFonts w:hint="eastAsia"/>
          <w:b/>
          <w:sz w:val="24"/>
        </w:rPr>
        <w:t>D</w:t>
      </w:r>
      <w:r>
        <w:rPr>
          <w:b/>
          <w:bCs/>
          <w:sz w:val="24"/>
        </w:rPr>
        <w:t>.</w:t>
      </w:r>
      <w:r>
        <w:rPr>
          <w:rFonts w:eastAsia="SimSun,Bold"/>
          <w:b/>
          <w:bCs/>
          <w:sz w:val="24"/>
        </w:rPr>
        <w:t>1</w:t>
      </w:r>
      <w:r>
        <w:rPr>
          <w:b/>
          <w:bCs/>
          <w:sz w:val="24"/>
        </w:rPr>
        <w:t>.</w:t>
      </w:r>
      <w:r>
        <w:rPr>
          <w:rFonts w:hint="eastAsia" w:eastAsia="SimSun,Bold"/>
          <w:b/>
          <w:bCs/>
          <w:sz w:val="24"/>
        </w:rPr>
        <w:t>3</w:t>
      </w:r>
      <w:r>
        <w:rPr>
          <w:rFonts w:eastAsia="SimSun,Bold"/>
          <w:b/>
          <w:bCs/>
          <w:sz w:val="24"/>
        </w:rPr>
        <w:t xml:space="preserve">  </w:t>
      </w:r>
      <w:r>
        <w:rPr>
          <w:sz w:val="24"/>
        </w:rPr>
        <w:t>加载装置</w:t>
      </w:r>
      <w:r>
        <w:rPr>
          <w:rFonts w:eastAsia="SimSun,Bold"/>
          <w:sz w:val="24"/>
        </w:rPr>
        <w:t>（</w:t>
      </w:r>
      <w:r>
        <w:rPr>
          <w:sz w:val="24"/>
        </w:rPr>
        <w:t>千斤顶、油泵</w:t>
      </w:r>
      <w:r>
        <w:rPr>
          <w:rFonts w:eastAsia="SimSun,Bold"/>
          <w:sz w:val="24"/>
        </w:rPr>
        <w:t>）</w:t>
      </w:r>
      <w:r>
        <w:rPr>
          <w:sz w:val="24"/>
        </w:rPr>
        <w:t>的额定压力必须大于最大试验压力，且试验前应进行标定。</w:t>
      </w:r>
    </w:p>
    <w:p>
      <w:pPr>
        <w:autoSpaceDE w:val="0"/>
        <w:autoSpaceDN w:val="0"/>
        <w:adjustRightInd w:val="0"/>
        <w:spacing w:line="360" w:lineRule="auto"/>
        <w:jc w:val="left"/>
        <w:rPr>
          <w:sz w:val="24"/>
        </w:rPr>
      </w:pPr>
      <w:r>
        <w:rPr>
          <w:rFonts w:hint="eastAsia"/>
          <w:b/>
          <w:sz w:val="24"/>
        </w:rPr>
        <w:t>D</w:t>
      </w:r>
      <w:r>
        <w:rPr>
          <w:b/>
          <w:bCs/>
          <w:sz w:val="24"/>
        </w:rPr>
        <w:t>.</w:t>
      </w:r>
      <w:r>
        <w:rPr>
          <w:rFonts w:eastAsia="SimSun,Bold"/>
          <w:b/>
          <w:bCs/>
          <w:sz w:val="24"/>
        </w:rPr>
        <w:t>1</w:t>
      </w:r>
      <w:r>
        <w:rPr>
          <w:b/>
          <w:bCs/>
          <w:sz w:val="24"/>
        </w:rPr>
        <w:t>.</w:t>
      </w:r>
      <w:r>
        <w:rPr>
          <w:rFonts w:hint="eastAsia" w:eastAsia="SimSun,Bold"/>
          <w:b/>
          <w:bCs/>
          <w:sz w:val="24"/>
        </w:rPr>
        <w:t>4</w:t>
      </w:r>
      <w:r>
        <w:rPr>
          <w:rFonts w:eastAsia="SimSun,Bold"/>
          <w:b/>
          <w:bCs/>
          <w:sz w:val="24"/>
        </w:rPr>
        <w:t xml:space="preserve">  </w:t>
      </w:r>
      <w:r>
        <w:rPr>
          <w:sz w:val="24"/>
        </w:rPr>
        <w:t>加载反力装置的承载力和刚度应满足最大试验荷载的要求，试验时应保证千斤顶与锚杆同轴。</w:t>
      </w:r>
    </w:p>
    <w:p>
      <w:pPr>
        <w:autoSpaceDE w:val="0"/>
        <w:autoSpaceDN w:val="0"/>
        <w:adjustRightInd w:val="0"/>
        <w:spacing w:line="360" w:lineRule="auto"/>
        <w:jc w:val="left"/>
        <w:rPr>
          <w:sz w:val="24"/>
        </w:rPr>
      </w:pPr>
      <w:r>
        <w:rPr>
          <w:rFonts w:hint="eastAsia"/>
          <w:b/>
          <w:sz w:val="24"/>
        </w:rPr>
        <w:t>D</w:t>
      </w:r>
      <w:r>
        <w:rPr>
          <w:b/>
          <w:bCs/>
          <w:sz w:val="24"/>
        </w:rPr>
        <w:t>.</w:t>
      </w:r>
      <w:r>
        <w:rPr>
          <w:rFonts w:eastAsia="SimSun,Bold"/>
          <w:b/>
          <w:bCs/>
          <w:sz w:val="24"/>
        </w:rPr>
        <w:t>1</w:t>
      </w:r>
      <w:r>
        <w:rPr>
          <w:b/>
          <w:bCs/>
          <w:sz w:val="24"/>
        </w:rPr>
        <w:t>.</w:t>
      </w:r>
      <w:r>
        <w:rPr>
          <w:rFonts w:hint="eastAsia" w:eastAsia="SimSun,Bold"/>
          <w:b/>
          <w:bCs/>
          <w:sz w:val="24"/>
        </w:rPr>
        <w:t>5</w:t>
      </w:r>
      <w:r>
        <w:rPr>
          <w:rFonts w:eastAsia="SimSun,Bold"/>
          <w:b/>
          <w:bCs/>
          <w:sz w:val="24"/>
        </w:rPr>
        <w:t xml:space="preserve">  </w:t>
      </w:r>
      <w:r>
        <w:rPr>
          <w:sz w:val="24"/>
        </w:rPr>
        <w:t>计量仪表</w:t>
      </w:r>
      <w:r>
        <w:rPr>
          <w:rFonts w:eastAsia="SimSun,Bold"/>
          <w:sz w:val="24"/>
        </w:rPr>
        <w:t>（</w:t>
      </w:r>
      <w:r>
        <w:rPr>
          <w:sz w:val="24"/>
        </w:rPr>
        <w:t>测力计、位移计、压力表</w:t>
      </w:r>
      <w:r>
        <w:rPr>
          <w:rFonts w:eastAsia="SimSun,Bold"/>
          <w:sz w:val="24"/>
        </w:rPr>
        <w:t>）</w:t>
      </w:r>
      <w:r>
        <w:rPr>
          <w:sz w:val="24"/>
        </w:rPr>
        <w:t>的精度应满足试验要求。</w:t>
      </w:r>
    </w:p>
    <w:p>
      <w:pPr>
        <w:autoSpaceDE w:val="0"/>
        <w:autoSpaceDN w:val="0"/>
        <w:adjustRightInd w:val="0"/>
        <w:spacing w:line="360" w:lineRule="auto"/>
        <w:jc w:val="left"/>
        <w:rPr>
          <w:sz w:val="24"/>
        </w:rPr>
      </w:pPr>
      <w:r>
        <w:rPr>
          <w:rFonts w:hint="eastAsia"/>
          <w:b/>
          <w:sz w:val="24"/>
        </w:rPr>
        <w:t>D</w:t>
      </w:r>
      <w:r>
        <w:rPr>
          <w:b/>
          <w:bCs/>
          <w:sz w:val="24"/>
        </w:rPr>
        <w:t>.</w:t>
      </w:r>
      <w:r>
        <w:rPr>
          <w:rFonts w:eastAsia="SimSun,Bold"/>
          <w:b/>
          <w:bCs/>
          <w:sz w:val="24"/>
        </w:rPr>
        <w:t>1</w:t>
      </w:r>
      <w:r>
        <w:rPr>
          <w:b/>
          <w:bCs/>
          <w:sz w:val="24"/>
        </w:rPr>
        <w:t>.</w:t>
      </w:r>
      <w:r>
        <w:rPr>
          <w:rFonts w:hint="eastAsia" w:eastAsia="SimSun,Bold"/>
          <w:b/>
          <w:bCs/>
          <w:sz w:val="24"/>
        </w:rPr>
        <w:t>6</w:t>
      </w:r>
      <w:r>
        <w:rPr>
          <w:rFonts w:eastAsia="SimSun,Bold"/>
          <w:b/>
          <w:bCs/>
          <w:sz w:val="24"/>
        </w:rPr>
        <w:t xml:space="preserve">  </w:t>
      </w:r>
      <w:r>
        <w:rPr>
          <w:sz w:val="24"/>
        </w:rPr>
        <w:t>试验锚杆宜在自由段与锚固段之间设置消除自由段摩阻力的装置。</w:t>
      </w:r>
    </w:p>
    <w:p>
      <w:pPr>
        <w:autoSpaceDE w:val="0"/>
        <w:autoSpaceDN w:val="0"/>
        <w:adjustRightInd w:val="0"/>
        <w:spacing w:line="360" w:lineRule="auto"/>
        <w:jc w:val="left"/>
        <w:rPr>
          <w:sz w:val="24"/>
        </w:rPr>
      </w:pPr>
      <w:r>
        <w:rPr>
          <w:rFonts w:hint="eastAsia"/>
          <w:b/>
          <w:sz w:val="24"/>
        </w:rPr>
        <w:t>D</w:t>
      </w:r>
      <w:r>
        <w:rPr>
          <w:b/>
          <w:bCs/>
          <w:sz w:val="24"/>
        </w:rPr>
        <w:t>.</w:t>
      </w:r>
      <w:r>
        <w:rPr>
          <w:rFonts w:eastAsia="SimSun,Bold"/>
          <w:b/>
          <w:bCs/>
          <w:sz w:val="24"/>
        </w:rPr>
        <w:t>1</w:t>
      </w:r>
      <w:r>
        <w:rPr>
          <w:b/>
          <w:bCs/>
          <w:sz w:val="24"/>
        </w:rPr>
        <w:t>.</w:t>
      </w:r>
      <w:r>
        <w:rPr>
          <w:rFonts w:hint="eastAsia" w:eastAsia="SimSun,Bold"/>
          <w:b/>
          <w:bCs/>
          <w:sz w:val="24"/>
        </w:rPr>
        <w:t>7</w:t>
      </w:r>
      <w:r>
        <w:rPr>
          <w:rFonts w:eastAsia="SimSun,Bold"/>
          <w:b/>
          <w:bCs/>
          <w:sz w:val="24"/>
        </w:rPr>
        <w:t xml:space="preserve">  </w:t>
      </w:r>
      <w:r>
        <w:rPr>
          <w:rFonts w:hint="eastAsia" w:eastAsia="SimSun,Bold"/>
          <w:bCs/>
          <w:sz w:val="24"/>
        </w:rPr>
        <w:t>最大试验荷载下的锚杆杆体应力，不应超过其极限强度标准值的0.85倍。</w:t>
      </w:r>
    </w:p>
    <w:p>
      <w:pPr>
        <w:spacing w:line="360" w:lineRule="auto"/>
        <w:jc w:val="center"/>
        <w:outlineLvl w:val="2"/>
        <w:rPr>
          <w:b/>
          <w:sz w:val="24"/>
        </w:rPr>
      </w:pPr>
      <w:bookmarkStart w:id="147" w:name="_Toc398222665"/>
      <w:bookmarkStart w:id="148" w:name="_Toc398222545"/>
      <w:r>
        <w:rPr>
          <w:rFonts w:hint="eastAsia"/>
          <w:b/>
          <w:sz w:val="24"/>
        </w:rPr>
        <w:t>D</w:t>
      </w:r>
      <w:r>
        <w:rPr>
          <w:b/>
          <w:sz w:val="24"/>
        </w:rPr>
        <w:t xml:space="preserve">.2 </w:t>
      </w:r>
      <w:r>
        <w:rPr>
          <w:rFonts w:hint="eastAsia"/>
          <w:b/>
          <w:sz w:val="24"/>
        </w:rPr>
        <w:t xml:space="preserve"> 基本试验</w:t>
      </w:r>
      <w:bookmarkEnd w:id="147"/>
      <w:bookmarkEnd w:id="148"/>
    </w:p>
    <w:p>
      <w:pPr>
        <w:autoSpaceDE w:val="0"/>
        <w:autoSpaceDN w:val="0"/>
        <w:adjustRightInd w:val="0"/>
        <w:spacing w:line="440" w:lineRule="exact"/>
        <w:jc w:val="left"/>
        <w:rPr>
          <w:sz w:val="24"/>
        </w:rPr>
      </w:pPr>
      <w:r>
        <w:rPr>
          <w:b/>
          <w:sz w:val="24"/>
        </w:rPr>
        <w:t>D</w:t>
      </w:r>
      <w:r>
        <w:rPr>
          <w:b/>
          <w:bCs/>
          <w:sz w:val="24"/>
        </w:rPr>
        <w:t>.</w:t>
      </w:r>
      <w:r>
        <w:rPr>
          <w:rFonts w:eastAsia="SimSun,Bold"/>
          <w:b/>
          <w:bCs/>
          <w:sz w:val="24"/>
        </w:rPr>
        <w:t>2</w:t>
      </w:r>
      <w:r>
        <w:rPr>
          <w:b/>
          <w:bCs/>
          <w:sz w:val="24"/>
        </w:rPr>
        <w:t>.</w:t>
      </w:r>
      <w:r>
        <w:rPr>
          <w:rFonts w:eastAsia="SimSun,Bold"/>
          <w:b/>
          <w:bCs/>
          <w:sz w:val="24"/>
        </w:rPr>
        <w:t xml:space="preserve">1  </w:t>
      </w:r>
      <w:r>
        <w:rPr>
          <w:sz w:val="24"/>
        </w:rPr>
        <w:t>同一条件下的</w:t>
      </w:r>
      <w:r>
        <w:rPr>
          <w:rFonts w:hint="eastAsia"/>
          <w:sz w:val="24"/>
        </w:rPr>
        <w:t>极限抗拔承载力试验的</w:t>
      </w:r>
      <w:r>
        <w:rPr>
          <w:sz w:val="24"/>
        </w:rPr>
        <w:t>锚杆数量不应少于3根。</w:t>
      </w:r>
    </w:p>
    <w:p>
      <w:pPr>
        <w:autoSpaceDE w:val="0"/>
        <w:autoSpaceDN w:val="0"/>
        <w:adjustRightInd w:val="0"/>
        <w:spacing w:line="440" w:lineRule="exact"/>
        <w:jc w:val="left"/>
        <w:rPr>
          <w:sz w:val="24"/>
        </w:rPr>
      </w:pPr>
      <w:r>
        <w:rPr>
          <w:b/>
          <w:sz w:val="24"/>
        </w:rPr>
        <w:t>D</w:t>
      </w:r>
      <w:r>
        <w:rPr>
          <w:b/>
          <w:bCs/>
          <w:sz w:val="24"/>
        </w:rPr>
        <w:t>.</w:t>
      </w:r>
      <w:r>
        <w:rPr>
          <w:rFonts w:eastAsia="SimSun,Bold"/>
          <w:b/>
          <w:bCs/>
          <w:sz w:val="24"/>
        </w:rPr>
        <w:t>2</w:t>
      </w:r>
      <w:r>
        <w:rPr>
          <w:b/>
          <w:bCs/>
          <w:sz w:val="24"/>
        </w:rPr>
        <w:t>.</w:t>
      </w:r>
      <w:r>
        <w:rPr>
          <w:rFonts w:hint="eastAsia" w:eastAsia="SimSun,Bold"/>
          <w:b/>
          <w:bCs/>
          <w:sz w:val="24"/>
        </w:rPr>
        <w:t>2</w:t>
      </w:r>
      <w:r>
        <w:rPr>
          <w:rFonts w:eastAsia="SimSun,Bold"/>
          <w:b/>
          <w:bCs/>
          <w:sz w:val="24"/>
        </w:rPr>
        <w:t xml:space="preserve">  </w:t>
      </w:r>
      <w:r>
        <w:rPr>
          <w:rFonts w:hint="eastAsia" w:eastAsia="SimSun,Bold"/>
          <w:bCs/>
          <w:sz w:val="24"/>
        </w:rPr>
        <w:t>确定</w:t>
      </w:r>
      <w:r>
        <w:rPr>
          <w:sz w:val="24"/>
        </w:rPr>
        <w:t>锚杆</w:t>
      </w:r>
      <w:r>
        <w:rPr>
          <w:rFonts w:hint="eastAsia"/>
          <w:sz w:val="24"/>
        </w:rPr>
        <w:t>极限抗拔承载力的试验，最大试验荷载不应小于</w:t>
      </w:r>
      <w:r>
        <w:rPr>
          <w:sz w:val="24"/>
        </w:rPr>
        <w:t>预估破坏荷载，且</w:t>
      </w:r>
      <w:r>
        <w:rPr>
          <w:rFonts w:hint="eastAsia"/>
          <w:sz w:val="24"/>
        </w:rPr>
        <w:t>试验锚杆的杆体截面面积应符合本规程第D.1.7条对锚杆杆体应力的规定。必要时，可增加试验锚杆的杆体截面面积</w:t>
      </w:r>
      <w:r>
        <w:rPr>
          <w:sz w:val="24"/>
        </w:rPr>
        <w:t>。</w:t>
      </w:r>
    </w:p>
    <w:p>
      <w:pPr>
        <w:autoSpaceDE w:val="0"/>
        <w:autoSpaceDN w:val="0"/>
        <w:adjustRightInd w:val="0"/>
        <w:spacing w:line="440" w:lineRule="exact"/>
        <w:jc w:val="left"/>
        <w:rPr>
          <w:sz w:val="24"/>
        </w:rPr>
      </w:pPr>
      <w:r>
        <w:rPr>
          <w:b/>
          <w:sz w:val="24"/>
        </w:rPr>
        <w:t>D</w:t>
      </w:r>
      <w:r>
        <w:rPr>
          <w:b/>
          <w:bCs/>
          <w:sz w:val="24"/>
        </w:rPr>
        <w:t>.</w:t>
      </w:r>
      <w:r>
        <w:rPr>
          <w:rFonts w:eastAsia="SimSun,Bold"/>
          <w:b/>
          <w:bCs/>
          <w:sz w:val="24"/>
        </w:rPr>
        <w:t>2</w:t>
      </w:r>
      <w:r>
        <w:rPr>
          <w:b/>
          <w:bCs/>
          <w:sz w:val="24"/>
        </w:rPr>
        <w:t>.</w:t>
      </w:r>
      <w:r>
        <w:rPr>
          <w:rFonts w:hint="eastAsia" w:eastAsia="SimSun,Bold"/>
          <w:b/>
          <w:bCs/>
          <w:sz w:val="24"/>
        </w:rPr>
        <w:t>3</w:t>
      </w:r>
      <w:r>
        <w:rPr>
          <w:rFonts w:eastAsia="SimSun,Bold"/>
          <w:b/>
          <w:bCs/>
          <w:sz w:val="24"/>
        </w:rPr>
        <w:t xml:space="preserve">  </w:t>
      </w:r>
      <w:r>
        <w:rPr>
          <w:sz w:val="24"/>
        </w:rPr>
        <w:t>锚杆</w:t>
      </w:r>
      <w:r>
        <w:rPr>
          <w:rFonts w:hint="eastAsia"/>
          <w:sz w:val="24"/>
        </w:rPr>
        <w:t>极限抗拔承载力试验</w:t>
      </w:r>
      <w:r>
        <w:rPr>
          <w:sz w:val="24"/>
        </w:rPr>
        <w:t>宜采用</w:t>
      </w:r>
      <w:r>
        <w:rPr>
          <w:rFonts w:hint="eastAsia"/>
          <w:sz w:val="24"/>
        </w:rPr>
        <w:t>多</w:t>
      </w:r>
      <w:r>
        <w:rPr>
          <w:sz w:val="24"/>
        </w:rPr>
        <w:t>循环加载法，其加载分级和锚头位移观测时间应按表</w:t>
      </w:r>
      <w:r>
        <w:rPr>
          <w:rFonts w:hint="eastAsia"/>
          <w:bCs/>
          <w:sz w:val="24"/>
        </w:rPr>
        <w:t>D</w:t>
      </w:r>
      <w:r>
        <w:rPr>
          <w:bCs/>
          <w:sz w:val="24"/>
        </w:rPr>
        <w:t>.</w:t>
      </w:r>
      <w:r>
        <w:rPr>
          <w:sz w:val="24"/>
        </w:rPr>
        <w:t xml:space="preserve">2.4确定； </w:t>
      </w:r>
    </w:p>
    <w:p>
      <w:pPr>
        <w:spacing w:before="120" w:beforeLines="50" w:after="120" w:afterLines="50" w:line="360" w:lineRule="auto"/>
        <w:jc w:val="center"/>
        <w:rPr>
          <w:b/>
          <w:sz w:val="24"/>
        </w:rPr>
      </w:pPr>
      <w:r>
        <w:rPr>
          <w:b/>
          <w:sz w:val="24"/>
        </w:rPr>
        <w:t xml:space="preserve">表D.2.4  </w:t>
      </w:r>
      <w:r>
        <w:rPr>
          <w:rFonts w:hint="eastAsia"/>
          <w:b/>
          <w:sz w:val="24"/>
        </w:rPr>
        <w:t>多</w:t>
      </w:r>
      <w:r>
        <w:rPr>
          <w:b/>
          <w:sz w:val="24"/>
        </w:rPr>
        <w:t>循环加载试验的加载分级与锚头位移观测时间</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396"/>
        <w:gridCol w:w="1038"/>
        <w:gridCol w:w="1038"/>
        <w:gridCol w:w="1038"/>
        <w:gridCol w:w="1038"/>
        <w:gridCol w:w="1038"/>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65" w:type="dxa"/>
            <w:vMerge w:val="restart"/>
            <w:vAlign w:val="center"/>
          </w:tcPr>
          <w:p>
            <w:pPr>
              <w:jc w:val="center"/>
              <w:rPr>
                <w:rFonts w:ascii="宋体" w:cs="宋体"/>
                <w:szCs w:val="21"/>
              </w:rPr>
            </w:pPr>
            <w:r>
              <w:rPr>
                <w:rFonts w:hint="eastAsia" w:ascii="宋体" w:cs="宋体"/>
                <w:szCs w:val="21"/>
              </w:rPr>
              <w:t>循环次数</w:t>
            </w:r>
          </w:p>
        </w:tc>
        <w:tc>
          <w:tcPr>
            <w:tcW w:w="7623" w:type="dxa"/>
            <w:gridSpan w:val="7"/>
            <w:vAlign w:val="center"/>
          </w:tcPr>
          <w:p>
            <w:pPr>
              <w:jc w:val="center"/>
              <w:rPr>
                <w:rFonts w:ascii="宋体" w:cs="宋体"/>
                <w:szCs w:val="21"/>
              </w:rPr>
            </w:pPr>
            <w:r>
              <w:rPr>
                <w:rFonts w:hint="eastAsia" w:ascii="宋体" w:cs="宋体"/>
                <w:szCs w:val="21"/>
              </w:rPr>
              <w:t>分级荷载与最大试验荷载的百分比</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65" w:type="dxa"/>
            <w:vMerge w:val="continue"/>
            <w:vAlign w:val="center"/>
          </w:tcPr>
          <w:p>
            <w:pPr>
              <w:jc w:val="center"/>
              <w:rPr>
                <w:rFonts w:ascii="宋体" w:cs="宋体"/>
                <w:szCs w:val="21"/>
              </w:rPr>
            </w:pPr>
          </w:p>
        </w:tc>
        <w:tc>
          <w:tcPr>
            <w:tcW w:w="1396" w:type="dxa"/>
            <w:vAlign w:val="center"/>
          </w:tcPr>
          <w:p>
            <w:pPr>
              <w:jc w:val="center"/>
              <w:rPr>
                <w:rFonts w:ascii="宋体" w:cs="宋体"/>
                <w:szCs w:val="21"/>
              </w:rPr>
            </w:pPr>
            <w:r>
              <w:rPr>
                <w:rFonts w:hint="eastAsia" w:ascii="宋体" w:cs="宋体"/>
                <w:szCs w:val="21"/>
              </w:rPr>
              <w:t>初始荷载</w:t>
            </w:r>
          </w:p>
        </w:tc>
        <w:tc>
          <w:tcPr>
            <w:tcW w:w="3114" w:type="dxa"/>
            <w:gridSpan w:val="3"/>
            <w:vAlign w:val="center"/>
          </w:tcPr>
          <w:p>
            <w:pPr>
              <w:jc w:val="center"/>
              <w:rPr>
                <w:rFonts w:ascii="宋体" w:cs="宋体"/>
                <w:szCs w:val="21"/>
              </w:rPr>
            </w:pPr>
            <w:r>
              <w:rPr>
                <w:rFonts w:hint="eastAsia" w:ascii="宋体" w:cs="宋体"/>
                <w:szCs w:val="21"/>
              </w:rPr>
              <w:t>加载过程</w:t>
            </w:r>
          </w:p>
        </w:tc>
        <w:tc>
          <w:tcPr>
            <w:tcW w:w="3113" w:type="dxa"/>
            <w:gridSpan w:val="3"/>
            <w:vAlign w:val="center"/>
          </w:tcPr>
          <w:p>
            <w:pPr>
              <w:jc w:val="center"/>
              <w:rPr>
                <w:rFonts w:ascii="宋体" w:cs="宋体"/>
                <w:szCs w:val="21"/>
              </w:rPr>
            </w:pPr>
            <w:r>
              <w:rPr>
                <w:rFonts w:hint="eastAsia" w:ascii="宋体" w:cs="宋体"/>
                <w:szCs w:val="21"/>
              </w:rPr>
              <w:t>卸载过程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65" w:type="dxa"/>
            <w:vAlign w:val="center"/>
          </w:tcPr>
          <w:p>
            <w:pPr>
              <w:jc w:val="center"/>
              <w:rPr>
                <w:rFonts w:ascii="宋体" w:cs="宋体"/>
                <w:szCs w:val="21"/>
              </w:rPr>
            </w:pPr>
            <w:r>
              <w:rPr>
                <w:rFonts w:hint="eastAsia" w:ascii="宋体" w:cs="宋体"/>
                <w:szCs w:val="21"/>
              </w:rPr>
              <w:t>第一循环</w:t>
            </w:r>
          </w:p>
        </w:tc>
        <w:tc>
          <w:tcPr>
            <w:tcW w:w="1396" w:type="dxa"/>
            <w:vAlign w:val="center"/>
          </w:tcPr>
          <w:p>
            <w:pPr>
              <w:jc w:val="center"/>
              <w:rPr>
                <w:rFonts w:ascii="宋体" w:hAnsi="宋体"/>
                <w:szCs w:val="21"/>
              </w:rPr>
            </w:pPr>
            <w:r>
              <w:rPr>
                <w:rFonts w:ascii="宋体" w:hAnsi="宋体"/>
                <w:szCs w:val="21"/>
              </w:rPr>
              <w:t>10</w:t>
            </w:r>
          </w:p>
        </w:tc>
        <w:tc>
          <w:tcPr>
            <w:tcW w:w="1038" w:type="dxa"/>
            <w:vAlign w:val="center"/>
          </w:tcPr>
          <w:p>
            <w:pPr>
              <w:jc w:val="center"/>
              <w:rPr>
                <w:rFonts w:ascii="宋体" w:hAnsi="宋体"/>
                <w:szCs w:val="21"/>
              </w:rPr>
            </w:pPr>
            <w:r>
              <w:rPr>
                <w:rFonts w:ascii="宋体" w:hAnsi="宋体"/>
                <w:szCs w:val="21"/>
              </w:rPr>
              <w:t>20</w:t>
            </w:r>
          </w:p>
        </w:tc>
        <w:tc>
          <w:tcPr>
            <w:tcW w:w="1038" w:type="dxa"/>
            <w:vAlign w:val="center"/>
          </w:tcPr>
          <w:p>
            <w:pPr>
              <w:jc w:val="center"/>
              <w:rPr>
                <w:rFonts w:ascii="宋体" w:hAnsi="宋体"/>
                <w:szCs w:val="21"/>
              </w:rPr>
            </w:pPr>
            <w:r>
              <w:rPr>
                <w:rFonts w:ascii="宋体" w:hAnsi="宋体"/>
                <w:szCs w:val="21"/>
              </w:rPr>
              <w:t>40</w:t>
            </w:r>
          </w:p>
        </w:tc>
        <w:tc>
          <w:tcPr>
            <w:tcW w:w="1038" w:type="dxa"/>
            <w:vAlign w:val="center"/>
          </w:tcPr>
          <w:p>
            <w:pPr>
              <w:jc w:val="center"/>
              <w:rPr>
                <w:rFonts w:ascii="宋体" w:hAnsi="宋体"/>
                <w:szCs w:val="21"/>
              </w:rPr>
            </w:pPr>
            <w:r>
              <w:rPr>
                <w:rFonts w:ascii="宋体" w:hAnsi="宋体"/>
                <w:szCs w:val="21"/>
              </w:rPr>
              <w:t>50</w:t>
            </w:r>
          </w:p>
        </w:tc>
        <w:tc>
          <w:tcPr>
            <w:tcW w:w="1038" w:type="dxa"/>
            <w:vAlign w:val="center"/>
          </w:tcPr>
          <w:p>
            <w:pPr>
              <w:jc w:val="center"/>
              <w:rPr>
                <w:rFonts w:ascii="宋体" w:hAnsi="宋体"/>
                <w:szCs w:val="21"/>
              </w:rPr>
            </w:pPr>
            <w:r>
              <w:rPr>
                <w:rFonts w:ascii="宋体" w:hAnsi="宋体"/>
                <w:szCs w:val="21"/>
              </w:rPr>
              <w:t>40</w:t>
            </w:r>
          </w:p>
        </w:tc>
        <w:tc>
          <w:tcPr>
            <w:tcW w:w="1038" w:type="dxa"/>
            <w:vAlign w:val="center"/>
          </w:tcPr>
          <w:p>
            <w:pPr>
              <w:jc w:val="center"/>
              <w:rPr>
                <w:rFonts w:ascii="宋体" w:hAnsi="宋体"/>
                <w:szCs w:val="21"/>
              </w:rPr>
            </w:pPr>
            <w:r>
              <w:rPr>
                <w:rFonts w:ascii="宋体" w:hAnsi="宋体"/>
                <w:szCs w:val="21"/>
              </w:rPr>
              <w:t>20</w:t>
            </w:r>
          </w:p>
        </w:tc>
        <w:tc>
          <w:tcPr>
            <w:tcW w:w="1037" w:type="dxa"/>
            <w:vAlign w:val="center"/>
          </w:tcPr>
          <w:p>
            <w:pPr>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65" w:type="dxa"/>
            <w:vAlign w:val="center"/>
          </w:tcPr>
          <w:p>
            <w:pPr>
              <w:jc w:val="center"/>
              <w:rPr>
                <w:rFonts w:ascii="宋体" w:cs="宋体"/>
                <w:szCs w:val="21"/>
              </w:rPr>
            </w:pPr>
            <w:r>
              <w:rPr>
                <w:rFonts w:hint="eastAsia" w:ascii="宋体" w:cs="宋体"/>
                <w:szCs w:val="21"/>
              </w:rPr>
              <w:t>第二循环</w:t>
            </w:r>
          </w:p>
        </w:tc>
        <w:tc>
          <w:tcPr>
            <w:tcW w:w="1396" w:type="dxa"/>
            <w:vAlign w:val="center"/>
          </w:tcPr>
          <w:p>
            <w:pPr>
              <w:jc w:val="center"/>
              <w:rPr>
                <w:rFonts w:ascii="宋体" w:hAnsi="宋体"/>
                <w:szCs w:val="21"/>
              </w:rPr>
            </w:pPr>
            <w:r>
              <w:rPr>
                <w:rFonts w:ascii="宋体" w:hAnsi="宋体"/>
                <w:szCs w:val="21"/>
              </w:rPr>
              <w:t>10</w:t>
            </w:r>
          </w:p>
        </w:tc>
        <w:tc>
          <w:tcPr>
            <w:tcW w:w="1038" w:type="dxa"/>
            <w:vAlign w:val="center"/>
          </w:tcPr>
          <w:p>
            <w:pPr>
              <w:jc w:val="center"/>
              <w:rPr>
                <w:rFonts w:ascii="宋体" w:hAnsi="宋体"/>
                <w:szCs w:val="21"/>
              </w:rPr>
            </w:pPr>
            <w:r>
              <w:rPr>
                <w:rFonts w:ascii="宋体" w:hAnsi="宋体"/>
                <w:szCs w:val="21"/>
              </w:rPr>
              <w:t>30</w:t>
            </w:r>
          </w:p>
        </w:tc>
        <w:tc>
          <w:tcPr>
            <w:tcW w:w="1038" w:type="dxa"/>
            <w:vAlign w:val="center"/>
          </w:tcPr>
          <w:p>
            <w:pPr>
              <w:jc w:val="center"/>
              <w:rPr>
                <w:rFonts w:ascii="宋体" w:hAnsi="宋体"/>
                <w:szCs w:val="21"/>
              </w:rPr>
            </w:pPr>
            <w:r>
              <w:rPr>
                <w:rFonts w:ascii="宋体" w:hAnsi="宋体"/>
                <w:szCs w:val="21"/>
              </w:rPr>
              <w:t>50</w:t>
            </w:r>
          </w:p>
        </w:tc>
        <w:tc>
          <w:tcPr>
            <w:tcW w:w="1038" w:type="dxa"/>
            <w:vAlign w:val="center"/>
          </w:tcPr>
          <w:p>
            <w:pPr>
              <w:jc w:val="center"/>
              <w:rPr>
                <w:rFonts w:ascii="宋体" w:hAnsi="宋体"/>
                <w:szCs w:val="21"/>
              </w:rPr>
            </w:pPr>
            <w:r>
              <w:rPr>
                <w:rFonts w:ascii="宋体" w:hAnsi="宋体"/>
                <w:szCs w:val="21"/>
              </w:rPr>
              <w:t>60</w:t>
            </w:r>
          </w:p>
        </w:tc>
        <w:tc>
          <w:tcPr>
            <w:tcW w:w="1038" w:type="dxa"/>
            <w:vAlign w:val="center"/>
          </w:tcPr>
          <w:p>
            <w:pPr>
              <w:jc w:val="center"/>
              <w:rPr>
                <w:rFonts w:ascii="宋体" w:hAnsi="宋体"/>
                <w:szCs w:val="21"/>
              </w:rPr>
            </w:pPr>
            <w:r>
              <w:rPr>
                <w:rFonts w:ascii="宋体" w:hAnsi="宋体"/>
                <w:szCs w:val="21"/>
              </w:rPr>
              <w:t>50</w:t>
            </w:r>
          </w:p>
        </w:tc>
        <w:tc>
          <w:tcPr>
            <w:tcW w:w="1038" w:type="dxa"/>
            <w:vAlign w:val="center"/>
          </w:tcPr>
          <w:p>
            <w:pPr>
              <w:jc w:val="center"/>
              <w:rPr>
                <w:rFonts w:ascii="宋体" w:hAnsi="宋体"/>
                <w:szCs w:val="21"/>
              </w:rPr>
            </w:pPr>
            <w:r>
              <w:rPr>
                <w:rFonts w:ascii="宋体" w:hAnsi="宋体"/>
                <w:szCs w:val="21"/>
              </w:rPr>
              <w:t>30</w:t>
            </w:r>
          </w:p>
        </w:tc>
        <w:tc>
          <w:tcPr>
            <w:tcW w:w="1037" w:type="dxa"/>
            <w:vAlign w:val="center"/>
          </w:tcPr>
          <w:p>
            <w:pPr>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65" w:type="dxa"/>
            <w:vAlign w:val="center"/>
          </w:tcPr>
          <w:p>
            <w:pPr>
              <w:jc w:val="center"/>
              <w:rPr>
                <w:rFonts w:ascii="宋体" w:cs="宋体"/>
                <w:szCs w:val="21"/>
              </w:rPr>
            </w:pPr>
            <w:r>
              <w:rPr>
                <w:rFonts w:hint="eastAsia" w:ascii="宋体" w:cs="宋体"/>
                <w:szCs w:val="21"/>
              </w:rPr>
              <w:t>第三循环</w:t>
            </w:r>
          </w:p>
        </w:tc>
        <w:tc>
          <w:tcPr>
            <w:tcW w:w="1396" w:type="dxa"/>
            <w:vAlign w:val="center"/>
          </w:tcPr>
          <w:p>
            <w:pPr>
              <w:jc w:val="center"/>
              <w:rPr>
                <w:rFonts w:ascii="宋体" w:hAnsi="宋体"/>
                <w:szCs w:val="21"/>
              </w:rPr>
            </w:pPr>
            <w:r>
              <w:rPr>
                <w:rFonts w:ascii="宋体" w:hAnsi="宋体"/>
                <w:szCs w:val="21"/>
              </w:rPr>
              <w:t>10</w:t>
            </w:r>
          </w:p>
        </w:tc>
        <w:tc>
          <w:tcPr>
            <w:tcW w:w="1038" w:type="dxa"/>
            <w:vAlign w:val="center"/>
          </w:tcPr>
          <w:p>
            <w:pPr>
              <w:jc w:val="center"/>
              <w:rPr>
                <w:rFonts w:ascii="宋体" w:hAnsi="宋体"/>
                <w:szCs w:val="21"/>
              </w:rPr>
            </w:pPr>
            <w:r>
              <w:rPr>
                <w:rFonts w:ascii="宋体" w:hAnsi="宋体"/>
                <w:szCs w:val="21"/>
              </w:rPr>
              <w:t>40</w:t>
            </w:r>
          </w:p>
        </w:tc>
        <w:tc>
          <w:tcPr>
            <w:tcW w:w="1038" w:type="dxa"/>
            <w:vAlign w:val="center"/>
          </w:tcPr>
          <w:p>
            <w:pPr>
              <w:jc w:val="center"/>
              <w:rPr>
                <w:rFonts w:ascii="宋体" w:hAnsi="宋体"/>
                <w:szCs w:val="21"/>
              </w:rPr>
            </w:pPr>
            <w:r>
              <w:rPr>
                <w:rFonts w:ascii="宋体" w:hAnsi="宋体"/>
                <w:szCs w:val="21"/>
              </w:rPr>
              <w:t>60</w:t>
            </w:r>
          </w:p>
        </w:tc>
        <w:tc>
          <w:tcPr>
            <w:tcW w:w="1038" w:type="dxa"/>
            <w:vAlign w:val="center"/>
          </w:tcPr>
          <w:p>
            <w:pPr>
              <w:jc w:val="center"/>
              <w:rPr>
                <w:rFonts w:ascii="宋体" w:hAnsi="宋体"/>
                <w:szCs w:val="21"/>
              </w:rPr>
            </w:pPr>
            <w:r>
              <w:rPr>
                <w:rFonts w:ascii="宋体" w:hAnsi="宋体"/>
                <w:szCs w:val="21"/>
              </w:rPr>
              <w:t>70</w:t>
            </w:r>
          </w:p>
        </w:tc>
        <w:tc>
          <w:tcPr>
            <w:tcW w:w="1038" w:type="dxa"/>
            <w:vAlign w:val="center"/>
          </w:tcPr>
          <w:p>
            <w:pPr>
              <w:jc w:val="center"/>
              <w:rPr>
                <w:rFonts w:ascii="宋体" w:hAnsi="宋体"/>
                <w:szCs w:val="21"/>
              </w:rPr>
            </w:pPr>
            <w:r>
              <w:rPr>
                <w:rFonts w:ascii="宋体" w:hAnsi="宋体"/>
                <w:szCs w:val="21"/>
              </w:rPr>
              <w:t>60</w:t>
            </w:r>
          </w:p>
        </w:tc>
        <w:tc>
          <w:tcPr>
            <w:tcW w:w="1038" w:type="dxa"/>
            <w:vAlign w:val="center"/>
          </w:tcPr>
          <w:p>
            <w:pPr>
              <w:jc w:val="center"/>
              <w:rPr>
                <w:rFonts w:ascii="宋体" w:hAnsi="宋体"/>
                <w:szCs w:val="21"/>
              </w:rPr>
            </w:pPr>
            <w:r>
              <w:rPr>
                <w:rFonts w:ascii="宋体" w:hAnsi="宋体"/>
                <w:szCs w:val="21"/>
              </w:rPr>
              <w:t>40</w:t>
            </w:r>
          </w:p>
        </w:tc>
        <w:tc>
          <w:tcPr>
            <w:tcW w:w="1037" w:type="dxa"/>
            <w:vAlign w:val="center"/>
          </w:tcPr>
          <w:p>
            <w:pPr>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65" w:type="dxa"/>
            <w:vAlign w:val="center"/>
          </w:tcPr>
          <w:p>
            <w:pPr>
              <w:jc w:val="center"/>
              <w:rPr>
                <w:rFonts w:ascii="宋体" w:cs="宋体"/>
                <w:szCs w:val="21"/>
              </w:rPr>
            </w:pPr>
            <w:r>
              <w:rPr>
                <w:rFonts w:hint="eastAsia" w:ascii="宋体" w:cs="宋体"/>
                <w:szCs w:val="21"/>
              </w:rPr>
              <w:t>第四循环</w:t>
            </w:r>
          </w:p>
        </w:tc>
        <w:tc>
          <w:tcPr>
            <w:tcW w:w="1396" w:type="dxa"/>
            <w:vAlign w:val="center"/>
          </w:tcPr>
          <w:p>
            <w:pPr>
              <w:jc w:val="center"/>
              <w:rPr>
                <w:rFonts w:ascii="宋体" w:hAnsi="宋体"/>
                <w:szCs w:val="21"/>
              </w:rPr>
            </w:pPr>
            <w:r>
              <w:rPr>
                <w:rFonts w:ascii="宋体" w:hAnsi="宋体"/>
                <w:szCs w:val="21"/>
              </w:rPr>
              <w:t>10</w:t>
            </w:r>
          </w:p>
        </w:tc>
        <w:tc>
          <w:tcPr>
            <w:tcW w:w="1038" w:type="dxa"/>
            <w:vAlign w:val="center"/>
          </w:tcPr>
          <w:p>
            <w:pPr>
              <w:jc w:val="center"/>
              <w:rPr>
                <w:rFonts w:ascii="宋体" w:hAnsi="宋体"/>
                <w:szCs w:val="21"/>
              </w:rPr>
            </w:pPr>
            <w:r>
              <w:rPr>
                <w:rFonts w:ascii="宋体" w:hAnsi="宋体"/>
                <w:szCs w:val="21"/>
              </w:rPr>
              <w:t>50</w:t>
            </w:r>
          </w:p>
        </w:tc>
        <w:tc>
          <w:tcPr>
            <w:tcW w:w="1038" w:type="dxa"/>
            <w:vAlign w:val="center"/>
          </w:tcPr>
          <w:p>
            <w:pPr>
              <w:jc w:val="center"/>
              <w:rPr>
                <w:rFonts w:ascii="宋体" w:hAnsi="宋体"/>
                <w:szCs w:val="21"/>
              </w:rPr>
            </w:pPr>
            <w:r>
              <w:rPr>
                <w:rFonts w:ascii="宋体" w:hAnsi="宋体"/>
                <w:szCs w:val="21"/>
              </w:rPr>
              <w:t>70</w:t>
            </w:r>
          </w:p>
        </w:tc>
        <w:tc>
          <w:tcPr>
            <w:tcW w:w="1038" w:type="dxa"/>
            <w:vAlign w:val="center"/>
          </w:tcPr>
          <w:p>
            <w:pPr>
              <w:jc w:val="center"/>
              <w:rPr>
                <w:rFonts w:ascii="宋体" w:hAnsi="宋体"/>
                <w:szCs w:val="21"/>
              </w:rPr>
            </w:pPr>
            <w:r>
              <w:rPr>
                <w:rFonts w:ascii="宋体" w:hAnsi="宋体"/>
                <w:szCs w:val="21"/>
              </w:rPr>
              <w:t>80</w:t>
            </w:r>
          </w:p>
        </w:tc>
        <w:tc>
          <w:tcPr>
            <w:tcW w:w="1038" w:type="dxa"/>
            <w:vAlign w:val="center"/>
          </w:tcPr>
          <w:p>
            <w:pPr>
              <w:jc w:val="center"/>
              <w:rPr>
                <w:rFonts w:ascii="宋体" w:hAnsi="宋体"/>
                <w:szCs w:val="21"/>
              </w:rPr>
            </w:pPr>
            <w:r>
              <w:rPr>
                <w:rFonts w:ascii="宋体" w:hAnsi="宋体"/>
                <w:szCs w:val="21"/>
              </w:rPr>
              <w:t>70</w:t>
            </w:r>
          </w:p>
        </w:tc>
        <w:tc>
          <w:tcPr>
            <w:tcW w:w="1038" w:type="dxa"/>
            <w:vAlign w:val="center"/>
          </w:tcPr>
          <w:p>
            <w:pPr>
              <w:jc w:val="center"/>
              <w:rPr>
                <w:rFonts w:ascii="宋体" w:hAnsi="宋体"/>
                <w:szCs w:val="21"/>
              </w:rPr>
            </w:pPr>
            <w:r>
              <w:rPr>
                <w:rFonts w:ascii="宋体" w:hAnsi="宋体"/>
                <w:szCs w:val="21"/>
              </w:rPr>
              <w:t>50</w:t>
            </w:r>
          </w:p>
        </w:tc>
        <w:tc>
          <w:tcPr>
            <w:tcW w:w="1037" w:type="dxa"/>
            <w:vAlign w:val="center"/>
          </w:tcPr>
          <w:p>
            <w:pPr>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65" w:type="dxa"/>
            <w:vAlign w:val="center"/>
          </w:tcPr>
          <w:p>
            <w:pPr>
              <w:jc w:val="center"/>
              <w:rPr>
                <w:rFonts w:ascii="宋体" w:cs="宋体"/>
                <w:szCs w:val="21"/>
              </w:rPr>
            </w:pPr>
            <w:r>
              <w:rPr>
                <w:rFonts w:hint="eastAsia" w:ascii="宋体" w:cs="宋体"/>
                <w:szCs w:val="21"/>
              </w:rPr>
              <w:t>第五循环</w:t>
            </w:r>
          </w:p>
        </w:tc>
        <w:tc>
          <w:tcPr>
            <w:tcW w:w="1396" w:type="dxa"/>
            <w:vAlign w:val="center"/>
          </w:tcPr>
          <w:p>
            <w:pPr>
              <w:jc w:val="center"/>
              <w:rPr>
                <w:rFonts w:ascii="宋体" w:hAnsi="宋体"/>
                <w:szCs w:val="21"/>
              </w:rPr>
            </w:pPr>
            <w:r>
              <w:rPr>
                <w:rFonts w:ascii="宋体" w:hAnsi="宋体"/>
                <w:szCs w:val="21"/>
              </w:rPr>
              <w:t>10</w:t>
            </w:r>
          </w:p>
        </w:tc>
        <w:tc>
          <w:tcPr>
            <w:tcW w:w="1038" w:type="dxa"/>
            <w:vAlign w:val="center"/>
          </w:tcPr>
          <w:p>
            <w:pPr>
              <w:jc w:val="center"/>
              <w:rPr>
                <w:rFonts w:ascii="宋体" w:hAnsi="宋体"/>
                <w:szCs w:val="21"/>
              </w:rPr>
            </w:pPr>
            <w:r>
              <w:rPr>
                <w:rFonts w:ascii="宋体" w:hAnsi="宋体"/>
                <w:szCs w:val="21"/>
              </w:rPr>
              <w:t>60</w:t>
            </w:r>
          </w:p>
        </w:tc>
        <w:tc>
          <w:tcPr>
            <w:tcW w:w="1038" w:type="dxa"/>
            <w:vAlign w:val="center"/>
          </w:tcPr>
          <w:p>
            <w:pPr>
              <w:jc w:val="center"/>
              <w:rPr>
                <w:rFonts w:ascii="宋体" w:hAnsi="宋体"/>
                <w:szCs w:val="21"/>
              </w:rPr>
            </w:pPr>
            <w:r>
              <w:rPr>
                <w:rFonts w:ascii="宋体" w:hAnsi="宋体"/>
                <w:szCs w:val="21"/>
              </w:rPr>
              <w:t>80</w:t>
            </w:r>
          </w:p>
        </w:tc>
        <w:tc>
          <w:tcPr>
            <w:tcW w:w="1038" w:type="dxa"/>
            <w:vAlign w:val="center"/>
          </w:tcPr>
          <w:p>
            <w:pPr>
              <w:jc w:val="center"/>
              <w:rPr>
                <w:rFonts w:ascii="宋体" w:hAnsi="宋体"/>
                <w:szCs w:val="21"/>
              </w:rPr>
            </w:pPr>
            <w:r>
              <w:rPr>
                <w:rFonts w:ascii="宋体" w:hAnsi="宋体"/>
                <w:szCs w:val="21"/>
              </w:rPr>
              <w:t>90</w:t>
            </w:r>
          </w:p>
        </w:tc>
        <w:tc>
          <w:tcPr>
            <w:tcW w:w="1038" w:type="dxa"/>
            <w:vAlign w:val="center"/>
          </w:tcPr>
          <w:p>
            <w:pPr>
              <w:jc w:val="center"/>
              <w:rPr>
                <w:rFonts w:ascii="宋体" w:hAnsi="宋体"/>
                <w:szCs w:val="21"/>
              </w:rPr>
            </w:pPr>
            <w:r>
              <w:rPr>
                <w:rFonts w:ascii="宋体" w:hAnsi="宋体"/>
                <w:szCs w:val="21"/>
              </w:rPr>
              <w:t>80</w:t>
            </w:r>
          </w:p>
        </w:tc>
        <w:tc>
          <w:tcPr>
            <w:tcW w:w="1038" w:type="dxa"/>
            <w:vAlign w:val="center"/>
          </w:tcPr>
          <w:p>
            <w:pPr>
              <w:jc w:val="center"/>
              <w:rPr>
                <w:rFonts w:ascii="宋体" w:hAnsi="宋体"/>
                <w:szCs w:val="21"/>
              </w:rPr>
            </w:pPr>
            <w:r>
              <w:rPr>
                <w:rFonts w:ascii="宋体" w:hAnsi="宋体"/>
                <w:szCs w:val="21"/>
              </w:rPr>
              <w:t>60</w:t>
            </w:r>
          </w:p>
        </w:tc>
        <w:tc>
          <w:tcPr>
            <w:tcW w:w="1037" w:type="dxa"/>
            <w:vAlign w:val="center"/>
          </w:tcPr>
          <w:p>
            <w:pPr>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65" w:type="dxa"/>
            <w:vAlign w:val="center"/>
          </w:tcPr>
          <w:p>
            <w:pPr>
              <w:jc w:val="center"/>
              <w:rPr>
                <w:rFonts w:ascii="宋体" w:cs="宋体"/>
                <w:szCs w:val="21"/>
              </w:rPr>
            </w:pPr>
            <w:r>
              <w:rPr>
                <w:rFonts w:hint="eastAsia" w:ascii="宋体" w:cs="宋体"/>
                <w:szCs w:val="21"/>
              </w:rPr>
              <w:t>第六循环</w:t>
            </w:r>
          </w:p>
        </w:tc>
        <w:tc>
          <w:tcPr>
            <w:tcW w:w="1396" w:type="dxa"/>
            <w:vAlign w:val="center"/>
          </w:tcPr>
          <w:p>
            <w:pPr>
              <w:jc w:val="center"/>
              <w:rPr>
                <w:rFonts w:ascii="宋体" w:hAnsi="宋体"/>
                <w:szCs w:val="21"/>
              </w:rPr>
            </w:pPr>
            <w:r>
              <w:rPr>
                <w:rFonts w:ascii="宋体" w:hAnsi="宋体"/>
                <w:szCs w:val="21"/>
              </w:rPr>
              <w:t>10</w:t>
            </w:r>
          </w:p>
        </w:tc>
        <w:tc>
          <w:tcPr>
            <w:tcW w:w="1038" w:type="dxa"/>
            <w:vAlign w:val="center"/>
          </w:tcPr>
          <w:p>
            <w:pPr>
              <w:jc w:val="center"/>
              <w:rPr>
                <w:rFonts w:ascii="宋体" w:hAnsi="宋体"/>
                <w:szCs w:val="21"/>
              </w:rPr>
            </w:pPr>
            <w:r>
              <w:rPr>
                <w:rFonts w:ascii="宋体" w:hAnsi="宋体"/>
                <w:szCs w:val="21"/>
              </w:rPr>
              <w:t>70</w:t>
            </w:r>
          </w:p>
        </w:tc>
        <w:tc>
          <w:tcPr>
            <w:tcW w:w="1038" w:type="dxa"/>
            <w:vAlign w:val="center"/>
          </w:tcPr>
          <w:p>
            <w:pPr>
              <w:jc w:val="center"/>
              <w:rPr>
                <w:rFonts w:ascii="宋体" w:hAnsi="宋体"/>
                <w:szCs w:val="21"/>
              </w:rPr>
            </w:pPr>
            <w:r>
              <w:rPr>
                <w:rFonts w:ascii="宋体" w:hAnsi="宋体"/>
                <w:szCs w:val="21"/>
              </w:rPr>
              <w:t>90</w:t>
            </w:r>
          </w:p>
        </w:tc>
        <w:tc>
          <w:tcPr>
            <w:tcW w:w="1038" w:type="dxa"/>
            <w:vAlign w:val="center"/>
          </w:tcPr>
          <w:p>
            <w:pPr>
              <w:jc w:val="center"/>
              <w:rPr>
                <w:rFonts w:ascii="宋体" w:hAnsi="宋体"/>
                <w:szCs w:val="21"/>
              </w:rPr>
            </w:pPr>
            <w:r>
              <w:rPr>
                <w:rFonts w:ascii="宋体" w:hAnsi="宋体"/>
                <w:szCs w:val="21"/>
              </w:rPr>
              <w:t>100</w:t>
            </w:r>
          </w:p>
        </w:tc>
        <w:tc>
          <w:tcPr>
            <w:tcW w:w="1038" w:type="dxa"/>
            <w:vAlign w:val="center"/>
          </w:tcPr>
          <w:p>
            <w:pPr>
              <w:jc w:val="center"/>
              <w:rPr>
                <w:rFonts w:ascii="宋体" w:hAnsi="宋体"/>
                <w:szCs w:val="21"/>
              </w:rPr>
            </w:pPr>
            <w:r>
              <w:rPr>
                <w:rFonts w:ascii="宋体" w:hAnsi="宋体"/>
                <w:szCs w:val="21"/>
              </w:rPr>
              <w:t>90</w:t>
            </w:r>
          </w:p>
        </w:tc>
        <w:tc>
          <w:tcPr>
            <w:tcW w:w="1038" w:type="dxa"/>
            <w:vAlign w:val="center"/>
          </w:tcPr>
          <w:p>
            <w:pPr>
              <w:jc w:val="center"/>
              <w:rPr>
                <w:rFonts w:ascii="宋体" w:hAnsi="宋体"/>
                <w:szCs w:val="21"/>
              </w:rPr>
            </w:pPr>
            <w:r>
              <w:rPr>
                <w:rFonts w:ascii="宋体" w:hAnsi="宋体"/>
                <w:szCs w:val="21"/>
              </w:rPr>
              <w:t>70</w:t>
            </w:r>
          </w:p>
        </w:tc>
        <w:tc>
          <w:tcPr>
            <w:tcW w:w="1037" w:type="dxa"/>
            <w:vAlign w:val="center"/>
          </w:tcPr>
          <w:p>
            <w:pPr>
              <w:jc w:val="center"/>
              <w:rPr>
                <w:rFonts w:ascii="宋体" w:hAnsi="宋体"/>
                <w:szCs w:val="21"/>
              </w:rPr>
            </w:pPr>
            <w:r>
              <w:rPr>
                <w:rFonts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061" w:type="dxa"/>
            <w:gridSpan w:val="2"/>
            <w:vAlign w:val="center"/>
          </w:tcPr>
          <w:p>
            <w:pPr>
              <w:jc w:val="center"/>
              <w:rPr>
                <w:rFonts w:ascii="宋体" w:hAnsi="宋体" w:cs="宋体"/>
                <w:szCs w:val="21"/>
              </w:rPr>
            </w:pPr>
            <w:r>
              <w:rPr>
                <w:rFonts w:hint="eastAsia" w:ascii="宋体" w:hAnsi="宋体" w:cs="宋体"/>
                <w:szCs w:val="21"/>
              </w:rPr>
              <w:t>观测时间</w:t>
            </w:r>
          </w:p>
        </w:tc>
        <w:tc>
          <w:tcPr>
            <w:tcW w:w="1038" w:type="dxa"/>
            <w:vAlign w:val="center"/>
          </w:tcPr>
          <w:p>
            <w:pPr>
              <w:jc w:val="center"/>
              <w:rPr>
                <w:rFonts w:ascii="宋体" w:hAnsi="宋体"/>
                <w:szCs w:val="21"/>
              </w:rPr>
            </w:pPr>
            <w:r>
              <w:rPr>
                <w:rFonts w:ascii="宋体" w:hAnsi="宋体"/>
                <w:szCs w:val="21"/>
              </w:rPr>
              <w:t>5</w:t>
            </w:r>
          </w:p>
        </w:tc>
        <w:tc>
          <w:tcPr>
            <w:tcW w:w="1038" w:type="dxa"/>
            <w:vAlign w:val="center"/>
          </w:tcPr>
          <w:p>
            <w:pPr>
              <w:jc w:val="center"/>
              <w:rPr>
                <w:rFonts w:ascii="宋体" w:hAnsi="宋体"/>
                <w:szCs w:val="21"/>
              </w:rPr>
            </w:pPr>
            <w:r>
              <w:rPr>
                <w:rFonts w:ascii="宋体" w:hAnsi="宋体"/>
                <w:szCs w:val="21"/>
              </w:rPr>
              <w:t>5</w:t>
            </w:r>
          </w:p>
        </w:tc>
        <w:tc>
          <w:tcPr>
            <w:tcW w:w="1038" w:type="dxa"/>
            <w:vAlign w:val="center"/>
          </w:tcPr>
          <w:p>
            <w:pPr>
              <w:jc w:val="center"/>
              <w:rPr>
                <w:rFonts w:ascii="宋体" w:hAnsi="宋体"/>
                <w:szCs w:val="21"/>
              </w:rPr>
            </w:pPr>
            <w:r>
              <w:rPr>
                <w:rFonts w:ascii="宋体" w:hAnsi="宋体"/>
                <w:szCs w:val="21"/>
              </w:rPr>
              <w:t>10</w:t>
            </w:r>
          </w:p>
        </w:tc>
        <w:tc>
          <w:tcPr>
            <w:tcW w:w="1038" w:type="dxa"/>
            <w:vAlign w:val="center"/>
          </w:tcPr>
          <w:p>
            <w:pPr>
              <w:jc w:val="center"/>
              <w:rPr>
                <w:rFonts w:ascii="宋体" w:hAnsi="宋体"/>
                <w:szCs w:val="21"/>
              </w:rPr>
            </w:pPr>
            <w:r>
              <w:rPr>
                <w:rFonts w:ascii="宋体" w:hAnsi="宋体"/>
                <w:szCs w:val="21"/>
              </w:rPr>
              <w:t>5</w:t>
            </w:r>
          </w:p>
        </w:tc>
        <w:tc>
          <w:tcPr>
            <w:tcW w:w="1038" w:type="dxa"/>
            <w:vAlign w:val="center"/>
          </w:tcPr>
          <w:p>
            <w:pPr>
              <w:jc w:val="center"/>
              <w:rPr>
                <w:rFonts w:ascii="宋体" w:hAnsi="宋体"/>
                <w:szCs w:val="21"/>
              </w:rPr>
            </w:pPr>
            <w:r>
              <w:rPr>
                <w:rFonts w:ascii="宋体" w:hAnsi="宋体"/>
                <w:szCs w:val="21"/>
              </w:rPr>
              <w:t>5</w:t>
            </w:r>
          </w:p>
        </w:tc>
        <w:tc>
          <w:tcPr>
            <w:tcW w:w="1037" w:type="dxa"/>
            <w:vAlign w:val="center"/>
          </w:tcPr>
          <w:p>
            <w:pPr>
              <w:jc w:val="center"/>
              <w:rPr>
                <w:rFonts w:ascii="宋体" w:hAnsi="宋体"/>
                <w:szCs w:val="21"/>
              </w:rPr>
            </w:pPr>
            <w:r>
              <w:rPr>
                <w:rFonts w:ascii="宋体" w:hAnsi="宋体"/>
                <w:szCs w:val="21"/>
              </w:rPr>
              <w:t>5</w:t>
            </w:r>
          </w:p>
        </w:tc>
      </w:tr>
    </w:tbl>
    <w:p>
      <w:pPr>
        <w:autoSpaceDE w:val="0"/>
        <w:autoSpaceDN w:val="0"/>
        <w:adjustRightInd w:val="0"/>
        <w:spacing w:line="360" w:lineRule="auto"/>
        <w:jc w:val="left"/>
        <w:rPr>
          <w:b/>
          <w:sz w:val="24"/>
        </w:rPr>
      </w:pPr>
      <w:r>
        <w:rPr>
          <w:b/>
          <w:sz w:val="24"/>
        </w:rPr>
        <w:t>D</w:t>
      </w:r>
      <w:r>
        <w:rPr>
          <w:b/>
          <w:bCs/>
          <w:sz w:val="24"/>
        </w:rPr>
        <w:t>.2.</w:t>
      </w:r>
      <w:r>
        <w:rPr>
          <w:rFonts w:hint="eastAsia"/>
          <w:b/>
          <w:bCs/>
          <w:sz w:val="24"/>
        </w:rPr>
        <w:t>4</w:t>
      </w:r>
      <w:r>
        <w:rPr>
          <w:b/>
          <w:bCs/>
          <w:sz w:val="24"/>
        </w:rPr>
        <w:t xml:space="preserve">  </w:t>
      </w:r>
      <w:r>
        <w:rPr>
          <w:rFonts w:hint="eastAsia"/>
          <w:bCs/>
          <w:sz w:val="24"/>
        </w:rPr>
        <w:t>当锚杆极限抗拔承载力试验</w:t>
      </w:r>
      <w:r>
        <w:rPr>
          <w:sz w:val="24"/>
        </w:rPr>
        <w:t>采用</w:t>
      </w:r>
      <w:r>
        <w:rPr>
          <w:rFonts w:hint="eastAsia"/>
          <w:sz w:val="24"/>
        </w:rPr>
        <w:t>单循环</w:t>
      </w:r>
      <w:r>
        <w:rPr>
          <w:sz w:val="24"/>
        </w:rPr>
        <w:t>加载法时，其加载分级和锚头位移观测时间应按</w:t>
      </w:r>
      <w:r>
        <w:rPr>
          <w:rFonts w:hint="eastAsia"/>
          <w:sz w:val="24"/>
        </w:rPr>
        <w:t>本规程</w:t>
      </w:r>
      <w:r>
        <w:rPr>
          <w:sz w:val="24"/>
        </w:rPr>
        <w:t>表</w:t>
      </w:r>
      <w:r>
        <w:rPr>
          <w:rFonts w:hint="eastAsia"/>
          <w:bCs/>
          <w:sz w:val="24"/>
        </w:rPr>
        <w:t>D</w:t>
      </w:r>
      <w:r>
        <w:rPr>
          <w:bCs/>
          <w:sz w:val="24"/>
        </w:rPr>
        <w:t>.</w:t>
      </w:r>
      <w:r>
        <w:rPr>
          <w:sz w:val="24"/>
        </w:rPr>
        <w:t>2.4中每一循环的最大荷载及相应的观测时间逐级加载和卸载。</w:t>
      </w:r>
    </w:p>
    <w:p>
      <w:pPr>
        <w:autoSpaceDE w:val="0"/>
        <w:autoSpaceDN w:val="0"/>
        <w:adjustRightInd w:val="0"/>
        <w:spacing w:line="360" w:lineRule="auto"/>
        <w:jc w:val="left"/>
        <w:rPr>
          <w:sz w:val="24"/>
        </w:rPr>
      </w:pPr>
      <w:r>
        <w:rPr>
          <w:b/>
          <w:sz w:val="24"/>
        </w:rPr>
        <w:t>D</w:t>
      </w:r>
      <w:r>
        <w:rPr>
          <w:b/>
          <w:bCs/>
          <w:sz w:val="24"/>
        </w:rPr>
        <w:t xml:space="preserve">.2.5  </w:t>
      </w:r>
      <w:r>
        <w:rPr>
          <w:sz w:val="24"/>
        </w:rPr>
        <w:t>锚杆</w:t>
      </w:r>
      <w:r>
        <w:rPr>
          <w:rFonts w:hint="eastAsia"/>
          <w:sz w:val="24"/>
        </w:rPr>
        <w:t>极限抗拔承载力试</w:t>
      </w:r>
      <w:r>
        <w:rPr>
          <w:rFonts w:hint="eastAsia"/>
          <w:bCs/>
          <w:sz w:val="24"/>
        </w:rPr>
        <w:t>验，其</w:t>
      </w:r>
      <w:r>
        <w:rPr>
          <w:sz w:val="24"/>
        </w:rPr>
        <w:t>锚头位移测读和加卸载应符合下列规定：</w:t>
      </w:r>
    </w:p>
    <w:p>
      <w:pPr>
        <w:autoSpaceDE w:val="0"/>
        <w:autoSpaceDN w:val="0"/>
        <w:adjustRightInd w:val="0"/>
        <w:spacing w:line="360" w:lineRule="auto"/>
        <w:ind w:firstLine="482"/>
        <w:jc w:val="left"/>
        <w:rPr>
          <w:sz w:val="24"/>
        </w:rPr>
      </w:pPr>
      <w:r>
        <w:rPr>
          <w:sz w:val="24"/>
        </w:rPr>
        <w:t>1  初始荷载作用下，应测读锚头位移读数基准值3次，当每间隔5min的读数相同时，方可作为锚头位移基准值；</w:t>
      </w:r>
    </w:p>
    <w:p>
      <w:pPr>
        <w:autoSpaceDE w:val="0"/>
        <w:autoSpaceDN w:val="0"/>
        <w:adjustRightInd w:val="0"/>
        <w:spacing w:line="360" w:lineRule="auto"/>
        <w:ind w:firstLine="482"/>
        <w:jc w:val="left"/>
        <w:rPr>
          <w:sz w:val="24"/>
        </w:rPr>
      </w:pPr>
      <w:r>
        <w:rPr>
          <w:sz w:val="24"/>
        </w:rPr>
        <w:t>2  每级加、卸荷载稳定后，在观测时间内测读锚头位移不应少于3次；</w:t>
      </w:r>
    </w:p>
    <w:p>
      <w:pPr>
        <w:autoSpaceDE w:val="0"/>
        <w:autoSpaceDN w:val="0"/>
        <w:adjustRightInd w:val="0"/>
        <w:spacing w:line="360" w:lineRule="auto"/>
        <w:ind w:firstLine="482"/>
        <w:jc w:val="left"/>
        <w:rPr>
          <w:sz w:val="24"/>
        </w:rPr>
      </w:pPr>
      <w:r>
        <w:rPr>
          <w:sz w:val="24"/>
        </w:rPr>
        <w:t>3  在每级荷载的观测时间内，当锚头位移增量不大于</w:t>
      </w:r>
      <w:r>
        <w:rPr>
          <w:rFonts w:hint="eastAsia"/>
          <w:sz w:val="24"/>
        </w:rPr>
        <w:t>0.1</w:t>
      </w:r>
      <w:r>
        <w:rPr>
          <w:sz w:val="24"/>
        </w:rPr>
        <w:t>mm时，可施加下一级荷载；否则应延长观测时间，</w:t>
      </w:r>
      <w:r>
        <w:rPr>
          <w:rFonts w:hint="eastAsia"/>
          <w:sz w:val="24"/>
        </w:rPr>
        <w:t>并应每隔30min测读锚头位移1次，当连续两次出现1h内的锚头位移增量小于0.1mm时，</w:t>
      </w:r>
      <w:r>
        <w:rPr>
          <w:sz w:val="24"/>
        </w:rPr>
        <w:t>可加下一级荷载；</w:t>
      </w:r>
    </w:p>
    <w:p>
      <w:pPr>
        <w:autoSpaceDE w:val="0"/>
        <w:autoSpaceDN w:val="0"/>
        <w:adjustRightInd w:val="0"/>
        <w:spacing w:line="360" w:lineRule="auto"/>
        <w:ind w:firstLine="482"/>
        <w:jc w:val="left"/>
        <w:rPr>
          <w:sz w:val="24"/>
        </w:rPr>
      </w:pPr>
      <w:r>
        <w:rPr>
          <w:sz w:val="24"/>
        </w:rPr>
        <w:t>4  加至最大试验荷载后，当锚杆尚未出现本规程第</w:t>
      </w:r>
      <w:r>
        <w:rPr>
          <w:rFonts w:hint="eastAsia"/>
          <w:bCs/>
          <w:sz w:val="24"/>
        </w:rPr>
        <w:t>D</w:t>
      </w:r>
      <w:r>
        <w:rPr>
          <w:bCs/>
          <w:sz w:val="24"/>
        </w:rPr>
        <w:t>.2.6</w:t>
      </w:r>
      <w:r>
        <w:rPr>
          <w:sz w:val="24"/>
        </w:rPr>
        <w:t>条规定的终止加载情况，且继续加载后</w:t>
      </w:r>
      <w:r>
        <w:rPr>
          <w:rFonts w:hint="eastAsia"/>
          <w:sz w:val="24"/>
        </w:rPr>
        <w:t>满足本规程第D.1.7条对锚杆杆体应力的要求时</w:t>
      </w:r>
      <w:r>
        <w:rPr>
          <w:sz w:val="24"/>
        </w:rPr>
        <w:t>，宜</w:t>
      </w:r>
      <w:r>
        <w:rPr>
          <w:rFonts w:hint="eastAsia"/>
          <w:sz w:val="24"/>
        </w:rPr>
        <w:t>继续进行下一循环加载，加卸载的各分级荷载增量宜取</w:t>
      </w:r>
      <w:r>
        <w:rPr>
          <w:sz w:val="24"/>
        </w:rPr>
        <w:t>最大试验荷载10％。</w:t>
      </w:r>
    </w:p>
    <w:p>
      <w:pPr>
        <w:autoSpaceDE w:val="0"/>
        <w:autoSpaceDN w:val="0"/>
        <w:adjustRightInd w:val="0"/>
        <w:spacing w:line="360" w:lineRule="auto"/>
        <w:jc w:val="left"/>
        <w:rPr>
          <w:sz w:val="24"/>
        </w:rPr>
      </w:pPr>
      <w:r>
        <w:rPr>
          <w:b/>
          <w:sz w:val="24"/>
        </w:rPr>
        <w:t>D</w:t>
      </w:r>
      <w:r>
        <w:rPr>
          <w:b/>
          <w:bCs/>
          <w:sz w:val="24"/>
        </w:rPr>
        <w:t xml:space="preserve">.2.6  </w:t>
      </w:r>
      <w:r>
        <w:rPr>
          <w:sz w:val="24"/>
        </w:rPr>
        <w:t>锚杆试验中遇下列情况之一时，应终止继续加载：</w:t>
      </w:r>
    </w:p>
    <w:p>
      <w:pPr>
        <w:autoSpaceDE w:val="0"/>
        <w:autoSpaceDN w:val="0"/>
        <w:adjustRightInd w:val="0"/>
        <w:spacing w:line="360" w:lineRule="auto"/>
        <w:ind w:firstLine="470" w:firstLineChars="196"/>
        <w:jc w:val="left"/>
        <w:rPr>
          <w:sz w:val="24"/>
        </w:rPr>
      </w:pPr>
      <w:r>
        <w:rPr>
          <w:bCs/>
          <w:sz w:val="24"/>
        </w:rPr>
        <w:t>1</w:t>
      </w:r>
      <w:r>
        <w:rPr>
          <w:sz w:val="24"/>
        </w:rPr>
        <w:t xml:space="preserve">  </w:t>
      </w:r>
      <w:r>
        <w:rPr>
          <w:rFonts w:hint="eastAsia"/>
          <w:sz w:val="24"/>
        </w:rPr>
        <w:t>从第二级加载开始，后一级荷载产生的单位荷载下的锚头位移增量大于前一级荷载产生的单位荷载下的锚杆位移增量的5倍；</w:t>
      </w:r>
    </w:p>
    <w:p>
      <w:pPr>
        <w:autoSpaceDE w:val="0"/>
        <w:autoSpaceDN w:val="0"/>
        <w:adjustRightInd w:val="0"/>
        <w:spacing w:line="360" w:lineRule="auto"/>
        <w:ind w:firstLine="470" w:firstLineChars="196"/>
        <w:jc w:val="left"/>
        <w:rPr>
          <w:sz w:val="24"/>
        </w:rPr>
      </w:pPr>
      <w:r>
        <w:rPr>
          <w:bCs/>
          <w:sz w:val="24"/>
        </w:rPr>
        <w:t xml:space="preserve">2  </w:t>
      </w:r>
      <w:r>
        <w:rPr>
          <w:sz w:val="24"/>
        </w:rPr>
        <w:t>锚头位移不收敛；</w:t>
      </w:r>
    </w:p>
    <w:p>
      <w:pPr>
        <w:autoSpaceDE w:val="0"/>
        <w:autoSpaceDN w:val="0"/>
        <w:adjustRightInd w:val="0"/>
        <w:spacing w:line="360" w:lineRule="auto"/>
        <w:ind w:firstLine="470" w:firstLineChars="196"/>
        <w:jc w:val="left"/>
        <w:rPr>
          <w:sz w:val="24"/>
        </w:rPr>
      </w:pPr>
      <w:r>
        <w:rPr>
          <w:bCs/>
          <w:sz w:val="24"/>
        </w:rPr>
        <w:t xml:space="preserve">3  </w:t>
      </w:r>
      <w:r>
        <w:rPr>
          <w:sz w:val="24"/>
        </w:rPr>
        <w:t>锚杆杆体破坏</w:t>
      </w:r>
      <w:r>
        <w:rPr>
          <w:rFonts w:hint="eastAsia"/>
          <w:sz w:val="24"/>
        </w:rPr>
        <w:t>。</w:t>
      </w:r>
    </w:p>
    <w:p>
      <w:pPr>
        <w:autoSpaceDE w:val="0"/>
        <w:autoSpaceDN w:val="0"/>
        <w:adjustRightInd w:val="0"/>
        <w:spacing w:line="360" w:lineRule="auto"/>
        <w:jc w:val="left"/>
        <w:rPr>
          <w:sz w:val="24"/>
        </w:rPr>
      </w:pPr>
      <w:r>
        <w:rPr>
          <w:b/>
          <w:sz w:val="24"/>
        </w:rPr>
        <w:t>D</w:t>
      </w:r>
      <w:r>
        <w:rPr>
          <w:b/>
          <w:bCs/>
          <w:sz w:val="24"/>
        </w:rPr>
        <w:t xml:space="preserve">.2.7  </w:t>
      </w:r>
      <w:r>
        <w:rPr>
          <w:rFonts w:hint="eastAsia"/>
          <w:bCs/>
          <w:sz w:val="24"/>
        </w:rPr>
        <w:t>多循环</w:t>
      </w:r>
      <w:r>
        <w:rPr>
          <w:rFonts w:hint="eastAsia"/>
          <w:sz w:val="24"/>
        </w:rPr>
        <w:t>加载试验应</w:t>
      </w:r>
      <w:r>
        <w:rPr>
          <w:sz w:val="24"/>
        </w:rPr>
        <w:t>绘制锚杆的荷载</w:t>
      </w:r>
      <w:r>
        <w:rPr>
          <w:rFonts w:hint="eastAsia"/>
          <w:sz w:val="24"/>
        </w:rPr>
        <w:t>-</w:t>
      </w:r>
      <w:r>
        <w:rPr>
          <w:sz w:val="24"/>
        </w:rPr>
        <w:t>位移(</w:t>
      </w:r>
      <w:r>
        <w:rPr>
          <w:i/>
          <w:iCs/>
          <w:sz w:val="24"/>
        </w:rPr>
        <w:t>Q</w:t>
      </w:r>
      <w:r>
        <w:rPr>
          <w:rFonts w:hint="eastAsia"/>
          <w:sz w:val="24"/>
        </w:rPr>
        <w:t>-</w:t>
      </w:r>
      <w:r>
        <w:rPr>
          <w:i/>
          <w:iCs/>
          <w:sz w:val="24"/>
        </w:rPr>
        <w:t>s</w:t>
      </w:r>
      <w:r>
        <w:rPr>
          <w:sz w:val="24"/>
        </w:rPr>
        <w:t>)曲线、荷载</w:t>
      </w:r>
      <w:r>
        <w:rPr>
          <w:rFonts w:hint="eastAsia"/>
          <w:sz w:val="24"/>
        </w:rPr>
        <w:t>-</w:t>
      </w:r>
      <w:r>
        <w:rPr>
          <w:sz w:val="24"/>
        </w:rPr>
        <w:t>弹性位移(</w:t>
      </w:r>
      <w:r>
        <w:rPr>
          <w:i/>
          <w:iCs/>
          <w:sz w:val="24"/>
        </w:rPr>
        <w:t>Q</w:t>
      </w:r>
      <w:r>
        <w:rPr>
          <w:rFonts w:hint="eastAsia"/>
          <w:sz w:val="24"/>
        </w:rPr>
        <w:t>-</w:t>
      </w:r>
      <w:r>
        <w:rPr>
          <w:i/>
          <w:iCs/>
          <w:sz w:val="24"/>
        </w:rPr>
        <w:t>s</w:t>
      </w:r>
      <w:r>
        <w:rPr>
          <w:iCs/>
          <w:sz w:val="24"/>
          <w:vertAlign w:val="subscript"/>
        </w:rPr>
        <w:t>e</w:t>
      </w:r>
      <w:r>
        <w:rPr>
          <w:sz w:val="24"/>
        </w:rPr>
        <w:t>)曲线和荷载</w:t>
      </w:r>
      <w:r>
        <w:rPr>
          <w:rFonts w:hint="eastAsia"/>
          <w:sz w:val="24"/>
        </w:rPr>
        <w:t>-</w:t>
      </w:r>
      <w:r>
        <w:rPr>
          <w:sz w:val="24"/>
        </w:rPr>
        <w:t>塑性位移(</w:t>
      </w:r>
      <w:r>
        <w:rPr>
          <w:i/>
          <w:iCs/>
          <w:sz w:val="24"/>
        </w:rPr>
        <w:t>Q</w:t>
      </w:r>
      <w:r>
        <w:rPr>
          <w:rFonts w:hint="eastAsia"/>
          <w:sz w:val="24"/>
        </w:rPr>
        <w:t>-</w:t>
      </w:r>
      <w:r>
        <w:rPr>
          <w:i/>
          <w:iCs/>
          <w:sz w:val="24"/>
        </w:rPr>
        <w:t>s</w:t>
      </w:r>
      <w:r>
        <w:rPr>
          <w:iCs/>
          <w:sz w:val="24"/>
          <w:vertAlign w:val="subscript"/>
        </w:rPr>
        <w:t>p</w:t>
      </w:r>
      <w:r>
        <w:rPr>
          <w:sz w:val="24"/>
        </w:rPr>
        <w:t>)曲线。</w:t>
      </w:r>
      <w:r>
        <w:rPr>
          <w:rFonts w:hint="eastAsia"/>
          <w:sz w:val="24"/>
        </w:rPr>
        <w:t>锚杆的位移不应包括试验反力装置的变形。锚杆的位移不应包括试验反力装置的变形。</w:t>
      </w:r>
    </w:p>
    <w:p>
      <w:pPr>
        <w:autoSpaceDE w:val="0"/>
        <w:autoSpaceDN w:val="0"/>
        <w:adjustRightInd w:val="0"/>
        <w:spacing w:line="360" w:lineRule="auto"/>
        <w:jc w:val="left"/>
        <w:rPr>
          <w:sz w:val="24"/>
        </w:rPr>
      </w:pPr>
      <w:r>
        <w:rPr>
          <w:b/>
          <w:sz w:val="24"/>
        </w:rPr>
        <w:t>D</w:t>
      </w:r>
      <w:r>
        <w:rPr>
          <w:b/>
          <w:bCs/>
          <w:sz w:val="24"/>
        </w:rPr>
        <w:t xml:space="preserve">.2.8  </w:t>
      </w:r>
      <w:r>
        <w:rPr>
          <w:sz w:val="24"/>
        </w:rPr>
        <w:t>锚杆极限抗拔承载力</w:t>
      </w:r>
      <w:r>
        <w:rPr>
          <w:rFonts w:hint="eastAsia"/>
          <w:sz w:val="24"/>
        </w:rPr>
        <w:t>标准值</w:t>
      </w:r>
      <w:r>
        <w:rPr>
          <w:sz w:val="24"/>
        </w:rPr>
        <w:t>应按下列方法确定：</w:t>
      </w:r>
    </w:p>
    <w:p>
      <w:pPr>
        <w:autoSpaceDE w:val="0"/>
        <w:autoSpaceDN w:val="0"/>
        <w:adjustRightInd w:val="0"/>
        <w:spacing w:line="360" w:lineRule="auto"/>
        <w:ind w:firstLine="472" w:firstLineChars="196"/>
        <w:jc w:val="left"/>
        <w:rPr>
          <w:sz w:val="24"/>
        </w:rPr>
      </w:pPr>
      <w:r>
        <w:rPr>
          <w:b/>
          <w:bCs/>
          <w:sz w:val="24"/>
        </w:rPr>
        <w:t xml:space="preserve">1  </w:t>
      </w:r>
      <w:r>
        <w:rPr>
          <w:sz w:val="24"/>
        </w:rPr>
        <w:t>锚杆的极限抗拔承载力，</w:t>
      </w:r>
      <w:r>
        <w:rPr>
          <w:rFonts w:hint="eastAsia"/>
          <w:sz w:val="24"/>
        </w:rPr>
        <w:t>在某级试验荷载下出现本规程D.2.6条规定的</w:t>
      </w:r>
      <w:r>
        <w:rPr>
          <w:sz w:val="24"/>
        </w:rPr>
        <w:t>终止</w:t>
      </w:r>
      <w:r>
        <w:rPr>
          <w:rFonts w:hint="eastAsia"/>
          <w:sz w:val="24"/>
        </w:rPr>
        <w:t>继续</w:t>
      </w:r>
      <w:r>
        <w:rPr>
          <w:sz w:val="24"/>
        </w:rPr>
        <w:t>加载</w:t>
      </w:r>
      <w:r>
        <w:rPr>
          <w:rFonts w:hint="eastAsia"/>
          <w:sz w:val="24"/>
        </w:rPr>
        <w:t>情况时，应取终止加载时的前</w:t>
      </w:r>
      <w:r>
        <w:rPr>
          <w:sz w:val="24"/>
        </w:rPr>
        <w:t>一级荷载值；</w:t>
      </w:r>
      <w:r>
        <w:rPr>
          <w:rFonts w:hint="eastAsia"/>
          <w:sz w:val="24"/>
        </w:rPr>
        <w:t>未出现时，应取终止加载时的荷载值；</w:t>
      </w:r>
    </w:p>
    <w:p>
      <w:pPr>
        <w:autoSpaceDE w:val="0"/>
        <w:autoSpaceDN w:val="0"/>
        <w:adjustRightInd w:val="0"/>
        <w:spacing w:line="360" w:lineRule="auto"/>
        <w:ind w:firstLine="472" w:firstLineChars="196"/>
        <w:jc w:val="left"/>
        <w:rPr>
          <w:sz w:val="24"/>
        </w:rPr>
      </w:pPr>
      <w:r>
        <w:rPr>
          <w:b/>
          <w:bCs/>
          <w:sz w:val="24"/>
        </w:rPr>
        <w:t xml:space="preserve">2  </w:t>
      </w:r>
      <w:r>
        <w:rPr>
          <w:sz w:val="24"/>
        </w:rPr>
        <w:t>参加统计的试验锚杆，当极限抗拔承载力的极差不超过其平均值的30%时，锚杆极限抗拔承载力标准值可取平均值；当级差超过其平均值的30%时，宜增加试验锚杆数量，并应根据级差过大的原因，按实际情况重新进行统计后确定锚杆极限抗拔承载力标准值。</w:t>
      </w:r>
    </w:p>
    <w:p>
      <w:pPr>
        <w:spacing w:line="360" w:lineRule="auto"/>
        <w:jc w:val="center"/>
        <w:outlineLvl w:val="2"/>
        <w:rPr>
          <w:b/>
          <w:sz w:val="24"/>
        </w:rPr>
      </w:pPr>
      <w:r>
        <w:rPr>
          <w:rFonts w:hint="eastAsia"/>
          <w:b/>
          <w:sz w:val="24"/>
        </w:rPr>
        <w:t>D</w:t>
      </w:r>
      <w:r>
        <w:rPr>
          <w:b/>
          <w:sz w:val="24"/>
        </w:rPr>
        <w:t>.</w:t>
      </w:r>
      <w:r>
        <w:rPr>
          <w:rFonts w:hint="eastAsia"/>
          <w:b/>
          <w:sz w:val="24"/>
        </w:rPr>
        <w:t>3</w:t>
      </w:r>
      <w:r>
        <w:rPr>
          <w:b/>
          <w:sz w:val="24"/>
        </w:rPr>
        <w:t xml:space="preserve"> </w:t>
      </w:r>
      <w:r>
        <w:rPr>
          <w:rFonts w:hint="eastAsia"/>
          <w:b/>
          <w:sz w:val="24"/>
        </w:rPr>
        <w:t xml:space="preserve"> 蠕变试验</w:t>
      </w:r>
    </w:p>
    <w:p>
      <w:pPr>
        <w:autoSpaceDE w:val="0"/>
        <w:autoSpaceDN w:val="0"/>
        <w:adjustRightInd w:val="0"/>
        <w:spacing w:line="360" w:lineRule="auto"/>
        <w:jc w:val="left"/>
        <w:rPr>
          <w:sz w:val="24"/>
        </w:rPr>
      </w:pPr>
      <w:r>
        <w:rPr>
          <w:b/>
          <w:sz w:val="24"/>
        </w:rPr>
        <w:t>D</w:t>
      </w:r>
      <w:r>
        <w:rPr>
          <w:b/>
          <w:bCs/>
          <w:sz w:val="24"/>
        </w:rPr>
        <w:t xml:space="preserve">.3.1  </w:t>
      </w:r>
      <w:r>
        <w:rPr>
          <w:sz w:val="24"/>
        </w:rPr>
        <w:t>蠕变试验的锚杆数量不应少于三根。</w:t>
      </w:r>
    </w:p>
    <w:p>
      <w:pPr>
        <w:autoSpaceDE w:val="0"/>
        <w:autoSpaceDN w:val="0"/>
        <w:adjustRightInd w:val="0"/>
        <w:spacing w:line="360" w:lineRule="auto"/>
        <w:jc w:val="left"/>
        <w:rPr>
          <w:sz w:val="24"/>
        </w:rPr>
      </w:pPr>
      <w:r>
        <w:rPr>
          <w:b/>
          <w:sz w:val="24"/>
        </w:rPr>
        <w:t>D</w:t>
      </w:r>
      <w:r>
        <w:rPr>
          <w:b/>
          <w:bCs/>
          <w:sz w:val="24"/>
        </w:rPr>
        <w:t xml:space="preserve">.3.2  </w:t>
      </w:r>
      <w:r>
        <w:rPr>
          <w:sz w:val="24"/>
        </w:rPr>
        <w:t>蠕变试验的加载分级和锚头位移观测时间应按表</w:t>
      </w:r>
      <w:r>
        <w:rPr>
          <w:rFonts w:hint="eastAsia" w:eastAsia="SimSun,Bold"/>
          <w:bCs/>
          <w:sz w:val="24"/>
        </w:rPr>
        <w:t>D</w:t>
      </w:r>
      <w:r>
        <w:rPr>
          <w:bCs/>
          <w:sz w:val="24"/>
        </w:rPr>
        <w:t>.3.2</w:t>
      </w:r>
      <w:r>
        <w:rPr>
          <w:sz w:val="24"/>
        </w:rPr>
        <w:t>确定。在观测时间内荷载必须保持恒定。</w:t>
      </w:r>
    </w:p>
    <w:p>
      <w:pPr>
        <w:autoSpaceDE w:val="0"/>
        <w:autoSpaceDN w:val="0"/>
        <w:adjustRightInd w:val="0"/>
        <w:spacing w:line="360" w:lineRule="auto"/>
        <w:jc w:val="left"/>
        <w:rPr>
          <w:sz w:val="24"/>
        </w:rPr>
      </w:pPr>
    </w:p>
    <w:p>
      <w:pPr>
        <w:autoSpaceDE w:val="0"/>
        <w:autoSpaceDN w:val="0"/>
        <w:adjustRightInd w:val="0"/>
        <w:spacing w:line="360" w:lineRule="auto"/>
        <w:jc w:val="left"/>
        <w:rPr>
          <w:sz w:val="24"/>
        </w:rPr>
      </w:pPr>
    </w:p>
    <w:p>
      <w:pPr>
        <w:spacing w:before="120" w:beforeLines="50" w:after="120" w:afterLines="50" w:line="360" w:lineRule="auto"/>
        <w:jc w:val="center"/>
        <w:rPr>
          <w:b/>
          <w:sz w:val="24"/>
        </w:rPr>
      </w:pPr>
      <w:r>
        <w:rPr>
          <w:rFonts w:hint="eastAsia"/>
          <w:b/>
          <w:sz w:val="24"/>
        </w:rPr>
        <w:t>表D</w:t>
      </w:r>
      <w:r>
        <w:rPr>
          <w:b/>
          <w:sz w:val="24"/>
        </w:rPr>
        <w:t>.3.2</w:t>
      </w:r>
      <w:r>
        <w:rPr>
          <w:rFonts w:hint="eastAsia"/>
          <w:b/>
          <w:sz w:val="24"/>
        </w:rPr>
        <w:t xml:space="preserve">  蠕变试验加载分级与锚头位移观测时间</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1378"/>
        <w:gridCol w:w="1380"/>
        <w:gridCol w:w="1378"/>
        <w:gridCol w:w="138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2" w:type="dxa"/>
            <w:vAlign w:val="center"/>
          </w:tcPr>
          <w:p>
            <w:pPr>
              <w:autoSpaceDE w:val="0"/>
              <w:autoSpaceDN w:val="0"/>
              <w:adjustRightInd w:val="0"/>
              <w:jc w:val="center"/>
              <w:rPr>
                <w:szCs w:val="21"/>
              </w:rPr>
            </w:pPr>
            <w:r>
              <w:rPr>
                <w:szCs w:val="21"/>
              </w:rPr>
              <w:t>加载分级</w:t>
            </w:r>
          </w:p>
        </w:tc>
        <w:tc>
          <w:tcPr>
            <w:tcW w:w="1378" w:type="dxa"/>
            <w:vAlign w:val="center"/>
          </w:tcPr>
          <w:p>
            <w:pPr>
              <w:autoSpaceDE w:val="0"/>
              <w:autoSpaceDN w:val="0"/>
              <w:adjustRightInd w:val="0"/>
              <w:jc w:val="center"/>
              <w:rPr>
                <w:szCs w:val="21"/>
                <w:vertAlign w:val="subscript"/>
              </w:rPr>
            </w:pPr>
            <w:r>
              <w:rPr>
                <w:szCs w:val="21"/>
              </w:rPr>
              <w:t>0.50</w:t>
            </w:r>
            <w:r>
              <w:rPr>
                <w:i/>
                <w:szCs w:val="21"/>
              </w:rPr>
              <w:t>N</w:t>
            </w:r>
            <w:r>
              <w:rPr>
                <w:szCs w:val="21"/>
                <w:vertAlign w:val="subscript"/>
              </w:rPr>
              <w:t>k</w:t>
            </w:r>
          </w:p>
        </w:tc>
        <w:tc>
          <w:tcPr>
            <w:tcW w:w="1380" w:type="dxa"/>
            <w:vAlign w:val="center"/>
          </w:tcPr>
          <w:p>
            <w:pPr>
              <w:autoSpaceDE w:val="0"/>
              <w:autoSpaceDN w:val="0"/>
              <w:adjustRightInd w:val="0"/>
              <w:jc w:val="center"/>
              <w:rPr>
                <w:szCs w:val="21"/>
              </w:rPr>
            </w:pPr>
            <w:r>
              <w:rPr>
                <w:szCs w:val="21"/>
              </w:rPr>
              <w:t>0.75</w:t>
            </w:r>
            <w:r>
              <w:rPr>
                <w:i/>
                <w:szCs w:val="21"/>
              </w:rPr>
              <w:t>N</w:t>
            </w:r>
            <w:r>
              <w:rPr>
                <w:szCs w:val="21"/>
                <w:vertAlign w:val="subscript"/>
              </w:rPr>
              <w:t>k</w:t>
            </w:r>
          </w:p>
        </w:tc>
        <w:tc>
          <w:tcPr>
            <w:tcW w:w="1378" w:type="dxa"/>
            <w:vAlign w:val="center"/>
          </w:tcPr>
          <w:p>
            <w:pPr>
              <w:autoSpaceDE w:val="0"/>
              <w:autoSpaceDN w:val="0"/>
              <w:adjustRightInd w:val="0"/>
              <w:jc w:val="center"/>
              <w:rPr>
                <w:szCs w:val="21"/>
              </w:rPr>
            </w:pPr>
            <w:r>
              <w:rPr>
                <w:szCs w:val="21"/>
              </w:rPr>
              <w:t>1.00</w:t>
            </w:r>
            <w:r>
              <w:rPr>
                <w:i/>
                <w:szCs w:val="21"/>
              </w:rPr>
              <w:t>N</w:t>
            </w:r>
            <w:r>
              <w:rPr>
                <w:szCs w:val="21"/>
                <w:vertAlign w:val="subscript"/>
              </w:rPr>
              <w:t>k</w:t>
            </w:r>
          </w:p>
        </w:tc>
        <w:tc>
          <w:tcPr>
            <w:tcW w:w="1380" w:type="dxa"/>
            <w:vAlign w:val="center"/>
          </w:tcPr>
          <w:p>
            <w:pPr>
              <w:autoSpaceDE w:val="0"/>
              <w:autoSpaceDN w:val="0"/>
              <w:adjustRightInd w:val="0"/>
              <w:jc w:val="center"/>
              <w:rPr>
                <w:szCs w:val="21"/>
              </w:rPr>
            </w:pPr>
            <w:r>
              <w:rPr>
                <w:szCs w:val="21"/>
              </w:rPr>
              <w:t>1.20</w:t>
            </w:r>
            <w:r>
              <w:rPr>
                <w:i/>
                <w:szCs w:val="21"/>
              </w:rPr>
              <w:t>N</w:t>
            </w:r>
            <w:r>
              <w:rPr>
                <w:szCs w:val="21"/>
                <w:vertAlign w:val="subscript"/>
              </w:rPr>
              <w:t>k</w:t>
            </w:r>
          </w:p>
        </w:tc>
        <w:tc>
          <w:tcPr>
            <w:tcW w:w="1380" w:type="dxa"/>
            <w:vAlign w:val="center"/>
          </w:tcPr>
          <w:p>
            <w:pPr>
              <w:autoSpaceDE w:val="0"/>
              <w:autoSpaceDN w:val="0"/>
              <w:adjustRightInd w:val="0"/>
              <w:jc w:val="center"/>
              <w:rPr>
                <w:szCs w:val="21"/>
              </w:rPr>
            </w:pPr>
            <w:r>
              <w:rPr>
                <w:szCs w:val="21"/>
              </w:rPr>
              <w:t>1.50</w:t>
            </w:r>
            <w:r>
              <w:rPr>
                <w:i/>
                <w:szCs w:val="21"/>
              </w:rPr>
              <w:t>N</w:t>
            </w:r>
            <w:r>
              <w:rPr>
                <w:szCs w:val="21"/>
                <w:vertAlign w:val="subscript"/>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2" w:type="dxa"/>
            <w:vAlign w:val="center"/>
          </w:tcPr>
          <w:p>
            <w:pPr>
              <w:autoSpaceDE w:val="0"/>
              <w:autoSpaceDN w:val="0"/>
              <w:adjustRightInd w:val="0"/>
              <w:jc w:val="center"/>
              <w:rPr>
                <w:szCs w:val="21"/>
              </w:rPr>
            </w:pPr>
            <w:r>
              <w:rPr>
                <w:szCs w:val="21"/>
              </w:rPr>
              <w:t>观测时间t</w:t>
            </w:r>
            <w:r>
              <w:rPr>
                <w:szCs w:val="21"/>
                <w:vertAlign w:val="subscript"/>
              </w:rPr>
              <w:t>2</w:t>
            </w:r>
            <w:r>
              <w:rPr>
                <w:szCs w:val="21"/>
              </w:rPr>
              <w:t>(min)</w:t>
            </w:r>
          </w:p>
        </w:tc>
        <w:tc>
          <w:tcPr>
            <w:tcW w:w="1378" w:type="dxa"/>
            <w:vAlign w:val="center"/>
          </w:tcPr>
          <w:p>
            <w:pPr>
              <w:autoSpaceDE w:val="0"/>
              <w:autoSpaceDN w:val="0"/>
              <w:adjustRightInd w:val="0"/>
              <w:jc w:val="center"/>
              <w:rPr>
                <w:szCs w:val="21"/>
              </w:rPr>
            </w:pPr>
            <w:r>
              <w:rPr>
                <w:szCs w:val="21"/>
              </w:rPr>
              <w:t>10</w:t>
            </w:r>
          </w:p>
        </w:tc>
        <w:tc>
          <w:tcPr>
            <w:tcW w:w="1380" w:type="dxa"/>
            <w:vAlign w:val="center"/>
          </w:tcPr>
          <w:p>
            <w:pPr>
              <w:autoSpaceDE w:val="0"/>
              <w:autoSpaceDN w:val="0"/>
              <w:adjustRightInd w:val="0"/>
              <w:jc w:val="center"/>
              <w:rPr>
                <w:szCs w:val="21"/>
              </w:rPr>
            </w:pPr>
            <w:r>
              <w:rPr>
                <w:szCs w:val="21"/>
              </w:rPr>
              <w:t>30</w:t>
            </w:r>
          </w:p>
        </w:tc>
        <w:tc>
          <w:tcPr>
            <w:tcW w:w="1378" w:type="dxa"/>
            <w:vAlign w:val="center"/>
          </w:tcPr>
          <w:p>
            <w:pPr>
              <w:autoSpaceDE w:val="0"/>
              <w:autoSpaceDN w:val="0"/>
              <w:adjustRightInd w:val="0"/>
              <w:jc w:val="center"/>
              <w:rPr>
                <w:szCs w:val="21"/>
              </w:rPr>
            </w:pPr>
            <w:r>
              <w:rPr>
                <w:szCs w:val="21"/>
              </w:rPr>
              <w:t>60</w:t>
            </w:r>
          </w:p>
        </w:tc>
        <w:tc>
          <w:tcPr>
            <w:tcW w:w="1380" w:type="dxa"/>
            <w:vAlign w:val="center"/>
          </w:tcPr>
          <w:p>
            <w:pPr>
              <w:autoSpaceDE w:val="0"/>
              <w:autoSpaceDN w:val="0"/>
              <w:adjustRightInd w:val="0"/>
              <w:jc w:val="center"/>
              <w:rPr>
                <w:szCs w:val="21"/>
              </w:rPr>
            </w:pPr>
            <w:r>
              <w:rPr>
                <w:szCs w:val="21"/>
              </w:rPr>
              <w:t>90</w:t>
            </w:r>
          </w:p>
        </w:tc>
        <w:tc>
          <w:tcPr>
            <w:tcW w:w="1380" w:type="dxa"/>
            <w:vAlign w:val="center"/>
          </w:tcPr>
          <w:p>
            <w:pPr>
              <w:autoSpaceDE w:val="0"/>
              <w:autoSpaceDN w:val="0"/>
              <w:adjustRightInd w:val="0"/>
              <w:jc w:val="center"/>
              <w:rPr>
                <w:szCs w:val="21"/>
              </w:rPr>
            </w:pPr>
            <w:r>
              <w:rPr>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2" w:type="dxa"/>
            <w:vAlign w:val="center"/>
          </w:tcPr>
          <w:p>
            <w:pPr>
              <w:autoSpaceDE w:val="0"/>
              <w:autoSpaceDN w:val="0"/>
              <w:adjustRightInd w:val="0"/>
              <w:jc w:val="center"/>
              <w:rPr>
                <w:szCs w:val="21"/>
              </w:rPr>
            </w:pPr>
            <w:r>
              <w:rPr>
                <w:szCs w:val="21"/>
              </w:rPr>
              <w:t>观测时间t</w:t>
            </w:r>
            <w:r>
              <w:rPr>
                <w:szCs w:val="21"/>
                <w:vertAlign w:val="subscript"/>
              </w:rPr>
              <w:t>1</w:t>
            </w:r>
            <w:r>
              <w:rPr>
                <w:szCs w:val="21"/>
              </w:rPr>
              <w:t>(min)</w:t>
            </w:r>
          </w:p>
        </w:tc>
        <w:tc>
          <w:tcPr>
            <w:tcW w:w="1378" w:type="dxa"/>
            <w:vAlign w:val="center"/>
          </w:tcPr>
          <w:p>
            <w:pPr>
              <w:autoSpaceDE w:val="0"/>
              <w:autoSpaceDN w:val="0"/>
              <w:adjustRightInd w:val="0"/>
              <w:jc w:val="center"/>
              <w:rPr>
                <w:szCs w:val="21"/>
              </w:rPr>
            </w:pPr>
            <w:r>
              <w:rPr>
                <w:szCs w:val="21"/>
              </w:rPr>
              <w:t>5</w:t>
            </w:r>
          </w:p>
        </w:tc>
        <w:tc>
          <w:tcPr>
            <w:tcW w:w="1380" w:type="dxa"/>
            <w:vAlign w:val="center"/>
          </w:tcPr>
          <w:p>
            <w:pPr>
              <w:autoSpaceDE w:val="0"/>
              <w:autoSpaceDN w:val="0"/>
              <w:adjustRightInd w:val="0"/>
              <w:jc w:val="center"/>
              <w:rPr>
                <w:szCs w:val="21"/>
              </w:rPr>
            </w:pPr>
            <w:r>
              <w:rPr>
                <w:szCs w:val="21"/>
              </w:rPr>
              <w:t>15</w:t>
            </w:r>
          </w:p>
        </w:tc>
        <w:tc>
          <w:tcPr>
            <w:tcW w:w="1378" w:type="dxa"/>
            <w:vAlign w:val="center"/>
          </w:tcPr>
          <w:p>
            <w:pPr>
              <w:autoSpaceDE w:val="0"/>
              <w:autoSpaceDN w:val="0"/>
              <w:adjustRightInd w:val="0"/>
              <w:jc w:val="center"/>
              <w:rPr>
                <w:szCs w:val="21"/>
              </w:rPr>
            </w:pPr>
            <w:r>
              <w:rPr>
                <w:szCs w:val="21"/>
              </w:rPr>
              <w:t>30</w:t>
            </w:r>
          </w:p>
        </w:tc>
        <w:tc>
          <w:tcPr>
            <w:tcW w:w="1380" w:type="dxa"/>
            <w:vAlign w:val="center"/>
          </w:tcPr>
          <w:p>
            <w:pPr>
              <w:autoSpaceDE w:val="0"/>
              <w:autoSpaceDN w:val="0"/>
              <w:adjustRightInd w:val="0"/>
              <w:jc w:val="center"/>
              <w:rPr>
                <w:szCs w:val="21"/>
              </w:rPr>
            </w:pPr>
            <w:r>
              <w:rPr>
                <w:szCs w:val="21"/>
              </w:rPr>
              <w:t>45</w:t>
            </w:r>
          </w:p>
        </w:tc>
        <w:tc>
          <w:tcPr>
            <w:tcW w:w="1380" w:type="dxa"/>
            <w:vAlign w:val="center"/>
          </w:tcPr>
          <w:p>
            <w:pPr>
              <w:autoSpaceDE w:val="0"/>
              <w:autoSpaceDN w:val="0"/>
              <w:adjustRightInd w:val="0"/>
              <w:jc w:val="center"/>
              <w:rPr>
                <w:szCs w:val="21"/>
              </w:rPr>
            </w:pPr>
            <w:r>
              <w:rPr>
                <w:szCs w:val="21"/>
              </w:rPr>
              <w:t>60</w:t>
            </w:r>
          </w:p>
        </w:tc>
      </w:tr>
    </w:tbl>
    <w:p>
      <w:pPr>
        <w:autoSpaceDE w:val="0"/>
        <w:autoSpaceDN w:val="0"/>
        <w:adjustRightInd w:val="0"/>
        <w:spacing w:line="440" w:lineRule="exact"/>
        <w:jc w:val="left"/>
        <w:rPr>
          <w:rFonts w:ascii="宋体" w:cs="宋体"/>
        </w:rPr>
      </w:pPr>
      <w:r>
        <w:rPr>
          <w:rFonts w:hint="eastAsia" w:ascii="宋体" w:cs="宋体"/>
        </w:rPr>
        <w:t>注：表中</w:t>
      </w:r>
      <w:r>
        <w:rPr>
          <w:i/>
        </w:rPr>
        <w:t>N</w:t>
      </w:r>
      <w:r>
        <w:rPr>
          <w:rFonts w:hint="eastAsia"/>
          <w:vertAlign w:val="subscript"/>
        </w:rPr>
        <w:t>k</w:t>
      </w:r>
      <w:r>
        <w:rPr>
          <w:rFonts w:hint="eastAsia"/>
        </w:rPr>
        <w:t>为锚杆轴向拉力标准值</w:t>
      </w:r>
    </w:p>
    <w:p>
      <w:pPr>
        <w:autoSpaceDE w:val="0"/>
        <w:autoSpaceDN w:val="0"/>
        <w:adjustRightInd w:val="0"/>
        <w:spacing w:line="360" w:lineRule="auto"/>
        <w:jc w:val="left"/>
        <w:rPr>
          <w:sz w:val="24"/>
        </w:rPr>
      </w:pPr>
      <w:r>
        <w:rPr>
          <w:b/>
          <w:sz w:val="24"/>
        </w:rPr>
        <w:t>D</w:t>
      </w:r>
      <w:r>
        <w:rPr>
          <w:b/>
          <w:bCs/>
          <w:sz w:val="24"/>
        </w:rPr>
        <w:t xml:space="preserve">.3.3  </w:t>
      </w:r>
      <w:r>
        <w:rPr>
          <w:sz w:val="24"/>
        </w:rPr>
        <w:t>每级荷载按时间间隔1min、5min、10min、15min、30min、45min、60min、90min、120min记录蠕变量。</w:t>
      </w:r>
    </w:p>
    <w:p>
      <w:pPr>
        <w:autoSpaceDE w:val="0"/>
        <w:autoSpaceDN w:val="0"/>
        <w:adjustRightInd w:val="0"/>
        <w:spacing w:line="360" w:lineRule="auto"/>
        <w:jc w:val="left"/>
        <w:rPr>
          <w:sz w:val="24"/>
        </w:rPr>
      </w:pPr>
      <w:r>
        <w:rPr>
          <w:b/>
          <w:sz w:val="24"/>
        </w:rPr>
        <w:t>D</w:t>
      </w:r>
      <w:r>
        <w:rPr>
          <w:b/>
          <w:bCs/>
          <w:sz w:val="24"/>
        </w:rPr>
        <w:t xml:space="preserve">.3.4  </w:t>
      </w:r>
      <w:r>
        <w:rPr>
          <w:bCs/>
          <w:sz w:val="24"/>
        </w:rPr>
        <w:t>实验结果</w:t>
      </w:r>
      <w:r>
        <w:rPr>
          <w:sz w:val="24"/>
        </w:rPr>
        <w:t>宜按每级荷载在观测时间内不同时段的徐变量列表整体，并应绘制蠕变量～时间对数(</w:t>
      </w:r>
      <w:r>
        <w:rPr>
          <w:i/>
          <w:iCs/>
          <w:sz w:val="24"/>
        </w:rPr>
        <w:t>s</w:t>
      </w:r>
      <w:r>
        <w:rPr>
          <w:sz w:val="24"/>
        </w:rPr>
        <w:t>～lg</w:t>
      </w:r>
      <w:r>
        <w:rPr>
          <w:i/>
          <w:iCs/>
          <w:sz w:val="24"/>
        </w:rPr>
        <w:t>t</w:t>
      </w:r>
      <w:r>
        <w:rPr>
          <w:sz w:val="24"/>
        </w:rPr>
        <w:t>)曲线。蠕变率应按式（</w:t>
      </w:r>
      <w:r>
        <w:rPr>
          <w:rFonts w:hint="eastAsia"/>
          <w:sz w:val="24"/>
        </w:rPr>
        <w:t>D</w:t>
      </w:r>
      <w:r>
        <w:rPr>
          <w:sz w:val="24"/>
        </w:rPr>
        <w:t>.3.4）计算：</w:t>
      </w:r>
    </w:p>
    <w:p>
      <w:pPr>
        <w:pStyle w:val="90"/>
        <w:spacing w:line="360" w:lineRule="auto"/>
        <w:ind w:firstLine="3000" w:firstLineChars="1250"/>
        <w:jc w:val="right"/>
        <w:rPr>
          <w:rFonts w:cs="Times New Roman"/>
          <w:szCs w:val="24"/>
        </w:rPr>
      </w:pPr>
      <w:r>
        <w:rPr>
          <w:rFonts w:cs="Times New Roman"/>
          <w:position w:val="-32"/>
          <w:szCs w:val="24"/>
        </w:rPr>
        <w:object>
          <v:shape id="_x0000_i1120" o:spt="75" type="#_x0000_t75" style="height:37.55pt;width:96.9pt;" o:ole="t" filled="f" coordsize="21600,21600">
            <v:path/>
            <v:fill on="f" focussize="0,0"/>
            <v:stroke/>
            <v:imagedata r:id="rId237" o:title=""/>
            <o:lock v:ext="edit" aspectratio="t"/>
            <w10:wrap type="none"/>
            <w10:anchorlock/>
          </v:shape>
          <o:OLEObject Type="Embed" ProgID="Equation.DSMT4" ShapeID="_x0000_i1120" DrawAspect="Content" ObjectID="_1468075820" r:id="rId236">
            <o:LockedField>false</o:LockedField>
          </o:OLEObject>
        </w:object>
      </w:r>
      <w:r>
        <w:rPr>
          <w:rFonts w:cs="Times New Roman"/>
          <w:szCs w:val="24"/>
        </w:rPr>
        <w:t xml:space="preserve">                       </w:t>
      </w:r>
      <w:r>
        <w:rPr>
          <w:rFonts w:cs="Times New Roman"/>
          <w:color w:val="auto"/>
          <w:szCs w:val="24"/>
        </w:rPr>
        <w:t xml:space="preserve"> (D.3.4)</w:t>
      </w:r>
    </w:p>
    <w:p>
      <w:pPr>
        <w:autoSpaceDE w:val="0"/>
        <w:autoSpaceDN w:val="0"/>
        <w:adjustRightInd w:val="0"/>
        <w:spacing w:line="360" w:lineRule="auto"/>
        <w:jc w:val="left"/>
        <w:rPr>
          <w:sz w:val="24"/>
        </w:rPr>
      </w:pPr>
      <w:r>
        <w:rPr>
          <w:sz w:val="24"/>
        </w:rPr>
        <w:t>式中：</w:t>
      </w:r>
      <w:r>
        <w:rPr>
          <w:i/>
          <w:iCs/>
          <w:sz w:val="24"/>
        </w:rPr>
        <w:t>k</w:t>
      </w:r>
      <w:r>
        <w:rPr>
          <w:sz w:val="24"/>
          <w:vertAlign w:val="subscript"/>
        </w:rPr>
        <w:t>c</w:t>
      </w:r>
      <w:r>
        <w:rPr>
          <w:rFonts w:eastAsia="TimesNewRoman"/>
          <w:sz w:val="24"/>
        </w:rPr>
        <w:t>──</w:t>
      </w:r>
      <w:r>
        <w:rPr>
          <w:sz w:val="24"/>
        </w:rPr>
        <w:t>锚杆蠕变率；</w:t>
      </w:r>
    </w:p>
    <w:p>
      <w:pPr>
        <w:spacing w:line="360" w:lineRule="auto"/>
        <w:ind w:firstLine="600" w:firstLineChars="250"/>
        <w:rPr>
          <w:sz w:val="24"/>
        </w:rPr>
      </w:pPr>
      <w:r>
        <w:rPr>
          <w:i/>
          <w:iCs/>
          <w:sz w:val="24"/>
        </w:rPr>
        <w:t>s</w:t>
      </w:r>
      <w:r>
        <w:rPr>
          <w:sz w:val="24"/>
          <w:vertAlign w:val="subscript"/>
        </w:rPr>
        <w:t>1</w:t>
      </w:r>
      <w:r>
        <w:rPr>
          <w:rFonts w:eastAsia="TimesNewRoman"/>
          <w:sz w:val="24"/>
        </w:rPr>
        <w:t>──</w:t>
      </w:r>
      <w:r>
        <w:rPr>
          <w:i/>
          <w:iCs/>
          <w:sz w:val="24"/>
        </w:rPr>
        <w:t>t</w:t>
      </w:r>
      <w:r>
        <w:rPr>
          <w:sz w:val="24"/>
          <w:vertAlign w:val="subscript"/>
        </w:rPr>
        <w:t>1</w:t>
      </w:r>
      <w:r>
        <w:rPr>
          <w:sz w:val="24"/>
        </w:rPr>
        <w:t xml:space="preserve">时间测得的蠕变量(mm)； </w:t>
      </w:r>
    </w:p>
    <w:p>
      <w:pPr>
        <w:spacing w:line="360" w:lineRule="auto"/>
        <w:ind w:firstLine="600" w:firstLineChars="250"/>
        <w:rPr>
          <w:sz w:val="24"/>
        </w:rPr>
      </w:pPr>
      <w:r>
        <w:rPr>
          <w:i/>
          <w:iCs/>
          <w:sz w:val="24"/>
        </w:rPr>
        <w:t>s</w:t>
      </w:r>
      <w:r>
        <w:rPr>
          <w:sz w:val="24"/>
          <w:vertAlign w:val="subscript"/>
        </w:rPr>
        <w:t>2</w:t>
      </w:r>
      <w:r>
        <w:rPr>
          <w:rFonts w:eastAsia="TimesNewRoman"/>
          <w:sz w:val="24"/>
        </w:rPr>
        <w:t>──</w:t>
      </w:r>
      <w:r>
        <w:rPr>
          <w:i/>
          <w:iCs/>
          <w:sz w:val="24"/>
        </w:rPr>
        <w:t>t</w:t>
      </w:r>
      <w:r>
        <w:rPr>
          <w:sz w:val="24"/>
          <w:vertAlign w:val="subscript"/>
        </w:rPr>
        <w:t>2</w:t>
      </w:r>
      <w:r>
        <w:rPr>
          <w:sz w:val="24"/>
        </w:rPr>
        <w:t>时间测得的蠕变量(mm)。</w:t>
      </w:r>
    </w:p>
    <w:p>
      <w:pPr>
        <w:autoSpaceDE w:val="0"/>
        <w:autoSpaceDN w:val="0"/>
        <w:adjustRightInd w:val="0"/>
        <w:spacing w:line="360" w:lineRule="auto"/>
        <w:jc w:val="left"/>
        <w:rPr>
          <w:sz w:val="24"/>
        </w:rPr>
      </w:pPr>
      <w:r>
        <w:rPr>
          <w:b/>
          <w:sz w:val="24"/>
        </w:rPr>
        <w:t>D</w:t>
      </w:r>
      <w:r>
        <w:rPr>
          <w:b/>
          <w:bCs/>
          <w:sz w:val="24"/>
        </w:rPr>
        <w:t xml:space="preserve">.3.5  </w:t>
      </w:r>
      <w:r>
        <w:rPr>
          <w:sz w:val="24"/>
        </w:rPr>
        <w:t>锚杆</w:t>
      </w:r>
      <w:r>
        <w:rPr>
          <w:rFonts w:hint="eastAsia"/>
          <w:sz w:val="24"/>
        </w:rPr>
        <w:t>的</w:t>
      </w:r>
      <w:r>
        <w:rPr>
          <w:sz w:val="24"/>
        </w:rPr>
        <w:t>蠕变率不</w:t>
      </w:r>
      <w:r>
        <w:rPr>
          <w:rFonts w:hint="eastAsia"/>
          <w:sz w:val="24"/>
        </w:rPr>
        <w:t>应</w:t>
      </w:r>
      <w:r>
        <w:rPr>
          <w:sz w:val="24"/>
        </w:rPr>
        <w:t>大于2.0mm。</w:t>
      </w:r>
    </w:p>
    <w:p>
      <w:pPr>
        <w:spacing w:line="360" w:lineRule="auto"/>
        <w:jc w:val="center"/>
        <w:outlineLvl w:val="2"/>
        <w:rPr>
          <w:b/>
          <w:sz w:val="24"/>
        </w:rPr>
      </w:pPr>
      <w:r>
        <w:rPr>
          <w:b/>
          <w:sz w:val="24"/>
        </w:rPr>
        <w:t>D.4  验收试验</w:t>
      </w:r>
    </w:p>
    <w:p>
      <w:pPr>
        <w:autoSpaceDE w:val="0"/>
        <w:autoSpaceDN w:val="0"/>
        <w:adjustRightInd w:val="0"/>
        <w:spacing w:line="360" w:lineRule="auto"/>
        <w:jc w:val="left"/>
        <w:rPr>
          <w:sz w:val="24"/>
        </w:rPr>
      </w:pPr>
      <w:r>
        <w:rPr>
          <w:b/>
          <w:sz w:val="24"/>
        </w:rPr>
        <w:t>D</w:t>
      </w:r>
      <w:r>
        <w:rPr>
          <w:b/>
          <w:bCs/>
          <w:sz w:val="24"/>
        </w:rPr>
        <w:t xml:space="preserve">.4.1  </w:t>
      </w:r>
      <w:r>
        <w:rPr>
          <w:sz w:val="24"/>
        </w:rPr>
        <w:t>锚杆</w:t>
      </w:r>
      <w:r>
        <w:rPr>
          <w:rFonts w:hint="eastAsia"/>
          <w:sz w:val="24"/>
        </w:rPr>
        <w:t>抗拔承载力检测试验，</w:t>
      </w:r>
      <w:r>
        <w:rPr>
          <w:sz w:val="24"/>
        </w:rPr>
        <w:t>最大试验荷载</w:t>
      </w:r>
      <w:r>
        <w:rPr>
          <w:rFonts w:hint="eastAsia"/>
          <w:sz w:val="24"/>
        </w:rPr>
        <w:t>不</w:t>
      </w:r>
      <w:r>
        <w:rPr>
          <w:sz w:val="24"/>
        </w:rPr>
        <w:t>应</w:t>
      </w:r>
      <w:r>
        <w:rPr>
          <w:rFonts w:hint="eastAsia"/>
          <w:sz w:val="24"/>
        </w:rPr>
        <w:t>小于</w:t>
      </w:r>
      <w:r>
        <w:rPr>
          <w:sz w:val="24"/>
        </w:rPr>
        <w:t>按本规程第</w:t>
      </w:r>
      <w:r>
        <w:rPr>
          <w:rFonts w:hint="eastAsia"/>
          <w:sz w:val="24"/>
        </w:rPr>
        <w:t>5.6.4</w:t>
      </w:r>
      <w:r>
        <w:rPr>
          <w:sz w:val="24"/>
        </w:rPr>
        <w:t>条的规定</w:t>
      </w:r>
      <w:r>
        <w:rPr>
          <w:rFonts w:hint="eastAsia"/>
          <w:sz w:val="24"/>
        </w:rPr>
        <w:t>的抗拔承载力检测值。</w:t>
      </w:r>
    </w:p>
    <w:p>
      <w:pPr>
        <w:autoSpaceDE w:val="0"/>
        <w:autoSpaceDN w:val="0"/>
        <w:adjustRightInd w:val="0"/>
        <w:spacing w:line="360" w:lineRule="auto"/>
        <w:jc w:val="left"/>
        <w:rPr>
          <w:sz w:val="24"/>
        </w:rPr>
      </w:pPr>
      <w:r>
        <w:rPr>
          <w:b/>
          <w:sz w:val="24"/>
        </w:rPr>
        <w:t>D</w:t>
      </w:r>
      <w:r>
        <w:rPr>
          <w:b/>
          <w:bCs/>
          <w:sz w:val="24"/>
        </w:rPr>
        <w:t xml:space="preserve">.4.2  </w:t>
      </w:r>
      <w:r>
        <w:rPr>
          <w:sz w:val="24"/>
        </w:rPr>
        <w:t>锚杆</w:t>
      </w:r>
      <w:r>
        <w:rPr>
          <w:rFonts w:hint="eastAsia"/>
          <w:sz w:val="24"/>
        </w:rPr>
        <w:t>抗拔承载力检测试验</w:t>
      </w:r>
      <w:r>
        <w:rPr>
          <w:sz w:val="24"/>
        </w:rPr>
        <w:t>可采用</w:t>
      </w:r>
      <w:r>
        <w:rPr>
          <w:rFonts w:hint="eastAsia"/>
          <w:sz w:val="24"/>
        </w:rPr>
        <w:t>单循环加载法，其加载分级和锚头位移观测时间</w:t>
      </w:r>
      <w:r>
        <w:rPr>
          <w:sz w:val="24"/>
        </w:rPr>
        <w:t>应按表</w:t>
      </w:r>
      <w:r>
        <w:rPr>
          <w:rFonts w:hint="eastAsia"/>
          <w:sz w:val="24"/>
        </w:rPr>
        <w:t>D</w:t>
      </w:r>
      <w:r>
        <w:rPr>
          <w:sz w:val="24"/>
        </w:rPr>
        <w:t>.4.2确定。</w:t>
      </w:r>
    </w:p>
    <w:p>
      <w:pPr>
        <w:spacing w:before="120" w:beforeLines="50" w:after="120" w:afterLines="50" w:line="360" w:lineRule="auto"/>
        <w:jc w:val="center"/>
        <w:rPr>
          <w:b/>
          <w:sz w:val="24"/>
        </w:rPr>
      </w:pPr>
      <w:r>
        <w:rPr>
          <w:b/>
          <w:sz w:val="24"/>
        </w:rPr>
        <w:t xml:space="preserve">表D.4.2  </w:t>
      </w:r>
      <w:r>
        <w:rPr>
          <w:rFonts w:hint="eastAsia"/>
          <w:b/>
          <w:sz w:val="24"/>
        </w:rPr>
        <w:t>单循环加载试验的</w:t>
      </w:r>
      <w:r>
        <w:rPr>
          <w:b/>
          <w:sz w:val="24"/>
        </w:rPr>
        <w:t>加载分级与锚头位移观测时间</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005"/>
        <w:gridCol w:w="1003"/>
        <w:gridCol w:w="1003"/>
        <w:gridCol w:w="1005"/>
        <w:gridCol w:w="1003"/>
        <w:gridCol w:w="1005"/>
        <w:gridCol w:w="1003"/>
        <w:gridCol w:w="1009"/>
      </w:tblGrid>
      <w:tr>
        <w:tblPrEx>
          <w:tblLayout w:type="fixed"/>
          <w:tblCellMar>
            <w:top w:w="0" w:type="dxa"/>
            <w:left w:w="108" w:type="dxa"/>
            <w:bottom w:w="0" w:type="dxa"/>
            <w:right w:w="108" w:type="dxa"/>
          </w:tblCellMar>
        </w:tblPrEx>
        <w:trPr>
          <w:trHeight w:val="340" w:hRule="atLeast"/>
        </w:trPr>
        <w:tc>
          <w:tcPr>
            <w:tcW w:w="1252" w:type="dxa"/>
            <w:vAlign w:val="center"/>
          </w:tcPr>
          <w:p>
            <w:pPr>
              <w:autoSpaceDE w:val="0"/>
              <w:autoSpaceDN w:val="0"/>
              <w:adjustRightInd w:val="0"/>
              <w:jc w:val="center"/>
              <w:rPr>
                <w:szCs w:val="21"/>
              </w:rPr>
            </w:pPr>
            <w:r>
              <w:rPr>
                <w:szCs w:val="21"/>
              </w:rPr>
              <w:t>最大试验荷载</w:t>
            </w:r>
          </w:p>
        </w:tc>
        <w:tc>
          <w:tcPr>
            <w:tcW w:w="8036" w:type="dxa"/>
            <w:gridSpan w:val="8"/>
            <w:vAlign w:val="center"/>
          </w:tcPr>
          <w:p>
            <w:pPr>
              <w:autoSpaceDE w:val="0"/>
              <w:autoSpaceDN w:val="0"/>
              <w:adjustRightInd w:val="0"/>
              <w:jc w:val="center"/>
              <w:rPr>
                <w:szCs w:val="21"/>
              </w:rPr>
            </w:pPr>
            <w:r>
              <w:rPr>
                <w:szCs w:val="21"/>
              </w:rPr>
              <w:t>分级荷载试验的加载分级与锚头位移观测时间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52" w:type="dxa"/>
            <w:vMerge w:val="restart"/>
            <w:vAlign w:val="center"/>
          </w:tcPr>
          <w:p>
            <w:pPr>
              <w:autoSpaceDE w:val="0"/>
              <w:autoSpaceDN w:val="0"/>
              <w:adjustRightInd w:val="0"/>
              <w:jc w:val="center"/>
              <w:rPr>
                <w:szCs w:val="21"/>
              </w:rPr>
            </w:pPr>
            <w:r>
              <w:rPr>
                <w:szCs w:val="21"/>
              </w:rPr>
              <w:t>1.4</w:t>
            </w:r>
            <w:r>
              <w:rPr>
                <w:i/>
                <w:szCs w:val="21"/>
              </w:rPr>
              <w:t>N</w:t>
            </w:r>
            <w:r>
              <w:rPr>
                <w:szCs w:val="21"/>
                <w:vertAlign w:val="subscript"/>
              </w:rPr>
              <w:t>k</w:t>
            </w:r>
          </w:p>
        </w:tc>
        <w:tc>
          <w:tcPr>
            <w:tcW w:w="1005" w:type="dxa"/>
            <w:vAlign w:val="center"/>
          </w:tcPr>
          <w:p>
            <w:pPr>
              <w:autoSpaceDE w:val="0"/>
              <w:autoSpaceDN w:val="0"/>
              <w:adjustRightInd w:val="0"/>
              <w:jc w:val="center"/>
              <w:rPr>
                <w:szCs w:val="21"/>
              </w:rPr>
            </w:pPr>
            <w:r>
              <w:rPr>
                <w:szCs w:val="21"/>
              </w:rPr>
              <w:t>加载</w:t>
            </w:r>
          </w:p>
        </w:tc>
        <w:tc>
          <w:tcPr>
            <w:tcW w:w="1003" w:type="dxa"/>
            <w:vAlign w:val="center"/>
          </w:tcPr>
          <w:p>
            <w:pPr>
              <w:autoSpaceDE w:val="0"/>
              <w:autoSpaceDN w:val="0"/>
              <w:adjustRightInd w:val="0"/>
              <w:jc w:val="center"/>
              <w:rPr>
                <w:szCs w:val="21"/>
              </w:rPr>
            </w:pPr>
            <w:r>
              <w:rPr>
                <w:szCs w:val="21"/>
              </w:rPr>
              <w:t>10</w:t>
            </w:r>
          </w:p>
        </w:tc>
        <w:tc>
          <w:tcPr>
            <w:tcW w:w="1003" w:type="dxa"/>
            <w:vAlign w:val="center"/>
          </w:tcPr>
          <w:p>
            <w:pPr>
              <w:autoSpaceDE w:val="0"/>
              <w:autoSpaceDN w:val="0"/>
              <w:adjustRightInd w:val="0"/>
              <w:jc w:val="center"/>
              <w:rPr>
                <w:szCs w:val="21"/>
              </w:rPr>
            </w:pPr>
            <w:r>
              <w:rPr>
                <w:szCs w:val="21"/>
              </w:rPr>
              <w:t>40</w:t>
            </w:r>
          </w:p>
        </w:tc>
        <w:tc>
          <w:tcPr>
            <w:tcW w:w="1005" w:type="dxa"/>
            <w:vAlign w:val="center"/>
          </w:tcPr>
          <w:p>
            <w:pPr>
              <w:autoSpaceDE w:val="0"/>
              <w:autoSpaceDN w:val="0"/>
              <w:adjustRightInd w:val="0"/>
              <w:jc w:val="center"/>
              <w:rPr>
                <w:szCs w:val="21"/>
              </w:rPr>
            </w:pPr>
            <w:r>
              <w:rPr>
                <w:szCs w:val="21"/>
              </w:rPr>
              <w:t>60</w:t>
            </w:r>
          </w:p>
        </w:tc>
        <w:tc>
          <w:tcPr>
            <w:tcW w:w="1003" w:type="dxa"/>
            <w:vAlign w:val="center"/>
          </w:tcPr>
          <w:p>
            <w:pPr>
              <w:autoSpaceDE w:val="0"/>
              <w:autoSpaceDN w:val="0"/>
              <w:adjustRightInd w:val="0"/>
              <w:jc w:val="center"/>
              <w:rPr>
                <w:szCs w:val="21"/>
              </w:rPr>
            </w:pPr>
            <w:r>
              <w:rPr>
                <w:szCs w:val="21"/>
              </w:rPr>
              <w:t>80</w:t>
            </w:r>
          </w:p>
        </w:tc>
        <w:tc>
          <w:tcPr>
            <w:tcW w:w="1005" w:type="dxa"/>
            <w:vAlign w:val="center"/>
          </w:tcPr>
          <w:p>
            <w:pPr>
              <w:autoSpaceDE w:val="0"/>
              <w:autoSpaceDN w:val="0"/>
              <w:adjustRightInd w:val="0"/>
              <w:jc w:val="center"/>
              <w:rPr>
                <w:szCs w:val="21"/>
              </w:rPr>
            </w:pPr>
            <w:r>
              <w:rPr>
                <w:szCs w:val="21"/>
              </w:rPr>
              <w:t>100</w:t>
            </w:r>
          </w:p>
        </w:tc>
        <w:tc>
          <w:tcPr>
            <w:tcW w:w="1003" w:type="dxa"/>
            <w:vAlign w:val="center"/>
          </w:tcPr>
          <w:p>
            <w:pPr>
              <w:autoSpaceDE w:val="0"/>
              <w:autoSpaceDN w:val="0"/>
              <w:adjustRightInd w:val="0"/>
              <w:jc w:val="center"/>
              <w:rPr>
                <w:szCs w:val="21"/>
              </w:rPr>
            </w:pPr>
            <w:r>
              <w:rPr>
                <w:szCs w:val="21"/>
              </w:rPr>
              <w:t>120</w:t>
            </w:r>
          </w:p>
        </w:tc>
        <w:tc>
          <w:tcPr>
            <w:tcW w:w="1009" w:type="dxa"/>
            <w:vAlign w:val="center"/>
          </w:tcPr>
          <w:p>
            <w:pPr>
              <w:autoSpaceDE w:val="0"/>
              <w:autoSpaceDN w:val="0"/>
              <w:adjustRightInd w:val="0"/>
              <w:jc w:val="center"/>
              <w:rPr>
                <w:szCs w:val="21"/>
              </w:rPr>
            </w:pPr>
            <w:r>
              <w:rPr>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52" w:type="dxa"/>
            <w:vMerge w:val="continue"/>
            <w:vAlign w:val="center"/>
          </w:tcPr>
          <w:p>
            <w:pPr>
              <w:autoSpaceDE w:val="0"/>
              <w:autoSpaceDN w:val="0"/>
              <w:adjustRightInd w:val="0"/>
              <w:jc w:val="center"/>
              <w:rPr>
                <w:szCs w:val="21"/>
              </w:rPr>
            </w:pPr>
          </w:p>
        </w:tc>
        <w:tc>
          <w:tcPr>
            <w:tcW w:w="1005" w:type="dxa"/>
            <w:vAlign w:val="center"/>
          </w:tcPr>
          <w:p>
            <w:pPr>
              <w:autoSpaceDE w:val="0"/>
              <w:autoSpaceDN w:val="0"/>
              <w:adjustRightInd w:val="0"/>
              <w:jc w:val="center"/>
              <w:rPr>
                <w:szCs w:val="21"/>
              </w:rPr>
            </w:pPr>
            <w:r>
              <w:rPr>
                <w:szCs w:val="21"/>
              </w:rPr>
              <w:t>卸载</w:t>
            </w:r>
          </w:p>
        </w:tc>
        <w:tc>
          <w:tcPr>
            <w:tcW w:w="1003" w:type="dxa"/>
            <w:vAlign w:val="center"/>
          </w:tcPr>
          <w:p>
            <w:pPr>
              <w:autoSpaceDE w:val="0"/>
              <w:autoSpaceDN w:val="0"/>
              <w:adjustRightInd w:val="0"/>
              <w:jc w:val="center"/>
              <w:rPr>
                <w:szCs w:val="21"/>
              </w:rPr>
            </w:pPr>
            <w:r>
              <w:rPr>
                <w:szCs w:val="21"/>
              </w:rPr>
              <w:t>10</w:t>
            </w:r>
          </w:p>
        </w:tc>
        <w:tc>
          <w:tcPr>
            <w:tcW w:w="1003" w:type="dxa"/>
            <w:vAlign w:val="center"/>
          </w:tcPr>
          <w:p>
            <w:pPr>
              <w:autoSpaceDE w:val="0"/>
              <w:autoSpaceDN w:val="0"/>
              <w:adjustRightInd w:val="0"/>
              <w:jc w:val="center"/>
              <w:rPr>
                <w:szCs w:val="21"/>
              </w:rPr>
            </w:pPr>
            <w:r>
              <w:rPr>
                <w:szCs w:val="21"/>
              </w:rPr>
              <w:t>30</w:t>
            </w:r>
          </w:p>
        </w:tc>
        <w:tc>
          <w:tcPr>
            <w:tcW w:w="1005" w:type="dxa"/>
            <w:vAlign w:val="center"/>
          </w:tcPr>
          <w:p>
            <w:pPr>
              <w:autoSpaceDE w:val="0"/>
              <w:autoSpaceDN w:val="0"/>
              <w:adjustRightInd w:val="0"/>
              <w:jc w:val="center"/>
              <w:rPr>
                <w:szCs w:val="21"/>
              </w:rPr>
            </w:pPr>
            <w:r>
              <w:rPr>
                <w:szCs w:val="21"/>
              </w:rPr>
              <w:t>50</w:t>
            </w:r>
          </w:p>
        </w:tc>
        <w:tc>
          <w:tcPr>
            <w:tcW w:w="1003" w:type="dxa"/>
            <w:vAlign w:val="center"/>
          </w:tcPr>
          <w:p>
            <w:pPr>
              <w:autoSpaceDE w:val="0"/>
              <w:autoSpaceDN w:val="0"/>
              <w:adjustRightInd w:val="0"/>
              <w:jc w:val="center"/>
              <w:rPr>
                <w:szCs w:val="21"/>
              </w:rPr>
            </w:pPr>
            <w:r>
              <w:rPr>
                <w:szCs w:val="21"/>
              </w:rPr>
              <w:t>80</w:t>
            </w:r>
          </w:p>
        </w:tc>
        <w:tc>
          <w:tcPr>
            <w:tcW w:w="1005" w:type="dxa"/>
            <w:vAlign w:val="center"/>
          </w:tcPr>
          <w:p>
            <w:pPr>
              <w:autoSpaceDE w:val="0"/>
              <w:autoSpaceDN w:val="0"/>
              <w:adjustRightInd w:val="0"/>
              <w:jc w:val="center"/>
              <w:rPr>
                <w:szCs w:val="21"/>
              </w:rPr>
            </w:pPr>
            <w:r>
              <w:rPr>
                <w:szCs w:val="21"/>
              </w:rPr>
              <w:t>100</w:t>
            </w:r>
          </w:p>
        </w:tc>
        <w:tc>
          <w:tcPr>
            <w:tcW w:w="1003" w:type="dxa"/>
            <w:vAlign w:val="center"/>
          </w:tcPr>
          <w:p>
            <w:pPr>
              <w:autoSpaceDE w:val="0"/>
              <w:autoSpaceDN w:val="0"/>
              <w:adjustRightInd w:val="0"/>
              <w:jc w:val="center"/>
              <w:rPr>
                <w:szCs w:val="21"/>
              </w:rPr>
            </w:pPr>
            <w:r>
              <w:rPr>
                <w:szCs w:val="21"/>
              </w:rPr>
              <w:t>120</w:t>
            </w:r>
          </w:p>
        </w:tc>
        <w:tc>
          <w:tcPr>
            <w:tcW w:w="1009" w:type="dxa"/>
            <w:vAlign w:val="center"/>
          </w:tcPr>
          <w:p>
            <w:pPr>
              <w:autoSpaceDE w:val="0"/>
              <w:autoSpaceDN w:val="0"/>
              <w:adjustRightIn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52" w:type="dxa"/>
            <w:vMerge w:val="restart"/>
            <w:vAlign w:val="center"/>
          </w:tcPr>
          <w:p>
            <w:pPr>
              <w:autoSpaceDE w:val="0"/>
              <w:autoSpaceDN w:val="0"/>
              <w:adjustRightInd w:val="0"/>
              <w:jc w:val="center"/>
              <w:rPr>
                <w:szCs w:val="21"/>
              </w:rPr>
            </w:pPr>
            <w:r>
              <w:rPr>
                <w:szCs w:val="21"/>
              </w:rPr>
              <w:t>1.3</w:t>
            </w:r>
            <w:r>
              <w:rPr>
                <w:i/>
                <w:szCs w:val="21"/>
              </w:rPr>
              <w:t>N</w:t>
            </w:r>
            <w:r>
              <w:rPr>
                <w:szCs w:val="21"/>
                <w:vertAlign w:val="subscript"/>
              </w:rPr>
              <w:t>k</w:t>
            </w:r>
          </w:p>
        </w:tc>
        <w:tc>
          <w:tcPr>
            <w:tcW w:w="1005" w:type="dxa"/>
            <w:vAlign w:val="center"/>
          </w:tcPr>
          <w:p>
            <w:pPr>
              <w:autoSpaceDE w:val="0"/>
              <w:autoSpaceDN w:val="0"/>
              <w:adjustRightInd w:val="0"/>
              <w:jc w:val="center"/>
              <w:rPr>
                <w:szCs w:val="21"/>
              </w:rPr>
            </w:pPr>
            <w:r>
              <w:rPr>
                <w:szCs w:val="21"/>
              </w:rPr>
              <w:t>加载</w:t>
            </w:r>
          </w:p>
        </w:tc>
        <w:tc>
          <w:tcPr>
            <w:tcW w:w="1003" w:type="dxa"/>
            <w:vAlign w:val="center"/>
          </w:tcPr>
          <w:p>
            <w:pPr>
              <w:autoSpaceDE w:val="0"/>
              <w:autoSpaceDN w:val="0"/>
              <w:adjustRightInd w:val="0"/>
              <w:jc w:val="center"/>
              <w:rPr>
                <w:szCs w:val="21"/>
              </w:rPr>
            </w:pPr>
            <w:r>
              <w:rPr>
                <w:szCs w:val="21"/>
              </w:rPr>
              <w:t>10</w:t>
            </w:r>
          </w:p>
        </w:tc>
        <w:tc>
          <w:tcPr>
            <w:tcW w:w="1003" w:type="dxa"/>
            <w:vAlign w:val="center"/>
          </w:tcPr>
          <w:p>
            <w:pPr>
              <w:autoSpaceDE w:val="0"/>
              <w:autoSpaceDN w:val="0"/>
              <w:adjustRightInd w:val="0"/>
              <w:jc w:val="center"/>
              <w:rPr>
                <w:szCs w:val="21"/>
              </w:rPr>
            </w:pPr>
            <w:r>
              <w:rPr>
                <w:szCs w:val="21"/>
              </w:rPr>
              <w:t>40</w:t>
            </w:r>
          </w:p>
        </w:tc>
        <w:tc>
          <w:tcPr>
            <w:tcW w:w="1005" w:type="dxa"/>
            <w:vAlign w:val="center"/>
          </w:tcPr>
          <w:p>
            <w:pPr>
              <w:autoSpaceDE w:val="0"/>
              <w:autoSpaceDN w:val="0"/>
              <w:adjustRightInd w:val="0"/>
              <w:jc w:val="center"/>
              <w:rPr>
                <w:szCs w:val="21"/>
              </w:rPr>
            </w:pPr>
            <w:r>
              <w:rPr>
                <w:szCs w:val="21"/>
              </w:rPr>
              <w:t>60</w:t>
            </w:r>
          </w:p>
        </w:tc>
        <w:tc>
          <w:tcPr>
            <w:tcW w:w="1003" w:type="dxa"/>
            <w:vAlign w:val="center"/>
          </w:tcPr>
          <w:p>
            <w:pPr>
              <w:autoSpaceDE w:val="0"/>
              <w:autoSpaceDN w:val="0"/>
              <w:adjustRightInd w:val="0"/>
              <w:jc w:val="center"/>
              <w:rPr>
                <w:szCs w:val="21"/>
              </w:rPr>
            </w:pPr>
            <w:r>
              <w:rPr>
                <w:szCs w:val="21"/>
              </w:rPr>
              <w:t>80</w:t>
            </w:r>
          </w:p>
        </w:tc>
        <w:tc>
          <w:tcPr>
            <w:tcW w:w="1005" w:type="dxa"/>
            <w:vAlign w:val="center"/>
          </w:tcPr>
          <w:p>
            <w:pPr>
              <w:autoSpaceDE w:val="0"/>
              <w:autoSpaceDN w:val="0"/>
              <w:adjustRightInd w:val="0"/>
              <w:jc w:val="center"/>
              <w:rPr>
                <w:szCs w:val="21"/>
              </w:rPr>
            </w:pPr>
            <w:r>
              <w:rPr>
                <w:szCs w:val="21"/>
              </w:rPr>
              <w:t>100</w:t>
            </w:r>
          </w:p>
        </w:tc>
        <w:tc>
          <w:tcPr>
            <w:tcW w:w="1003" w:type="dxa"/>
            <w:vAlign w:val="center"/>
          </w:tcPr>
          <w:p>
            <w:pPr>
              <w:autoSpaceDE w:val="0"/>
              <w:autoSpaceDN w:val="0"/>
              <w:adjustRightInd w:val="0"/>
              <w:jc w:val="center"/>
              <w:rPr>
                <w:szCs w:val="21"/>
              </w:rPr>
            </w:pPr>
            <w:r>
              <w:rPr>
                <w:szCs w:val="21"/>
              </w:rPr>
              <w:t>120</w:t>
            </w:r>
          </w:p>
        </w:tc>
        <w:tc>
          <w:tcPr>
            <w:tcW w:w="1009" w:type="dxa"/>
            <w:vAlign w:val="center"/>
          </w:tcPr>
          <w:p>
            <w:pPr>
              <w:autoSpaceDE w:val="0"/>
              <w:autoSpaceDN w:val="0"/>
              <w:adjustRightInd w:val="0"/>
              <w:jc w:val="center"/>
              <w:rPr>
                <w:szCs w:val="21"/>
              </w:rPr>
            </w:pPr>
            <w:r>
              <w:rPr>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52" w:type="dxa"/>
            <w:vMerge w:val="continue"/>
            <w:vAlign w:val="center"/>
          </w:tcPr>
          <w:p>
            <w:pPr>
              <w:autoSpaceDE w:val="0"/>
              <w:autoSpaceDN w:val="0"/>
              <w:adjustRightInd w:val="0"/>
              <w:jc w:val="center"/>
              <w:rPr>
                <w:szCs w:val="21"/>
              </w:rPr>
            </w:pPr>
          </w:p>
        </w:tc>
        <w:tc>
          <w:tcPr>
            <w:tcW w:w="1005" w:type="dxa"/>
            <w:vAlign w:val="center"/>
          </w:tcPr>
          <w:p>
            <w:pPr>
              <w:autoSpaceDE w:val="0"/>
              <w:autoSpaceDN w:val="0"/>
              <w:adjustRightInd w:val="0"/>
              <w:jc w:val="center"/>
              <w:rPr>
                <w:szCs w:val="21"/>
              </w:rPr>
            </w:pPr>
            <w:r>
              <w:rPr>
                <w:szCs w:val="21"/>
              </w:rPr>
              <w:t>卸载</w:t>
            </w:r>
          </w:p>
        </w:tc>
        <w:tc>
          <w:tcPr>
            <w:tcW w:w="1003" w:type="dxa"/>
            <w:vAlign w:val="center"/>
          </w:tcPr>
          <w:p>
            <w:pPr>
              <w:autoSpaceDE w:val="0"/>
              <w:autoSpaceDN w:val="0"/>
              <w:adjustRightInd w:val="0"/>
              <w:jc w:val="center"/>
              <w:rPr>
                <w:szCs w:val="21"/>
              </w:rPr>
            </w:pPr>
            <w:r>
              <w:rPr>
                <w:szCs w:val="21"/>
              </w:rPr>
              <w:t>10</w:t>
            </w:r>
          </w:p>
        </w:tc>
        <w:tc>
          <w:tcPr>
            <w:tcW w:w="1003" w:type="dxa"/>
            <w:vAlign w:val="center"/>
          </w:tcPr>
          <w:p>
            <w:pPr>
              <w:autoSpaceDE w:val="0"/>
              <w:autoSpaceDN w:val="0"/>
              <w:adjustRightInd w:val="0"/>
              <w:jc w:val="center"/>
              <w:rPr>
                <w:szCs w:val="21"/>
              </w:rPr>
            </w:pPr>
            <w:r>
              <w:rPr>
                <w:szCs w:val="21"/>
              </w:rPr>
              <w:t>30</w:t>
            </w:r>
          </w:p>
        </w:tc>
        <w:tc>
          <w:tcPr>
            <w:tcW w:w="1005" w:type="dxa"/>
            <w:vAlign w:val="center"/>
          </w:tcPr>
          <w:p>
            <w:pPr>
              <w:autoSpaceDE w:val="0"/>
              <w:autoSpaceDN w:val="0"/>
              <w:adjustRightInd w:val="0"/>
              <w:jc w:val="center"/>
              <w:rPr>
                <w:szCs w:val="21"/>
              </w:rPr>
            </w:pPr>
            <w:r>
              <w:rPr>
                <w:szCs w:val="21"/>
              </w:rPr>
              <w:t>50</w:t>
            </w:r>
          </w:p>
        </w:tc>
        <w:tc>
          <w:tcPr>
            <w:tcW w:w="1003" w:type="dxa"/>
            <w:vAlign w:val="center"/>
          </w:tcPr>
          <w:p>
            <w:pPr>
              <w:autoSpaceDE w:val="0"/>
              <w:autoSpaceDN w:val="0"/>
              <w:adjustRightInd w:val="0"/>
              <w:jc w:val="center"/>
              <w:rPr>
                <w:szCs w:val="21"/>
              </w:rPr>
            </w:pPr>
            <w:r>
              <w:rPr>
                <w:szCs w:val="21"/>
              </w:rPr>
              <w:t>80</w:t>
            </w:r>
          </w:p>
        </w:tc>
        <w:tc>
          <w:tcPr>
            <w:tcW w:w="1005" w:type="dxa"/>
            <w:vAlign w:val="center"/>
          </w:tcPr>
          <w:p>
            <w:pPr>
              <w:autoSpaceDE w:val="0"/>
              <w:autoSpaceDN w:val="0"/>
              <w:adjustRightInd w:val="0"/>
              <w:jc w:val="center"/>
              <w:rPr>
                <w:szCs w:val="21"/>
              </w:rPr>
            </w:pPr>
            <w:r>
              <w:rPr>
                <w:szCs w:val="21"/>
              </w:rPr>
              <w:t>100</w:t>
            </w:r>
          </w:p>
        </w:tc>
        <w:tc>
          <w:tcPr>
            <w:tcW w:w="1003" w:type="dxa"/>
            <w:vAlign w:val="center"/>
          </w:tcPr>
          <w:p>
            <w:pPr>
              <w:autoSpaceDE w:val="0"/>
              <w:autoSpaceDN w:val="0"/>
              <w:adjustRightInd w:val="0"/>
              <w:jc w:val="center"/>
              <w:rPr>
                <w:szCs w:val="21"/>
              </w:rPr>
            </w:pPr>
            <w:r>
              <w:rPr>
                <w:szCs w:val="21"/>
              </w:rPr>
              <w:t>120</w:t>
            </w:r>
          </w:p>
        </w:tc>
        <w:tc>
          <w:tcPr>
            <w:tcW w:w="1009" w:type="dxa"/>
            <w:vAlign w:val="center"/>
          </w:tcPr>
          <w:p>
            <w:pPr>
              <w:autoSpaceDE w:val="0"/>
              <w:autoSpaceDN w:val="0"/>
              <w:adjustRightIn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52" w:type="dxa"/>
            <w:vMerge w:val="restart"/>
            <w:vAlign w:val="center"/>
          </w:tcPr>
          <w:p>
            <w:pPr>
              <w:autoSpaceDE w:val="0"/>
              <w:autoSpaceDN w:val="0"/>
              <w:adjustRightInd w:val="0"/>
              <w:jc w:val="center"/>
              <w:rPr>
                <w:szCs w:val="21"/>
              </w:rPr>
            </w:pPr>
            <w:r>
              <w:rPr>
                <w:szCs w:val="21"/>
              </w:rPr>
              <w:t>1.2</w:t>
            </w:r>
            <w:r>
              <w:rPr>
                <w:i/>
                <w:szCs w:val="21"/>
              </w:rPr>
              <w:t>N</w:t>
            </w:r>
            <w:r>
              <w:rPr>
                <w:szCs w:val="21"/>
                <w:vertAlign w:val="subscript"/>
              </w:rPr>
              <w:t>k</w:t>
            </w:r>
          </w:p>
        </w:tc>
        <w:tc>
          <w:tcPr>
            <w:tcW w:w="1005" w:type="dxa"/>
            <w:vAlign w:val="center"/>
          </w:tcPr>
          <w:p>
            <w:pPr>
              <w:autoSpaceDE w:val="0"/>
              <w:autoSpaceDN w:val="0"/>
              <w:adjustRightInd w:val="0"/>
              <w:jc w:val="center"/>
              <w:rPr>
                <w:szCs w:val="21"/>
              </w:rPr>
            </w:pPr>
            <w:r>
              <w:rPr>
                <w:szCs w:val="21"/>
              </w:rPr>
              <w:t>加载</w:t>
            </w:r>
          </w:p>
        </w:tc>
        <w:tc>
          <w:tcPr>
            <w:tcW w:w="1003" w:type="dxa"/>
            <w:vAlign w:val="center"/>
          </w:tcPr>
          <w:p>
            <w:pPr>
              <w:autoSpaceDE w:val="0"/>
              <w:autoSpaceDN w:val="0"/>
              <w:adjustRightInd w:val="0"/>
              <w:jc w:val="center"/>
              <w:rPr>
                <w:szCs w:val="21"/>
              </w:rPr>
            </w:pPr>
            <w:r>
              <w:rPr>
                <w:szCs w:val="21"/>
              </w:rPr>
              <w:t>10</w:t>
            </w:r>
          </w:p>
        </w:tc>
        <w:tc>
          <w:tcPr>
            <w:tcW w:w="1003" w:type="dxa"/>
            <w:vAlign w:val="center"/>
          </w:tcPr>
          <w:p>
            <w:pPr>
              <w:autoSpaceDE w:val="0"/>
              <w:autoSpaceDN w:val="0"/>
              <w:adjustRightInd w:val="0"/>
              <w:jc w:val="center"/>
              <w:rPr>
                <w:szCs w:val="21"/>
              </w:rPr>
            </w:pPr>
            <w:r>
              <w:rPr>
                <w:szCs w:val="21"/>
              </w:rPr>
              <w:t>40</w:t>
            </w:r>
          </w:p>
        </w:tc>
        <w:tc>
          <w:tcPr>
            <w:tcW w:w="1005" w:type="dxa"/>
            <w:vAlign w:val="center"/>
          </w:tcPr>
          <w:p>
            <w:pPr>
              <w:autoSpaceDE w:val="0"/>
              <w:autoSpaceDN w:val="0"/>
              <w:adjustRightInd w:val="0"/>
              <w:jc w:val="center"/>
              <w:rPr>
                <w:szCs w:val="21"/>
              </w:rPr>
            </w:pPr>
            <w:r>
              <w:rPr>
                <w:szCs w:val="21"/>
              </w:rPr>
              <w:t>60</w:t>
            </w:r>
          </w:p>
        </w:tc>
        <w:tc>
          <w:tcPr>
            <w:tcW w:w="1003" w:type="dxa"/>
            <w:vAlign w:val="center"/>
          </w:tcPr>
          <w:p>
            <w:pPr>
              <w:autoSpaceDE w:val="0"/>
              <w:autoSpaceDN w:val="0"/>
              <w:adjustRightInd w:val="0"/>
              <w:jc w:val="center"/>
              <w:rPr>
                <w:szCs w:val="21"/>
              </w:rPr>
            </w:pPr>
            <w:r>
              <w:rPr>
                <w:szCs w:val="21"/>
              </w:rPr>
              <w:t>80</w:t>
            </w:r>
          </w:p>
        </w:tc>
        <w:tc>
          <w:tcPr>
            <w:tcW w:w="1005" w:type="dxa"/>
            <w:vAlign w:val="center"/>
          </w:tcPr>
          <w:p>
            <w:pPr>
              <w:autoSpaceDE w:val="0"/>
              <w:autoSpaceDN w:val="0"/>
              <w:adjustRightInd w:val="0"/>
              <w:jc w:val="center"/>
              <w:rPr>
                <w:szCs w:val="21"/>
              </w:rPr>
            </w:pPr>
            <w:r>
              <w:rPr>
                <w:szCs w:val="21"/>
              </w:rPr>
              <w:t>100</w:t>
            </w:r>
          </w:p>
        </w:tc>
        <w:tc>
          <w:tcPr>
            <w:tcW w:w="1003" w:type="dxa"/>
            <w:vAlign w:val="center"/>
          </w:tcPr>
          <w:p>
            <w:pPr>
              <w:autoSpaceDE w:val="0"/>
              <w:autoSpaceDN w:val="0"/>
              <w:adjustRightInd w:val="0"/>
              <w:jc w:val="center"/>
              <w:rPr>
                <w:szCs w:val="21"/>
              </w:rPr>
            </w:pPr>
            <w:r>
              <w:rPr>
                <w:szCs w:val="21"/>
              </w:rPr>
              <w:t>—</w:t>
            </w:r>
          </w:p>
        </w:tc>
        <w:tc>
          <w:tcPr>
            <w:tcW w:w="1009" w:type="dxa"/>
            <w:vAlign w:val="center"/>
          </w:tcPr>
          <w:p>
            <w:pPr>
              <w:autoSpaceDE w:val="0"/>
              <w:autoSpaceDN w:val="0"/>
              <w:adjustRightInd w:val="0"/>
              <w:jc w:val="center"/>
              <w:rPr>
                <w:szCs w:val="21"/>
              </w:rPr>
            </w:pPr>
            <w:r>
              <w:rPr>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52" w:type="dxa"/>
            <w:vMerge w:val="continue"/>
            <w:vAlign w:val="center"/>
          </w:tcPr>
          <w:p>
            <w:pPr>
              <w:autoSpaceDE w:val="0"/>
              <w:autoSpaceDN w:val="0"/>
              <w:adjustRightInd w:val="0"/>
              <w:jc w:val="center"/>
              <w:rPr>
                <w:szCs w:val="21"/>
              </w:rPr>
            </w:pPr>
          </w:p>
        </w:tc>
        <w:tc>
          <w:tcPr>
            <w:tcW w:w="1005" w:type="dxa"/>
            <w:vAlign w:val="center"/>
          </w:tcPr>
          <w:p>
            <w:pPr>
              <w:autoSpaceDE w:val="0"/>
              <w:autoSpaceDN w:val="0"/>
              <w:adjustRightInd w:val="0"/>
              <w:jc w:val="center"/>
              <w:rPr>
                <w:szCs w:val="21"/>
              </w:rPr>
            </w:pPr>
            <w:r>
              <w:rPr>
                <w:szCs w:val="21"/>
              </w:rPr>
              <w:t>卸载</w:t>
            </w:r>
          </w:p>
        </w:tc>
        <w:tc>
          <w:tcPr>
            <w:tcW w:w="1003" w:type="dxa"/>
            <w:vAlign w:val="center"/>
          </w:tcPr>
          <w:p>
            <w:pPr>
              <w:autoSpaceDE w:val="0"/>
              <w:autoSpaceDN w:val="0"/>
              <w:adjustRightInd w:val="0"/>
              <w:jc w:val="center"/>
              <w:rPr>
                <w:szCs w:val="21"/>
              </w:rPr>
            </w:pPr>
            <w:r>
              <w:rPr>
                <w:szCs w:val="21"/>
              </w:rPr>
              <w:t>10</w:t>
            </w:r>
          </w:p>
        </w:tc>
        <w:tc>
          <w:tcPr>
            <w:tcW w:w="1003" w:type="dxa"/>
            <w:vAlign w:val="center"/>
          </w:tcPr>
          <w:p>
            <w:pPr>
              <w:autoSpaceDE w:val="0"/>
              <w:autoSpaceDN w:val="0"/>
              <w:adjustRightInd w:val="0"/>
              <w:jc w:val="center"/>
              <w:rPr>
                <w:szCs w:val="21"/>
              </w:rPr>
            </w:pPr>
            <w:r>
              <w:rPr>
                <w:szCs w:val="21"/>
              </w:rPr>
              <w:t>30</w:t>
            </w:r>
          </w:p>
        </w:tc>
        <w:tc>
          <w:tcPr>
            <w:tcW w:w="1005" w:type="dxa"/>
            <w:vAlign w:val="center"/>
          </w:tcPr>
          <w:p>
            <w:pPr>
              <w:autoSpaceDE w:val="0"/>
              <w:autoSpaceDN w:val="0"/>
              <w:adjustRightInd w:val="0"/>
              <w:jc w:val="center"/>
              <w:rPr>
                <w:szCs w:val="21"/>
              </w:rPr>
            </w:pPr>
            <w:r>
              <w:rPr>
                <w:szCs w:val="21"/>
              </w:rPr>
              <w:t>50</w:t>
            </w:r>
          </w:p>
        </w:tc>
        <w:tc>
          <w:tcPr>
            <w:tcW w:w="1003" w:type="dxa"/>
            <w:vAlign w:val="center"/>
          </w:tcPr>
          <w:p>
            <w:pPr>
              <w:autoSpaceDE w:val="0"/>
              <w:autoSpaceDN w:val="0"/>
              <w:adjustRightInd w:val="0"/>
              <w:jc w:val="center"/>
              <w:rPr>
                <w:szCs w:val="21"/>
              </w:rPr>
            </w:pPr>
            <w:r>
              <w:rPr>
                <w:szCs w:val="21"/>
              </w:rPr>
              <w:t>80</w:t>
            </w:r>
          </w:p>
        </w:tc>
        <w:tc>
          <w:tcPr>
            <w:tcW w:w="1005" w:type="dxa"/>
            <w:vAlign w:val="center"/>
          </w:tcPr>
          <w:p>
            <w:pPr>
              <w:autoSpaceDE w:val="0"/>
              <w:autoSpaceDN w:val="0"/>
              <w:adjustRightInd w:val="0"/>
              <w:jc w:val="center"/>
              <w:rPr>
                <w:szCs w:val="21"/>
              </w:rPr>
            </w:pPr>
            <w:r>
              <w:rPr>
                <w:szCs w:val="21"/>
              </w:rPr>
              <w:t>100</w:t>
            </w:r>
          </w:p>
        </w:tc>
        <w:tc>
          <w:tcPr>
            <w:tcW w:w="1003" w:type="dxa"/>
            <w:vAlign w:val="center"/>
          </w:tcPr>
          <w:p>
            <w:pPr>
              <w:autoSpaceDE w:val="0"/>
              <w:autoSpaceDN w:val="0"/>
              <w:adjustRightInd w:val="0"/>
              <w:jc w:val="center"/>
              <w:rPr>
                <w:szCs w:val="21"/>
              </w:rPr>
            </w:pPr>
            <w:r>
              <w:rPr>
                <w:szCs w:val="21"/>
              </w:rPr>
              <w:t>—</w:t>
            </w:r>
          </w:p>
        </w:tc>
        <w:tc>
          <w:tcPr>
            <w:tcW w:w="1009" w:type="dxa"/>
            <w:vAlign w:val="center"/>
          </w:tcPr>
          <w:p>
            <w:pPr>
              <w:autoSpaceDE w:val="0"/>
              <w:autoSpaceDN w:val="0"/>
              <w:adjustRightIn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257" w:type="dxa"/>
            <w:gridSpan w:val="2"/>
            <w:vAlign w:val="center"/>
          </w:tcPr>
          <w:p>
            <w:pPr>
              <w:autoSpaceDE w:val="0"/>
              <w:autoSpaceDN w:val="0"/>
              <w:adjustRightInd w:val="0"/>
              <w:jc w:val="center"/>
              <w:rPr>
                <w:szCs w:val="21"/>
              </w:rPr>
            </w:pPr>
            <w:r>
              <w:rPr>
                <w:szCs w:val="21"/>
              </w:rPr>
              <w:t>观测时间 (min)</w:t>
            </w:r>
          </w:p>
        </w:tc>
        <w:tc>
          <w:tcPr>
            <w:tcW w:w="1003" w:type="dxa"/>
            <w:vAlign w:val="center"/>
          </w:tcPr>
          <w:p>
            <w:pPr>
              <w:autoSpaceDE w:val="0"/>
              <w:autoSpaceDN w:val="0"/>
              <w:adjustRightInd w:val="0"/>
              <w:jc w:val="center"/>
              <w:rPr>
                <w:szCs w:val="21"/>
              </w:rPr>
            </w:pPr>
            <w:r>
              <w:rPr>
                <w:szCs w:val="21"/>
              </w:rPr>
              <w:t>5</w:t>
            </w:r>
          </w:p>
        </w:tc>
        <w:tc>
          <w:tcPr>
            <w:tcW w:w="1003" w:type="dxa"/>
            <w:vAlign w:val="center"/>
          </w:tcPr>
          <w:p>
            <w:pPr>
              <w:autoSpaceDE w:val="0"/>
              <w:autoSpaceDN w:val="0"/>
              <w:adjustRightInd w:val="0"/>
              <w:jc w:val="center"/>
              <w:rPr>
                <w:szCs w:val="21"/>
              </w:rPr>
            </w:pPr>
            <w:r>
              <w:rPr>
                <w:szCs w:val="21"/>
              </w:rPr>
              <w:t>5</w:t>
            </w:r>
          </w:p>
        </w:tc>
        <w:tc>
          <w:tcPr>
            <w:tcW w:w="1005" w:type="dxa"/>
            <w:vAlign w:val="center"/>
          </w:tcPr>
          <w:p>
            <w:pPr>
              <w:autoSpaceDE w:val="0"/>
              <w:autoSpaceDN w:val="0"/>
              <w:adjustRightInd w:val="0"/>
              <w:jc w:val="center"/>
              <w:rPr>
                <w:szCs w:val="21"/>
              </w:rPr>
            </w:pPr>
            <w:r>
              <w:rPr>
                <w:szCs w:val="21"/>
              </w:rPr>
              <w:t>5</w:t>
            </w:r>
          </w:p>
        </w:tc>
        <w:tc>
          <w:tcPr>
            <w:tcW w:w="1003" w:type="dxa"/>
            <w:vAlign w:val="center"/>
          </w:tcPr>
          <w:p>
            <w:pPr>
              <w:autoSpaceDE w:val="0"/>
              <w:autoSpaceDN w:val="0"/>
              <w:adjustRightInd w:val="0"/>
              <w:jc w:val="center"/>
              <w:rPr>
                <w:szCs w:val="21"/>
              </w:rPr>
            </w:pPr>
            <w:r>
              <w:rPr>
                <w:szCs w:val="21"/>
              </w:rPr>
              <w:t>5</w:t>
            </w:r>
          </w:p>
        </w:tc>
        <w:tc>
          <w:tcPr>
            <w:tcW w:w="1005" w:type="dxa"/>
            <w:vAlign w:val="center"/>
          </w:tcPr>
          <w:p>
            <w:pPr>
              <w:autoSpaceDE w:val="0"/>
              <w:autoSpaceDN w:val="0"/>
              <w:adjustRightInd w:val="0"/>
              <w:jc w:val="center"/>
              <w:rPr>
                <w:szCs w:val="21"/>
              </w:rPr>
            </w:pPr>
            <w:r>
              <w:rPr>
                <w:szCs w:val="21"/>
              </w:rPr>
              <w:t>5</w:t>
            </w:r>
          </w:p>
        </w:tc>
        <w:tc>
          <w:tcPr>
            <w:tcW w:w="1003" w:type="dxa"/>
            <w:vAlign w:val="center"/>
          </w:tcPr>
          <w:p>
            <w:pPr>
              <w:autoSpaceDE w:val="0"/>
              <w:autoSpaceDN w:val="0"/>
              <w:adjustRightInd w:val="0"/>
              <w:jc w:val="center"/>
              <w:rPr>
                <w:szCs w:val="21"/>
              </w:rPr>
            </w:pPr>
            <w:r>
              <w:rPr>
                <w:szCs w:val="21"/>
              </w:rPr>
              <w:t>5</w:t>
            </w:r>
          </w:p>
        </w:tc>
        <w:tc>
          <w:tcPr>
            <w:tcW w:w="1009" w:type="dxa"/>
            <w:vAlign w:val="center"/>
          </w:tcPr>
          <w:p>
            <w:pPr>
              <w:autoSpaceDE w:val="0"/>
              <w:autoSpaceDN w:val="0"/>
              <w:adjustRightInd w:val="0"/>
              <w:jc w:val="center"/>
              <w:rPr>
                <w:szCs w:val="21"/>
              </w:rPr>
            </w:pPr>
            <w:r>
              <w:rPr>
                <w:szCs w:val="21"/>
              </w:rPr>
              <w:t>10</w:t>
            </w:r>
          </w:p>
        </w:tc>
      </w:tr>
    </w:tbl>
    <w:p>
      <w:pPr>
        <w:autoSpaceDE w:val="0"/>
        <w:autoSpaceDN w:val="0"/>
        <w:adjustRightInd w:val="0"/>
        <w:spacing w:line="360" w:lineRule="auto"/>
        <w:jc w:val="left"/>
        <w:rPr>
          <w:sz w:val="24"/>
        </w:rPr>
      </w:pPr>
      <w:r>
        <w:rPr>
          <w:b/>
          <w:sz w:val="24"/>
        </w:rPr>
        <w:t>D</w:t>
      </w:r>
      <w:r>
        <w:rPr>
          <w:b/>
          <w:bCs/>
          <w:sz w:val="24"/>
        </w:rPr>
        <w:t xml:space="preserve">.4.3  </w:t>
      </w:r>
      <w:r>
        <w:rPr>
          <w:sz w:val="24"/>
        </w:rPr>
        <w:t>锚杆</w:t>
      </w:r>
      <w:r>
        <w:rPr>
          <w:rFonts w:hint="eastAsia"/>
          <w:sz w:val="24"/>
        </w:rPr>
        <w:t>抗拔承载力检测试验，其</w:t>
      </w:r>
      <w:r>
        <w:rPr>
          <w:sz w:val="24"/>
        </w:rPr>
        <w:t>锚头位移测读和加</w:t>
      </w:r>
      <w:r>
        <w:rPr>
          <w:rFonts w:hint="eastAsia"/>
          <w:sz w:val="24"/>
        </w:rPr>
        <w:t>、</w:t>
      </w:r>
      <w:r>
        <w:rPr>
          <w:sz w:val="24"/>
        </w:rPr>
        <w:t>卸载应符合下列规定：</w:t>
      </w:r>
    </w:p>
    <w:p>
      <w:pPr>
        <w:autoSpaceDE w:val="0"/>
        <w:autoSpaceDN w:val="0"/>
        <w:adjustRightInd w:val="0"/>
        <w:spacing w:line="360" w:lineRule="auto"/>
        <w:ind w:firstLine="482" w:firstLineChars="200"/>
        <w:jc w:val="left"/>
        <w:rPr>
          <w:sz w:val="24"/>
        </w:rPr>
      </w:pPr>
      <w:r>
        <w:rPr>
          <w:b/>
          <w:sz w:val="24"/>
        </w:rPr>
        <w:t xml:space="preserve">1 </w:t>
      </w:r>
      <w:r>
        <w:rPr>
          <w:sz w:val="24"/>
        </w:rPr>
        <w:t xml:space="preserve"> 初始荷载作用下，应测读锚头位移读数基准值3次，当每间隔5min的读数相同时，方可作为锚头位移基准值；</w:t>
      </w:r>
    </w:p>
    <w:p>
      <w:pPr>
        <w:autoSpaceDE w:val="0"/>
        <w:autoSpaceDN w:val="0"/>
        <w:adjustRightInd w:val="0"/>
        <w:spacing w:line="360" w:lineRule="auto"/>
        <w:ind w:firstLine="482" w:firstLineChars="200"/>
        <w:jc w:val="left"/>
        <w:rPr>
          <w:sz w:val="24"/>
        </w:rPr>
      </w:pPr>
      <w:r>
        <w:rPr>
          <w:b/>
          <w:sz w:val="24"/>
        </w:rPr>
        <w:t>2</w:t>
      </w:r>
      <w:r>
        <w:rPr>
          <w:sz w:val="24"/>
        </w:rPr>
        <w:t xml:space="preserve">  每级加、卸荷载稳定后，在观测时间内测读锚头位移不应少于3次； </w:t>
      </w:r>
    </w:p>
    <w:p>
      <w:pPr>
        <w:autoSpaceDE w:val="0"/>
        <w:autoSpaceDN w:val="0"/>
        <w:adjustRightInd w:val="0"/>
        <w:spacing w:line="360" w:lineRule="auto"/>
        <w:ind w:firstLine="482" w:firstLineChars="200"/>
        <w:jc w:val="left"/>
        <w:rPr>
          <w:sz w:val="24"/>
        </w:rPr>
      </w:pPr>
      <w:r>
        <w:rPr>
          <w:b/>
          <w:sz w:val="24"/>
        </w:rPr>
        <w:t>3</w:t>
      </w:r>
      <w:r>
        <w:rPr>
          <w:sz w:val="24"/>
        </w:rPr>
        <w:t xml:space="preserve">  </w:t>
      </w:r>
      <w:r>
        <w:rPr>
          <w:rFonts w:hint="eastAsia"/>
          <w:sz w:val="24"/>
        </w:rPr>
        <w:t>当</w:t>
      </w:r>
      <w:r>
        <w:rPr>
          <w:sz w:val="24"/>
        </w:rPr>
        <w:t>观测时间内锚头位移增量不大于1.0mm时，可视为位移</w:t>
      </w:r>
      <w:r>
        <w:rPr>
          <w:rFonts w:hint="eastAsia"/>
          <w:sz w:val="24"/>
        </w:rPr>
        <w:t>收敛</w:t>
      </w:r>
      <w:r>
        <w:rPr>
          <w:sz w:val="24"/>
        </w:rPr>
        <w:t>；</w:t>
      </w:r>
      <w:r>
        <w:rPr>
          <w:rFonts w:hint="eastAsia"/>
          <w:sz w:val="24"/>
        </w:rPr>
        <w:t>否则</w:t>
      </w:r>
      <w:r>
        <w:rPr>
          <w:sz w:val="24"/>
        </w:rPr>
        <w:t>观测时间应延长</w:t>
      </w:r>
      <w:r>
        <w:rPr>
          <w:rFonts w:hint="eastAsia"/>
          <w:sz w:val="24"/>
        </w:rPr>
        <w:t>至</w:t>
      </w:r>
      <w:r>
        <w:rPr>
          <w:sz w:val="24"/>
        </w:rPr>
        <w:t>60min，并</w:t>
      </w:r>
      <w:r>
        <w:rPr>
          <w:rFonts w:hint="eastAsia"/>
          <w:sz w:val="24"/>
        </w:rPr>
        <w:t>应</w:t>
      </w:r>
      <w:r>
        <w:rPr>
          <w:sz w:val="24"/>
        </w:rPr>
        <w:t>每隔10min测读锚头位移1次；当该60min内锚头位移增量小于2.0mm时，可视为锚头位移收敛</w:t>
      </w:r>
      <w:r>
        <w:rPr>
          <w:rFonts w:hint="eastAsia"/>
          <w:sz w:val="24"/>
        </w:rPr>
        <w:t>，否则视为不收敛。</w:t>
      </w:r>
    </w:p>
    <w:p>
      <w:pPr>
        <w:autoSpaceDE w:val="0"/>
        <w:autoSpaceDN w:val="0"/>
        <w:adjustRightInd w:val="0"/>
        <w:spacing w:line="360" w:lineRule="auto"/>
        <w:jc w:val="left"/>
        <w:rPr>
          <w:sz w:val="24"/>
        </w:rPr>
      </w:pPr>
      <w:r>
        <w:rPr>
          <w:b/>
          <w:sz w:val="24"/>
        </w:rPr>
        <w:t>D</w:t>
      </w:r>
      <w:r>
        <w:rPr>
          <w:b/>
          <w:bCs/>
          <w:sz w:val="24"/>
        </w:rPr>
        <w:t xml:space="preserve">.4.4  </w:t>
      </w:r>
      <w:r>
        <w:rPr>
          <w:rFonts w:hint="eastAsia"/>
          <w:bCs/>
          <w:sz w:val="24"/>
        </w:rPr>
        <w:t>锚杆试验中遇本规程第D.2.6条规定的终止继续加载情况时，应终止继续加载。</w:t>
      </w:r>
    </w:p>
    <w:p>
      <w:pPr>
        <w:autoSpaceDE w:val="0"/>
        <w:autoSpaceDN w:val="0"/>
        <w:adjustRightInd w:val="0"/>
        <w:spacing w:line="360" w:lineRule="auto"/>
        <w:jc w:val="left"/>
        <w:rPr>
          <w:sz w:val="24"/>
        </w:rPr>
      </w:pPr>
      <w:r>
        <w:rPr>
          <w:b/>
          <w:sz w:val="24"/>
        </w:rPr>
        <w:t>D</w:t>
      </w:r>
      <w:r>
        <w:rPr>
          <w:b/>
          <w:bCs/>
          <w:sz w:val="24"/>
        </w:rPr>
        <w:t>.4.</w:t>
      </w:r>
      <w:r>
        <w:rPr>
          <w:rFonts w:hint="eastAsia"/>
          <w:b/>
          <w:bCs/>
          <w:sz w:val="24"/>
        </w:rPr>
        <w:t>5</w:t>
      </w:r>
      <w:r>
        <w:rPr>
          <w:b/>
          <w:bCs/>
          <w:sz w:val="24"/>
        </w:rPr>
        <w:t xml:space="preserve">  </w:t>
      </w:r>
      <w:r>
        <w:rPr>
          <w:rFonts w:hint="eastAsia"/>
          <w:sz w:val="24"/>
        </w:rPr>
        <w:t>单循环加载试验应</w:t>
      </w:r>
      <w:r>
        <w:rPr>
          <w:sz w:val="24"/>
        </w:rPr>
        <w:t>绘制锚杆的荷载</w:t>
      </w:r>
      <w:r>
        <w:rPr>
          <w:rFonts w:hint="eastAsia"/>
          <w:sz w:val="24"/>
        </w:rPr>
        <w:t>-</w:t>
      </w:r>
      <w:r>
        <w:rPr>
          <w:sz w:val="24"/>
        </w:rPr>
        <w:t>位移(</w:t>
      </w:r>
      <w:r>
        <w:rPr>
          <w:i/>
          <w:iCs/>
          <w:sz w:val="24"/>
        </w:rPr>
        <w:t>Q</w:t>
      </w:r>
      <w:r>
        <w:rPr>
          <w:rFonts w:hint="eastAsia"/>
          <w:sz w:val="24"/>
        </w:rPr>
        <w:t>-</w:t>
      </w:r>
      <w:r>
        <w:rPr>
          <w:i/>
          <w:iCs/>
          <w:sz w:val="24"/>
        </w:rPr>
        <w:t>s</w:t>
      </w:r>
      <w:r>
        <w:rPr>
          <w:sz w:val="24"/>
        </w:rPr>
        <w:t>)曲线。</w:t>
      </w:r>
      <w:r>
        <w:rPr>
          <w:rFonts w:hint="eastAsia"/>
          <w:sz w:val="24"/>
        </w:rPr>
        <w:t>锚杆的位移不应包括试验反力装置的变形。</w:t>
      </w:r>
    </w:p>
    <w:p>
      <w:pPr>
        <w:autoSpaceDE w:val="0"/>
        <w:autoSpaceDN w:val="0"/>
        <w:adjustRightInd w:val="0"/>
        <w:spacing w:line="360" w:lineRule="auto"/>
        <w:jc w:val="left"/>
        <w:rPr>
          <w:sz w:val="24"/>
        </w:rPr>
      </w:pPr>
      <w:r>
        <w:rPr>
          <w:b/>
          <w:sz w:val="24"/>
        </w:rPr>
        <w:t>D</w:t>
      </w:r>
      <w:r>
        <w:rPr>
          <w:b/>
          <w:bCs/>
          <w:sz w:val="24"/>
        </w:rPr>
        <w:t>.4.</w:t>
      </w:r>
      <w:r>
        <w:rPr>
          <w:rFonts w:hint="eastAsia"/>
          <w:b/>
          <w:bCs/>
          <w:sz w:val="24"/>
        </w:rPr>
        <w:t>6</w:t>
      </w:r>
      <w:r>
        <w:rPr>
          <w:b/>
          <w:bCs/>
          <w:sz w:val="24"/>
        </w:rPr>
        <w:t xml:space="preserve">  </w:t>
      </w:r>
      <w:r>
        <w:rPr>
          <w:sz w:val="24"/>
        </w:rPr>
        <w:t>验收试验中，符合下列要求的锚杆应判定合格：</w:t>
      </w:r>
    </w:p>
    <w:p>
      <w:pPr>
        <w:autoSpaceDE w:val="0"/>
        <w:autoSpaceDN w:val="0"/>
        <w:adjustRightInd w:val="0"/>
        <w:spacing w:line="360" w:lineRule="auto"/>
        <w:ind w:firstLine="472" w:firstLineChars="196"/>
        <w:jc w:val="left"/>
        <w:rPr>
          <w:sz w:val="24"/>
        </w:rPr>
      </w:pPr>
      <w:r>
        <w:rPr>
          <w:b/>
          <w:bCs/>
          <w:sz w:val="24"/>
        </w:rPr>
        <w:t xml:space="preserve">1  </w:t>
      </w:r>
      <w:r>
        <w:rPr>
          <w:sz w:val="24"/>
        </w:rPr>
        <w:t>在</w:t>
      </w:r>
      <w:r>
        <w:rPr>
          <w:rFonts w:hint="eastAsia"/>
          <w:sz w:val="24"/>
        </w:rPr>
        <w:t>抗拔承载力检测值</w:t>
      </w:r>
      <w:r>
        <w:rPr>
          <w:sz w:val="24"/>
        </w:rPr>
        <w:t>下，锚杆位移稳定或收敛；</w:t>
      </w:r>
    </w:p>
    <w:p>
      <w:pPr>
        <w:autoSpaceDE w:val="0"/>
        <w:autoSpaceDN w:val="0"/>
        <w:adjustRightInd w:val="0"/>
        <w:spacing w:line="360" w:lineRule="auto"/>
        <w:ind w:firstLine="472" w:firstLineChars="196"/>
        <w:jc w:val="left"/>
        <w:rPr>
          <w:sz w:val="24"/>
        </w:rPr>
      </w:pPr>
      <w:r>
        <w:rPr>
          <w:b/>
          <w:bCs/>
          <w:sz w:val="24"/>
        </w:rPr>
        <w:t xml:space="preserve">2  </w:t>
      </w:r>
      <w:r>
        <w:rPr>
          <w:sz w:val="24"/>
        </w:rPr>
        <w:t>在</w:t>
      </w:r>
      <w:r>
        <w:rPr>
          <w:rFonts w:hint="eastAsia"/>
          <w:sz w:val="24"/>
        </w:rPr>
        <w:t>抗拔承载力检测值</w:t>
      </w:r>
      <w:r>
        <w:rPr>
          <w:sz w:val="24"/>
        </w:rPr>
        <w:t>下测得的</w:t>
      </w:r>
      <w:r>
        <w:rPr>
          <w:rFonts w:hint="eastAsia"/>
          <w:sz w:val="24"/>
        </w:rPr>
        <w:t>弹性位</w:t>
      </w:r>
      <w:r>
        <w:rPr>
          <w:sz w:val="24"/>
        </w:rPr>
        <w:t>移</w:t>
      </w:r>
      <w:r>
        <w:rPr>
          <w:rFonts w:hint="eastAsia"/>
          <w:sz w:val="24"/>
        </w:rPr>
        <w:t>总</w:t>
      </w:r>
      <w:r>
        <w:rPr>
          <w:sz w:val="24"/>
        </w:rPr>
        <w:t>量应大于</w:t>
      </w:r>
      <w:r>
        <w:rPr>
          <w:rFonts w:hint="eastAsia"/>
          <w:sz w:val="24"/>
        </w:rPr>
        <w:t>杆体</w:t>
      </w:r>
      <w:r>
        <w:rPr>
          <w:sz w:val="24"/>
        </w:rPr>
        <w:t>自由段长度理论弹性伸长量的80%。</w:t>
      </w:r>
    </w:p>
    <w:p>
      <w:pPr>
        <w:spacing w:line="360" w:lineRule="auto"/>
        <w:rPr>
          <w:b/>
          <w:sz w:val="24"/>
        </w:rPr>
      </w:pPr>
    </w:p>
    <w:p>
      <w:pPr>
        <w:spacing w:line="360" w:lineRule="auto"/>
        <w:rPr>
          <w:b/>
          <w:sz w:val="24"/>
        </w:rPr>
      </w:pPr>
    </w:p>
    <w:p>
      <w:pPr>
        <w:spacing w:line="360" w:lineRule="auto"/>
        <w:rPr>
          <w:b/>
          <w:sz w:val="24"/>
        </w:rPr>
        <w:sectPr>
          <w:pgSz w:w="11907" w:h="16840"/>
          <w:pgMar w:top="1418" w:right="1134" w:bottom="1134" w:left="1701" w:header="851" w:footer="851" w:gutter="0"/>
          <w:cols w:space="720" w:num="1"/>
          <w:docGrid w:linePitch="312" w:charSpace="0"/>
        </w:sectPr>
      </w:pPr>
    </w:p>
    <w:p>
      <w:pPr>
        <w:spacing w:line="360" w:lineRule="auto"/>
        <w:jc w:val="center"/>
        <w:outlineLvl w:val="0"/>
        <w:rPr>
          <w:b/>
          <w:sz w:val="24"/>
        </w:rPr>
      </w:pPr>
      <w:bookmarkStart w:id="149" w:name="_Toc87018298"/>
      <w:bookmarkStart w:id="150" w:name="_Toc87018367"/>
      <w:r>
        <w:rPr>
          <w:b/>
          <w:sz w:val="24"/>
        </w:rPr>
        <w:t>附录</w:t>
      </w:r>
      <w:r>
        <w:rPr>
          <w:rFonts w:hint="eastAsia"/>
          <w:b/>
          <w:sz w:val="24"/>
        </w:rPr>
        <w:t>E  土钉抗拔</w:t>
      </w:r>
      <w:r>
        <w:rPr>
          <w:b/>
          <w:sz w:val="24"/>
        </w:rPr>
        <w:t>试验</w:t>
      </w:r>
      <w:bookmarkEnd w:id="149"/>
      <w:bookmarkEnd w:id="150"/>
    </w:p>
    <w:p>
      <w:pPr>
        <w:spacing w:line="360" w:lineRule="auto"/>
        <w:rPr>
          <w:sz w:val="24"/>
        </w:rPr>
      </w:pPr>
      <w:r>
        <w:rPr>
          <w:rFonts w:hint="eastAsia"/>
          <w:b/>
          <w:sz w:val="24"/>
        </w:rPr>
        <w:t>E</w:t>
      </w:r>
      <w:r>
        <w:rPr>
          <w:b/>
          <w:sz w:val="24"/>
        </w:rPr>
        <w:t xml:space="preserve">.0.1  </w:t>
      </w:r>
      <w:r>
        <w:rPr>
          <w:rFonts w:hint="eastAsia"/>
          <w:sz w:val="24"/>
        </w:rPr>
        <w:t>试验土钉的参数、材料、施工工艺及所处的地质条件应与工程土钉相同</w:t>
      </w:r>
    </w:p>
    <w:p>
      <w:pPr>
        <w:spacing w:line="360" w:lineRule="auto"/>
        <w:rPr>
          <w:sz w:val="24"/>
        </w:rPr>
      </w:pPr>
      <w:r>
        <w:rPr>
          <w:rFonts w:hint="eastAsia"/>
          <w:b/>
          <w:sz w:val="24"/>
        </w:rPr>
        <w:t>E</w:t>
      </w:r>
      <w:r>
        <w:rPr>
          <w:b/>
          <w:sz w:val="24"/>
        </w:rPr>
        <w:t xml:space="preserve">.0.2  </w:t>
      </w:r>
      <w:r>
        <w:rPr>
          <w:rFonts w:hint="eastAsia"/>
          <w:sz w:val="24"/>
        </w:rPr>
        <w:t>土钉抗拔试验应在注浆固结体强度达到</w:t>
      </w:r>
      <w:r>
        <w:rPr>
          <w:sz w:val="24"/>
        </w:rPr>
        <w:t>10MPa</w:t>
      </w:r>
      <w:r>
        <w:rPr>
          <w:rFonts w:hint="eastAsia"/>
          <w:sz w:val="24"/>
        </w:rPr>
        <w:t>或达到设计强度的</w:t>
      </w:r>
      <w:r>
        <w:rPr>
          <w:sz w:val="24"/>
        </w:rPr>
        <w:t>70%</w:t>
      </w:r>
      <w:r>
        <w:rPr>
          <w:rFonts w:hint="eastAsia"/>
          <w:sz w:val="24"/>
        </w:rPr>
        <w:t>后进行。</w:t>
      </w:r>
    </w:p>
    <w:p>
      <w:pPr>
        <w:spacing w:line="360" w:lineRule="auto"/>
        <w:rPr>
          <w:b/>
          <w:sz w:val="24"/>
        </w:rPr>
      </w:pPr>
      <w:r>
        <w:rPr>
          <w:rFonts w:hint="eastAsia"/>
          <w:b/>
          <w:sz w:val="24"/>
        </w:rPr>
        <w:t>E</w:t>
      </w:r>
      <w:r>
        <w:rPr>
          <w:b/>
          <w:sz w:val="24"/>
        </w:rPr>
        <w:t xml:space="preserve">.0.3  </w:t>
      </w:r>
      <w:r>
        <w:rPr>
          <w:rFonts w:hint="eastAsia"/>
          <w:sz w:val="24"/>
        </w:rPr>
        <w:t>加载装置（千斤顶、油压系统）的额定压力必须大于最大试验压力，且试验前应进行标定。</w:t>
      </w:r>
    </w:p>
    <w:p>
      <w:pPr>
        <w:spacing w:line="360" w:lineRule="auto"/>
        <w:rPr>
          <w:sz w:val="24"/>
        </w:rPr>
      </w:pPr>
      <w:r>
        <w:rPr>
          <w:rFonts w:hint="eastAsia"/>
          <w:b/>
          <w:sz w:val="24"/>
        </w:rPr>
        <w:t>E</w:t>
      </w:r>
      <w:r>
        <w:rPr>
          <w:b/>
          <w:sz w:val="24"/>
        </w:rPr>
        <w:t xml:space="preserve">.0.4  </w:t>
      </w:r>
      <w:r>
        <w:rPr>
          <w:rFonts w:hint="eastAsia"/>
          <w:sz w:val="24"/>
        </w:rPr>
        <w:t>加荷反力装置的承载能力和刚度应满足最大试验荷载的要求，加载时千斤顶应与土钉同轴。</w:t>
      </w:r>
    </w:p>
    <w:p>
      <w:pPr>
        <w:spacing w:line="360" w:lineRule="auto"/>
        <w:rPr>
          <w:sz w:val="24"/>
        </w:rPr>
      </w:pPr>
      <w:r>
        <w:rPr>
          <w:rFonts w:hint="eastAsia"/>
          <w:b/>
          <w:sz w:val="24"/>
        </w:rPr>
        <w:t>E</w:t>
      </w:r>
      <w:r>
        <w:rPr>
          <w:b/>
          <w:sz w:val="24"/>
        </w:rPr>
        <w:t xml:space="preserve">.0.5  </w:t>
      </w:r>
      <w:r>
        <w:rPr>
          <w:rFonts w:hint="eastAsia"/>
          <w:sz w:val="24"/>
        </w:rPr>
        <w:t>计量仪表（位移计、压力表）的精度应满足试验要求。</w:t>
      </w:r>
    </w:p>
    <w:p>
      <w:pPr>
        <w:spacing w:line="360" w:lineRule="auto"/>
        <w:rPr>
          <w:sz w:val="24"/>
        </w:rPr>
      </w:pPr>
      <w:r>
        <w:rPr>
          <w:rFonts w:hint="eastAsia"/>
          <w:b/>
          <w:sz w:val="24"/>
        </w:rPr>
        <w:t>E</w:t>
      </w:r>
      <w:r>
        <w:rPr>
          <w:b/>
          <w:sz w:val="24"/>
        </w:rPr>
        <w:t xml:space="preserve">.0.6  </w:t>
      </w:r>
      <w:r>
        <w:rPr>
          <w:rFonts w:hint="eastAsia"/>
          <w:sz w:val="24"/>
        </w:rPr>
        <w:t>在土钉墙面层上进行试验时，试验土钉应与喷射混凝土面层分离。</w:t>
      </w:r>
    </w:p>
    <w:p>
      <w:pPr>
        <w:spacing w:line="360" w:lineRule="auto"/>
        <w:rPr>
          <w:b/>
          <w:sz w:val="24"/>
        </w:rPr>
      </w:pPr>
      <w:r>
        <w:rPr>
          <w:rFonts w:hint="eastAsia"/>
          <w:b/>
          <w:sz w:val="24"/>
        </w:rPr>
        <w:t>E</w:t>
      </w:r>
      <w:r>
        <w:rPr>
          <w:b/>
          <w:sz w:val="24"/>
        </w:rPr>
        <w:t xml:space="preserve">.0.7  </w:t>
      </w:r>
      <w:r>
        <w:rPr>
          <w:rFonts w:hint="eastAsia"/>
          <w:sz w:val="24"/>
        </w:rPr>
        <w:t>最大试验荷载下的土钉杆体应力不应超过其屈服强度标准值。</w:t>
      </w:r>
    </w:p>
    <w:p>
      <w:pPr>
        <w:spacing w:line="360" w:lineRule="auto"/>
        <w:rPr>
          <w:b/>
          <w:sz w:val="24"/>
        </w:rPr>
      </w:pPr>
      <w:r>
        <w:rPr>
          <w:rFonts w:hint="eastAsia"/>
          <w:b/>
          <w:sz w:val="24"/>
        </w:rPr>
        <w:t>E</w:t>
      </w:r>
      <w:r>
        <w:rPr>
          <w:b/>
          <w:sz w:val="24"/>
        </w:rPr>
        <w:t xml:space="preserve">.0.8  </w:t>
      </w:r>
      <w:r>
        <w:rPr>
          <w:rFonts w:hint="eastAsia"/>
          <w:sz w:val="24"/>
        </w:rPr>
        <w:t>同一条件下的极限抗拔承载力试验的土钉数量不应少于</w:t>
      </w:r>
      <w:r>
        <w:rPr>
          <w:sz w:val="24"/>
        </w:rPr>
        <w:t>3</w:t>
      </w:r>
      <w:r>
        <w:rPr>
          <w:rFonts w:hint="eastAsia"/>
          <w:sz w:val="24"/>
        </w:rPr>
        <w:t>根。</w:t>
      </w:r>
    </w:p>
    <w:p>
      <w:pPr>
        <w:spacing w:line="360" w:lineRule="auto"/>
        <w:rPr>
          <w:sz w:val="24"/>
        </w:rPr>
      </w:pPr>
      <w:r>
        <w:rPr>
          <w:rFonts w:hint="eastAsia"/>
          <w:b/>
          <w:sz w:val="24"/>
        </w:rPr>
        <w:t>E</w:t>
      </w:r>
      <w:r>
        <w:rPr>
          <w:b/>
          <w:sz w:val="24"/>
        </w:rPr>
        <w:t xml:space="preserve">.0.9  </w:t>
      </w:r>
      <w:r>
        <w:rPr>
          <w:rFonts w:hint="eastAsia"/>
          <w:sz w:val="24"/>
        </w:rPr>
        <w:t>确定土钉极限抗拔承载力的试验，最大试验荷载不应小于预估破坏荷载，且试验土钉的杆体截面面积应符合本规程第E</w:t>
      </w:r>
      <w:r>
        <w:rPr>
          <w:sz w:val="24"/>
        </w:rPr>
        <w:t>.0.7</w:t>
      </w:r>
      <w:r>
        <w:rPr>
          <w:rFonts w:hint="eastAsia"/>
          <w:sz w:val="24"/>
        </w:rPr>
        <w:t>条对土钉杆体应力的规定。必要时，可增加试验土钉的杆体截面面积。</w:t>
      </w:r>
    </w:p>
    <w:p>
      <w:pPr>
        <w:spacing w:line="360" w:lineRule="auto"/>
        <w:rPr>
          <w:b/>
          <w:sz w:val="24"/>
        </w:rPr>
      </w:pPr>
      <w:r>
        <w:rPr>
          <w:rFonts w:hint="eastAsia"/>
          <w:b/>
          <w:sz w:val="24"/>
        </w:rPr>
        <w:t>E</w:t>
      </w:r>
      <w:r>
        <w:rPr>
          <w:b/>
          <w:sz w:val="24"/>
        </w:rPr>
        <w:t xml:space="preserve">.0.10  </w:t>
      </w:r>
      <w:r>
        <w:rPr>
          <w:rFonts w:hint="eastAsia"/>
          <w:sz w:val="24"/>
        </w:rPr>
        <w:t>土钉抗拔承载力检测试验，最大试验荷载不应小于本规程第5.8.4条第9款规定的抗拔承载力检测值。</w:t>
      </w:r>
    </w:p>
    <w:p>
      <w:pPr>
        <w:spacing w:line="360" w:lineRule="auto"/>
        <w:rPr>
          <w:b/>
          <w:sz w:val="24"/>
        </w:rPr>
      </w:pPr>
      <w:r>
        <w:rPr>
          <w:rFonts w:hint="eastAsia"/>
          <w:b/>
          <w:sz w:val="24"/>
        </w:rPr>
        <w:t>E</w:t>
      </w:r>
      <w:r>
        <w:rPr>
          <w:b/>
          <w:sz w:val="24"/>
        </w:rPr>
        <w:t xml:space="preserve">.0.11  </w:t>
      </w:r>
      <w:r>
        <w:rPr>
          <w:rFonts w:hint="eastAsia"/>
          <w:sz w:val="24"/>
        </w:rPr>
        <w:t>确定土钉极限抗拔承载力的试验和土钉抗拔承载力检测试验可采用单循环加载法，其加载分级和土钉位移观测时间应按表E</w:t>
      </w:r>
      <w:r>
        <w:rPr>
          <w:sz w:val="24"/>
        </w:rPr>
        <w:t>.0.11</w:t>
      </w:r>
      <w:r>
        <w:rPr>
          <w:rFonts w:hint="eastAsia"/>
          <w:sz w:val="24"/>
        </w:rPr>
        <w:t>确定。</w:t>
      </w:r>
    </w:p>
    <w:p>
      <w:pPr>
        <w:spacing w:line="360" w:lineRule="auto"/>
        <w:jc w:val="center"/>
        <w:rPr>
          <w:b/>
          <w:sz w:val="24"/>
        </w:rPr>
      </w:pPr>
      <w:r>
        <w:rPr>
          <w:rFonts w:hint="eastAsia"/>
          <w:b/>
          <w:sz w:val="24"/>
        </w:rPr>
        <w:t>表E</w:t>
      </w:r>
      <w:r>
        <w:rPr>
          <w:b/>
          <w:sz w:val="24"/>
        </w:rPr>
        <w:t xml:space="preserve">.0.11  </w:t>
      </w:r>
      <w:r>
        <w:rPr>
          <w:rFonts w:hint="eastAsia"/>
          <w:b/>
          <w:sz w:val="24"/>
        </w:rPr>
        <w:t>单循环加载试验的加载分级与土钉位移观测时间</w:t>
      </w:r>
    </w:p>
    <w:tbl>
      <w:tblPr>
        <w:tblStyle w:val="26"/>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081"/>
        <w:gridCol w:w="1081"/>
        <w:gridCol w:w="1081"/>
        <w:gridCol w:w="1081"/>
        <w:gridCol w:w="1081"/>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2802" w:type="dxa"/>
            <w:gridSpan w:val="2"/>
            <w:vAlign w:val="center"/>
          </w:tcPr>
          <w:p>
            <w:pPr>
              <w:jc w:val="center"/>
              <w:rPr>
                <w:szCs w:val="21"/>
              </w:rPr>
            </w:pPr>
            <w:r>
              <w:rPr>
                <w:rFonts w:hint="eastAsia"/>
                <w:szCs w:val="21"/>
              </w:rPr>
              <w:t>观测时间（</w:t>
            </w:r>
            <w:r>
              <w:rPr>
                <w:szCs w:val="21"/>
              </w:rPr>
              <w:t>min</w:t>
            </w:r>
            <w:r>
              <w:rPr>
                <w:rFonts w:hint="eastAsia"/>
                <w:szCs w:val="21"/>
              </w:rPr>
              <w:t>）</w:t>
            </w:r>
          </w:p>
        </w:tc>
        <w:tc>
          <w:tcPr>
            <w:tcW w:w="1081" w:type="dxa"/>
            <w:vAlign w:val="center"/>
          </w:tcPr>
          <w:p>
            <w:pPr>
              <w:jc w:val="center"/>
              <w:rPr>
                <w:szCs w:val="21"/>
              </w:rPr>
            </w:pPr>
            <w:r>
              <w:rPr>
                <w:szCs w:val="21"/>
              </w:rPr>
              <w:t>5</w:t>
            </w:r>
          </w:p>
        </w:tc>
        <w:tc>
          <w:tcPr>
            <w:tcW w:w="1081" w:type="dxa"/>
            <w:vAlign w:val="center"/>
          </w:tcPr>
          <w:p>
            <w:pPr>
              <w:jc w:val="center"/>
              <w:rPr>
                <w:szCs w:val="21"/>
              </w:rPr>
            </w:pPr>
            <w:r>
              <w:rPr>
                <w:szCs w:val="21"/>
              </w:rPr>
              <w:t>5</w:t>
            </w:r>
          </w:p>
        </w:tc>
        <w:tc>
          <w:tcPr>
            <w:tcW w:w="1081" w:type="dxa"/>
            <w:vAlign w:val="center"/>
          </w:tcPr>
          <w:p>
            <w:pPr>
              <w:jc w:val="center"/>
              <w:rPr>
                <w:szCs w:val="21"/>
              </w:rPr>
            </w:pPr>
            <w:r>
              <w:rPr>
                <w:szCs w:val="21"/>
              </w:rPr>
              <w:t>5</w:t>
            </w:r>
          </w:p>
        </w:tc>
        <w:tc>
          <w:tcPr>
            <w:tcW w:w="1081" w:type="dxa"/>
            <w:vAlign w:val="center"/>
          </w:tcPr>
          <w:p>
            <w:pPr>
              <w:jc w:val="center"/>
              <w:rPr>
                <w:szCs w:val="21"/>
              </w:rPr>
            </w:pPr>
            <w:r>
              <w:rPr>
                <w:szCs w:val="21"/>
              </w:rPr>
              <w:t>5</w:t>
            </w:r>
          </w:p>
        </w:tc>
        <w:tc>
          <w:tcPr>
            <w:tcW w:w="1081" w:type="dxa"/>
            <w:vAlign w:val="center"/>
          </w:tcPr>
          <w:p>
            <w:pPr>
              <w:jc w:val="center"/>
              <w:rPr>
                <w:szCs w:val="21"/>
              </w:rPr>
            </w:pPr>
            <w:r>
              <w:rPr>
                <w:szCs w:val="21"/>
              </w:rPr>
              <w:t>5</w:t>
            </w:r>
          </w:p>
        </w:tc>
        <w:tc>
          <w:tcPr>
            <w:tcW w:w="1081" w:type="dxa"/>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526" w:type="dxa"/>
            <w:vMerge w:val="restart"/>
            <w:vAlign w:val="center"/>
          </w:tcPr>
          <w:p>
            <w:pPr>
              <w:jc w:val="center"/>
              <w:rPr>
                <w:szCs w:val="21"/>
              </w:rPr>
            </w:pPr>
            <w:r>
              <w:rPr>
                <w:rFonts w:hint="eastAsia"/>
                <w:szCs w:val="21"/>
              </w:rPr>
              <w:t>加载量与最大试验荷载的百分比（</w:t>
            </w:r>
            <w:r>
              <w:rPr>
                <w:szCs w:val="21"/>
              </w:rPr>
              <w:t>%</w:t>
            </w:r>
            <w:r>
              <w:rPr>
                <w:rFonts w:hint="eastAsia"/>
                <w:szCs w:val="21"/>
              </w:rPr>
              <w:t>）</w:t>
            </w:r>
          </w:p>
        </w:tc>
        <w:tc>
          <w:tcPr>
            <w:tcW w:w="1276" w:type="dxa"/>
            <w:vAlign w:val="center"/>
          </w:tcPr>
          <w:p>
            <w:pPr>
              <w:jc w:val="center"/>
              <w:rPr>
                <w:szCs w:val="21"/>
              </w:rPr>
            </w:pPr>
            <w:r>
              <w:rPr>
                <w:rFonts w:hint="eastAsia"/>
                <w:szCs w:val="21"/>
              </w:rPr>
              <w:t>初始荷载</w:t>
            </w:r>
          </w:p>
        </w:tc>
        <w:tc>
          <w:tcPr>
            <w:tcW w:w="1081" w:type="dxa"/>
            <w:vAlign w:val="center"/>
          </w:tcPr>
          <w:p>
            <w:pPr>
              <w:jc w:val="center"/>
              <w:rPr>
                <w:szCs w:val="21"/>
              </w:rPr>
            </w:pPr>
            <w:r>
              <w:rPr>
                <w:szCs w:val="21"/>
              </w:rPr>
              <w:t>—</w:t>
            </w:r>
          </w:p>
        </w:tc>
        <w:tc>
          <w:tcPr>
            <w:tcW w:w="1081" w:type="dxa"/>
            <w:vAlign w:val="center"/>
          </w:tcPr>
          <w:p>
            <w:pPr>
              <w:jc w:val="center"/>
              <w:rPr>
                <w:szCs w:val="21"/>
              </w:rPr>
            </w:pPr>
            <w:r>
              <w:rPr>
                <w:szCs w:val="21"/>
              </w:rPr>
              <w:t>—</w:t>
            </w:r>
          </w:p>
        </w:tc>
        <w:tc>
          <w:tcPr>
            <w:tcW w:w="1081" w:type="dxa"/>
            <w:vAlign w:val="center"/>
          </w:tcPr>
          <w:p>
            <w:pPr>
              <w:jc w:val="center"/>
              <w:rPr>
                <w:szCs w:val="21"/>
              </w:rPr>
            </w:pPr>
            <w:r>
              <w:rPr>
                <w:szCs w:val="21"/>
              </w:rPr>
              <w:t>—</w:t>
            </w:r>
          </w:p>
        </w:tc>
        <w:tc>
          <w:tcPr>
            <w:tcW w:w="1081" w:type="dxa"/>
            <w:vAlign w:val="center"/>
          </w:tcPr>
          <w:p>
            <w:pPr>
              <w:jc w:val="center"/>
              <w:rPr>
                <w:szCs w:val="21"/>
              </w:rPr>
            </w:pPr>
            <w:r>
              <w:rPr>
                <w:szCs w:val="21"/>
              </w:rPr>
              <w:t>—</w:t>
            </w:r>
          </w:p>
        </w:tc>
        <w:tc>
          <w:tcPr>
            <w:tcW w:w="1081" w:type="dxa"/>
            <w:vAlign w:val="center"/>
          </w:tcPr>
          <w:p>
            <w:pPr>
              <w:jc w:val="center"/>
              <w:rPr>
                <w:szCs w:val="21"/>
              </w:rPr>
            </w:pPr>
            <w:r>
              <w:rPr>
                <w:szCs w:val="21"/>
              </w:rPr>
              <w:t>—</w:t>
            </w:r>
          </w:p>
        </w:tc>
        <w:tc>
          <w:tcPr>
            <w:tcW w:w="1081" w:type="dxa"/>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1526" w:type="dxa"/>
            <w:vMerge w:val="continue"/>
            <w:vAlign w:val="center"/>
          </w:tcPr>
          <w:p>
            <w:pPr>
              <w:jc w:val="center"/>
              <w:rPr>
                <w:szCs w:val="21"/>
              </w:rPr>
            </w:pPr>
          </w:p>
        </w:tc>
        <w:tc>
          <w:tcPr>
            <w:tcW w:w="1276" w:type="dxa"/>
            <w:vAlign w:val="center"/>
          </w:tcPr>
          <w:p>
            <w:pPr>
              <w:jc w:val="center"/>
              <w:rPr>
                <w:szCs w:val="21"/>
              </w:rPr>
            </w:pPr>
            <w:r>
              <w:rPr>
                <w:rFonts w:hint="eastAsia"/>
                <w:szCs w:val="21"/>
              </w:rPr>
              <w:t>加载</w:t>
            </w:r>
          </w:p>
        </w:tc>
        <w:tc>
          <w:tcPr>
            <w:tcW w:w="1081" w:type="dxa"/>
            <w:vAlign w:val="center"/>
          </w:tcPr>
          <w:p>
            <w:pPr>
              <w:jc w:val="center"/>
              <w:rPr>
                <w:szCs w:val="21"/>
              </w:rPr>
            </w:pPr>
            <w:r>
              <w:rPr>
                <w:szCs w:val="21"/>
              </w:rPr>
              <w:t>10</w:t>
            </w:r>
          </w:p>
        </w:tc>
        <w:tc>
          <w:tcPr>
            <w:tcW w:w="1081" w:type="dxa"/>
            <w:vAlign w:val="center"/>
          </w:tcPr>
          <w:p>
            <w:pPr>
              <w:jc w:val="center"/>
              <w:rPr>
                <w:szCs w:val="21"/>
              </w:rPr>
            </w:pPr>
            <w:r>
              <w:rPr>
                <w:szCs w:val="21"/>
              </w:rPr>
              <w:t>50</w:t>
            </w:r>
          </w:p>
        </w:tc>
        <w:tc>
          <w:tcPr>
            <w:tcW w:w="1081" w:type="dxa"/>
            <w:vAlign w:val="center"/>
          </w:tcPr>
          <w:p>
            <w:pPr>
              <w:jc w:val="center"/>
              <w:rPr>
                <w:szCs w:val="21"/>
              </w:rPr>
            </w:pPr>
            <w:r>
              <w:rPr>
                <w:szCs w:val="21"/>
              </w:rPr>
              <w:t>70</w:t>
            </w:r>
          </w:p>
        </w:tc>
        <w:tc>
          <w:tcPr>
            <w:tcW w:w="1081" w:type="dxa"/>
            <w:vAlign w:val="center"/>
          </w:tcPr>
          <w:p>
            <w:pPr>
              <w:jc w:val="center"/>
              <w:rPr>
                <w:szCs w:val="21"/>
              </w:rPr>
            </w:pPr>
            <w:r>
              <w:rPr>
                <w:szCs w:val="21"/>
              </w:rPr>
              <w:t>80</w:t>
            </w:r>
          </w:p>
        </w:tc>
        <w:tc>
          <w:tcPr>
            <w:tcW w:w="1081" w:type="dxa"/>
            <w:vAlign w:val="center"/>
          </w:tcPr>
          <w:p>
            <w:pPr>
              <w:jc w:val="center"/>
              <w:rPr>
                <w:szCs w:val="21"/>
              </w:rPr>
            </w:pPr>
            <w:r>
              <w:rPr>
                <w:szCs w:val="21"/>
              </w:rPr>
              <w:t>90</w:t>
            </w:r>
          </w:p>
        </w:tc>
        <w:tc>
          <w:tcPr>
            <w:tcW w:w="1081" w:type="dxa"/>
            <w:vAlign w:val="center"/>
          </w:tcPr>
          <w:p>
            <w:pPr>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526" w:type="dxa"/>
            <w:vMerge w:val="continue"/>
            <w:vAlign w:val="center"/>
          </w:tcPr>
          <w:p>
            <w:pPr>
              <w:jc w:val="center"/>
              <w:rPr>
                <w:szCs w:val="21"/>
              </w:rPr>
            </w:pPr>
          </w:p>
        </w:tc>
        <w:tc>
          <w:tcPr>
            <w:tcW w:w="1276" w:type="dxa"/>
            <w:vAlign w:val="center"/>
          </w:tcPr>
          <w:p>
            <w:pPr>
              <w:jc w:val="center"/>
              <w:rPr>
                <w:szCs w:val="21"/>
              </w:rPr>
            </w:pPr>
            <w:r>
              <w:rPr>
                <w:rFonts w:hint="eastAsia"/>
                <w:szCs w:val="21"/>
              </w:rPr>
              <w:t>卸载</w:t>
            </w:r>
          </w:p>
        </w:tc>
        <w:tc>
          <w:tcPr>
            <w:tcW w:w="1081" w:type="dxa"/>
            <w:vAlign w:val="center"/>
          </w:tcPr>
          <w:p>
            <w:pPr>
              <w:jc w:val="center"/>
              <w:rPr>
                <w:szCs w:val="21"/>
              </w:rPr>
            </w:pPr>
            <w:r>
              <w:rPr>
                <w:szCs w:val="21"/>
              </w:rPr>
              <w:t>10</w:t>
            </w:r>
          </w:p>
        </w:tc>
        <w:tc>
          <w:tcPr>
            <w:tcW w:w="1081" w:type="dxa"/>
            <w:vAlign w:val="center"/>
          </w:tcPr>
          <w:p>
            <w:pPr>
              <w:jc w:val="center"/>
              <w:rPr>
                <w:szCs w:val="21"/>
              </w:rPr>
            </w:pPr>
            <w:r>
              <w:rPr>
                <w:szCs w:val="21"/>
              </w:rPr>
              <w:t>20</w:t>
            </w:r>
          </w:p>
        </w:tc>
        <w:tc>
          <w:tcPr>
            <w:tcW w:w="1081" w:type="dxa"/>
            <w:vAlign w:val="center"/>
          </w:tcPr>
          <w:p>
            <w:pPr>
              <w:jc w:val="center"/>
              <w:rPr>
                <w:szCs w:val="21"/>
              </w:rPr>
            </w:pPr>
            <w:r>
              <w:rPr>
                <w:szCs w:val="21"/>
              </w:rPr>
              <w:t>50</w:t>
            </w:r>
          </w:p>
        </w:tc>
        <w:tc>
          <w:tcPr>
            <w:tcW w:w="1081" w:type="dxa"/>
            <w:vAlign w:val="center"/>
          </w:tcPr>
          <w:p>
            <w:pPr>
              <w:jc w:val="center"/>
              <w:rPr>
                <w:szCs w:val="21"/>
              </w:rPr>
            </w:pPr>
            <w:r>
              <w:rPr>
                <w:szCs w:val="21"/>
              </w:rPr>
              <w:t>80</w:t>
            </w:r>
          </w:p>
        </w:tc>
        <w:tc>
          <w:tcPr>
            <w:tcW w:w="1081" w:type="dxa"/>
            <w:vAlign w:val="center"/>
          </w:tcPr>
          <w:p>
            <w:pPr>
              <w:jc w:val="center"/>
              <w:rPr>
                <w:szCs w:val="21"/>
              </w:rPr>
            </w:pPr>
            <w:r>
              <w:rPr>
                <w:szCs w:val="21"/>
              </w:rPr>
              <w:t>90</w:t>
            </w:r>
          </w:p>
        </w:tc>
        <w:tc>
          <w:tcPr>
            <w:tcW w:w="1081" w:type="dxa"/>
            <w:vAlign w:val="center"/>
          </w:tcPr>
          <w:p>
            <w:pPr>
              <w:jc w:val="center"/>
              <w:rPr>
                <w:szCs w:val="21"/>
              </w:rPr>
            </w:pPr>
            <w:r>
              <w:rPr>
                <w:szCs w:val="21"/>
              </w:rPr>
              <w:t>—</w:t>
            </w:r>
          </w:p>
        </w:tc>
      </w:tr>
    </w:tbl>
    <w:p>
      <w:pPr>
        <w:ind w:firstLine="420"/>
        <w:rPr>
          <w:szCs w:val="21"/>
        </w:rPr>
      </w:pPr>
      <w:r>
        <w:rPr>
          <w:rFonts w:hint="eastAsia"/>
          <w:szCs w:val="21"/>
        </w:rPr>
        <w:t>注：单循环加载试验用于土钉抗拔承载力检测时，加至最大试验荷载后，可一次循环至最大试验荷载的</w:t>
      </w:r>
      <w:r>
        <w:rPr>
          <w:szCs w:val="21"/>
        </w:rPr>
        <w:t>10%.</w:t>
      </w:r>
    </w:p>
    <w:p>
      <w:pPr>
        <w:spacing w:line="360" w:lineRule="auto"/>
        <w:rPr>
          <w:b/>
          <w:sz w:val="24"/>
        </w:rPr>
      </w:pPr>
      <w:r>
        <w:rPr>
          <w:rFonts w:hint="eastAsia"/>
          <w:b/>
          <w:sz w:val="24"/>
        </w:rPr>
        <w:t>E</w:t>
      </w:r>
      <w:r>
        <w:rPr>
          <w:b/>
          <w:sz w:val="24"/>
        </w:rPr>
        <w:t xml:space="preserve">.0.12  </w:t>
      </w:r>
      <w:r>
        <w:rPr>
          <w:rFonts w:hint="eastAsia"/>
          <w:sz w:val="24"/>
        </w:rPr>
        <w:t>土钉极限抗拔承载力试验，其土钉位移测读和加卸载应符合下列规定：</w:t>
      </w:r>
    </w:p>
    <w:p>
      <w:pPr>
        <w:spacing w:line="360" w:lineRule="auto"/>
        <w:ind w:firstLine="480" w:firstLineChars="200"/>
        <w:rPr>
          <w:sz w:val="24"/>
        </w:rPr>
      </w:pPr>
      <w:r>
        <w:rPr>
          <w:sz w:val="24"/>
        </w:rPr>
        <w:t xml:space="preserve">1  </w:t>
      </w:r>
      <w:r>
        <w:rPr>
          <w:rFonts w:hint="eastAsia"/>
          <w:sz w:val="24"/>
        </w:rPr>
        <w:t>初始荷载下，应测读土钉位移基准值</w:t>
      </w:r>
      <w:r>
        <w:rPr>
          <w:sz w:val="24"/>
        </w:rPr>
        <w:t>3</w:t>
      </w:r>
      <w:r>
        <w:rPr>
          <w:rFonts w:hint="eastAsia"/>
          <w:sz w:val="24"/>
        </w:rPr>
        <w:t>次，当每间隔</w:t>
      </w:r>
      <w:r>
        <w:rPr>
          <w:sz w:val="24"/>
        </w:rPr>
        <w:t>5min</w:t>
      </w:r>
      <w:r>
        <w:rPr>
          <w:rFonts w:hint="eastAsia"/>
          <w:sz w:val="24"/>
        </w:rPr>
        <w:t>的读数相同时，方可作为土钉位移基准值；</w:t>
      </w:r>
    </w:p>
    <w:p>
      <w:pPr>
        <w:spacing w:line="360" w:lineRule="auto"/>
        <w:ind w:firstLine="480" w:firstLineChars="200"/>
        <w:rPr>
          <w:sz w:val="24"/>
        </w:rPr>
      </w:pPr>
      <w:r>
        <w:rPr>
          <w:sz w:val="24"/>
        </w:rPr>
        <w:t xml:space="preserve">2  </w:t>
      </w:r>
      <w:r>
        <w:rPr>
          <w:rFonts w:hint="eastAsia"/>
          <w:sz w:val="24"/>
        </w:rPr>
        <w:t>每级加、卸载稳定后，在观测时间内测读土钉位移不应少于</w:t>
      </w:r>
      <w:r>
        <w:rPr>
          <w:sz w:val="24"/>
        </w:rPr>
        <w:t>3</w:t>
      </w:r>
      <w:r>
        <w:rPr>
          <w:rFonts w:hint="eastAsia"/>
          <w:sz w:val="24"/>
        </w:rPr>
        <w:t>次；</w:t>
      </w:r>
    </w:p>
    <w:p>
      <w:pPr>
        <w:spacing w:line="360" w:lineRule="auto"/>
        <w:ind w:firstLine="480" w:firstLineChars="200"/>
        <w:rPr>
          <w:sz w:val="24"/>
        </w:rPr>
      </w:pPr>
      <w:r>
        <w:rPr>
          <w:sz w:val="24"/>
        </w:rPr>
        <w:t xml:space="preserve">3  </w:t>
      </w:r>
      <w:r>
        <w:rPr>
          <w:rFonts w:hint="eastAsia"/>
          <w:sz w:val="24"/>
        </w:rPr>
        <w:t>在每级荷载的观测时间内，当土钉位移增量不大于</w:t>
      </w:r>
      <w:r>
        <w:rPr>
          <w:sz w:val="24"/>
        </w:rPr>
        <w:t>0.1mm</w:t>
      </w:r>
      <w:r>
        <w:rPr>
          <w:rFonts w:hint="eastAsia"/>
          <w:sz w:val="24"/>
        </w:rPr>
        <w:t>时，可施加下一级荷载；否则应延长观测时间，并应每隔</w:t>
      </w:r>
      <w:r>
        <w:rPr>
          <w:sz w:val="24"/>
        </w:rPr>
        <w:t>30min</w:t>
      </w:r>
      <w:r>
        <w:rPr>
          <w:rFonts w:hint="eastAsia"/>
          <w:sz w:val="24"/>
        </w:rPr>
        <w:t>测读土钉位移</w:t>
      </w:r>
      <w:r>
        <w:rPr>
          <w:sz w:val="24"/>
        </w:rPr>
        <w:t>1</w:t>
      </w:r>
      <w:r>
        <w:rPr>
          <w:rFonts w:hint="eastAsia"/>
          <w:sz w:val="24"/>
        </w:rPr>
        <w:t>次；当连续两次出现</w:t>
      </w:r>
      <w:r>
        <w:rPr>
          <w:sz w:val="24"/>
        </w:rPr>
        <w:t>1h</w:t>
      </w:r>
      <w:r>
        <w:rPr>
          <w:rFonts w:hint="eastAsia"/>
          <w:sz w:val="24"/>
        </w:rPr>
        <w:t>内的土钉位移增量小于</w:t>
      </w:r>
      <w:r>
        <w:rPr>
          <w:sz w:val="24"/>
        </w:rPr>
        <w:t>0.1mm</w:t>
      </w:r>
      <w:r>
        <w:rPr>
          <w:rFonts w:hint="eastAsia"/>
          <w:sz w:val="24"/>
        </w:rPr>
        <w:t>时，可施加下一级荷载。</w:t>
      </w:r>
    </w:p>
    <w:p>
      <w:pPr>
        <w:spacing w:line="360" w:lineRule="auto"/>
        <w:rPr>
          <w:b/>
          <w:sz w:val="24"/>
        </w:rPr>
      </w:pPr>
      <w:r>
        <w:rPr>
          <w:rFonts w:hint="eastAsia"/>
          <w:b/>
          <w:sz w:val="24"/>
        </w:rPr>
        <w:t>E</w:t>
      </w:r>
      <w:r>
        <w:rPr>
          <w:b/>
          <w:sz w:val="24"/>
        </w:rPr>
        <w:t xml:space="preserve">.0.13  </w:t>
      </w:r>
      <w:r>
        <w:rPr>
          <w:rFonts w:hint="eastAsia"/>
          <w:sz w:val="24"/>
        </w:rPr>
        <w:t>土钉抗拔承载力检测试验，其土钉位移测读和加、卸载应符合下列规定：</w:t>
      </w:r>
    </w:p>
    <w:p>
      <w:pPr>
        <w:spacing w:line="360" w:lineRule="auto"/>
        <w:ind w:firstLine="480" w:firstLineChars="200"/>
        <w:rPr>
          <w:sz w:val="24"/>
        </w:rPr>
      </w:pPr>
      <w:r>
        <w:rPr>
          <w:sz w:val="24"/>
        </w:rPr>
        <w:t xml:space="preserve">1  </w:t>
      </w:r>
      <w:r>
        <w:rPr>
          <w:rFonts w:hint="eastAsia"/>
          <w:sz w:val="24"/>
        </w:rPr>
        <w:t>初始荷载下，应测读土钉位移基准值</w:t>
      </w:r>
      <w:r>
        <w:rPr>
          <w:sz w:val="24"/>
        </w:rPr>
        <w:t>3</w:t>
      </w:r>
      <w:r>
        <w:rPr>
          <w:rFonts w:hint="eastAsia"/>
          <w:sz w:val="24"/>
        </w:rPr>
        <w:t>次，当每间隔</w:t>
      </w:r>
      <w:r>
        <w:rPr>
          <w:sz w:val="24"/>
        </w:rPr>
        <w:t>5min</w:t>
      </w:r>
      <w:r>
        <w:rPr>
          <w:rFonts w:hint="eastAsia"/>
          <w:sz w:val="24"/>
        </w:rPr>
        <w:t>的读数相同时，方可作为土钉位移基准值；</w:t>
      </w:r>
    </w:p>
    <w:p>
      <w:pPr>
        <w:spacing w:line="360" w:lineRule="auto"/>
        <w:ind w:firstLine="480" w:firstLineChars="200"/>
        <w:rPr>
          <w:sz w:val="24"/>
        </w:rPr>
      </w:pPr>
      <w:r>
        <w:rPr>
          <w:sz w:val="24"/>
        </w:rPr>
        <w:t xml:space="preserve">2  </w:t>
      </w:r>
      <w:r>
        <w:rPr>
          <w:rFonts w:hint="eastAsia"/>
          <w:sz w:val="24"/>
        </w:rPr>
        <w:t>每级加、卸载稳定后，在观测时间内测读土钉位移不应少于</w:t>
      </w:r>
      <w:r>
        <w:rPr>
          <w:sz w:val="24"/>
        </w:rPr>
        <w:t>3</w:t>
      </w:r>
      <w:r>
        <w:rPr>
          <w:rFonts w:hint="eastAsia"/>
          <w:sz w:val="24"/>
        </w:rPr>
        <w:t>次；</w:t>
      </w:r>
    </w:p>
    <w:p>
      <w:pPr>
        <w:spacing w:line="360" w:lineRule="auto"/>
        <w:ind w:firstLine="480" w:firstLineChars="200"/>
        <w:rPr>
          <w:sz w:val="24"/>
        </w:rPr>
      </w:pPr>
      <w:r>
        <w:rPr>
          <w:sz w:val="24"/>
        </w:rPr>
        <w:t xml:space="preserve">3  </w:t>
      </w:r>
      <w:r>
        <w:rPr>
          <w:rFonts w:hint="eastAsia"/>
          <w:sz w:val="24"/>
        </w:rPr>
        <w:t>当观测时间内土钉位移增量不大于</w:t>
      </w:r>
      <w:r>
        <w:rPr>
          <w:sz w:val="24"/>
        </w:rPr>
        <w:t>1.0mm</w:t>
      </w:r>
      <w:r>
        <w:rPr>
          <w:rFonts w:hint="eastAsia"/>
          <w:sz w:val="24"/>
        </w:rPr>
        <w:t>时，可视为位移收敛；否则，观测时间应延长至</w:t>
      </w:r>
      <w:r>
        <w:rPr>
          <w:sz w:val="24"/>
        </w:rPr>
        <w:t>60min</w:t>
      </w:r>
      <w:r>
        <w:rPr>
          <w:rFonts w:hint="eastAsia"/>
          <w:sz w:val="24"/>
        </w:rPr>
        <w:t>，并应每隔</w:t>
      </w:r>
      <w:r>
        <w:rPr>
          <w:sz w:val="24"/>
        </w:rPr>
        <w:t>10min</w:t>
      </w:r>
      <w:r>
        <w:rPr>
          <w:rFonts w:hint="eastAsia"/>
          <w:sz w:val="24"/>
        </w:rPr>
        <w:t>测读土钉位移</w:t>
      </w:r>
      <w:r>
        <w:rPr>
          <w:sz w:val="24"/>
        </w:rPr>
        <w:t>1</w:t>
      </w:r>
      <w:r>
        <w:rPr>
          <w:rFonts w:hint="eastAsia"/>
          <w:sz w:val="24"/>
        </w:rPr>
        <w:t>次；当该</w:t>
      </w:r>
      <w:r>
        <w:rPr>
          <w:sz w:val="24"/>
        </w:rPr>
        <w:t>60min</w:t>
      </w:r>
      <w:r>
        <w:rPr>
          <w:rFonts w:hint="eastAsia"/>
          <w:sz w:val="24"/>
        </w:rPr>
        <w:t>内土钉位移增量小于</w:t>
      </w:r>
      <w:r>
        <w:rPr>
          <w:sz w:val="24"/>
        </w:rPr>
        <w:t>2.0mm</w:t>
      </w:r>
      <w:r>
        <w:rPr>
          <w:rFonts w:hint="eastAsia"/>
          <w:sz w:val="24"/>
        </w:rPr>
        <w:t>时，可视为土钉位移收敛，否则视为不收敛。</w:t>
      </w:r>
    </w:p>
    <w:p>
      <w:pPr>
        <w:spacing w:line="360" w:lineRule="auto"/>
        <w:rPr>
          <w:sz w:val="24"/>
        </w:rPr>
      </w:pPr>
      <w:r>
        <w:rPr>
          <w:rFonts w:hint="eastAsia"/>
          <w:b/>
          <w:sz w:val="24"/>
        </w:rPr>
        <w:t>E</w:t>
      </w:r>
      <w:r>
        <w:rPr>
          <w:b/>
          <w:sz w:val="24"/>
        </w:rPr>
        <w:t xml:space="preserve">.0.14  </w:t>
      </w:r>
      <w:r>
        <w:rPr>
          <w:rFonts w:hint="eastAsia"/>
          <w:sz w:val="24"/>
        </w:rPr>
        <w:t>土钉试验中遇下列情况之一时，应终止继续加载：</w:t>
      </w:r>
    </w:p>
    <w:p>
      <w:pPr>
        <w:spacing w:line="360" w:lineRule="auto"/>
        <w:ind w:firstLine="480" w:firstLineChars="200"/>
        <w:rPr>
          <w:sz w:val="24"/>
        </w:rPr>
      </w:pPr>
      <w:r>
        <w:rPr>
          <w:sz w:val="24"/>
        </w:rPr>
        <w:t xml:space="preserve">1  </w:t>
      </w:r>
      <w:r>
        <w:rPr>
          <w:rFonts w:hint="eastAsia"/>
          <w:sz w:val="24"/>
        </w:rPr>
        <w:t>从第二级加载开始，后一级荷载产生的单位荷载下的土钉位移增量大于前一级荷载产生的单位荷载下的土钉位移增量的</w:t>
      </w:r>
      <w:r>
        <w:rPr>
          <w:sz w:val="24"/>
        </w:rPr>
        <w:t>5</w:t>
      </w:r>
      <w:r>
        <w:rPr>
          <w:rFonts w:hint="eastAsia"/>
          <w:sz w:val="24"/>
        </w:rPr>
        <w:t>倍；</w:t>
      </w:r>
    </w:p>
    <w:p>
      <w:pPr>
        <w:spacing w:line="360" w:lineRule="auto"/>
        <w:ind w:firstLine="480" w:firstLineChars="200"/>
        <w:rPr>
          <w:sz w:val="24"/>
        </w:rPr>
      </w:pPr>
      <w:r>
        <w:rPr>
          <w:sz w:val="24"/>
        </w:rPr>
        <w:t xml:space="preserve">2  </w:t>
      </w:r>
      <w:r>
        <w:rPr>
          <w:rFonts w:hint="eastAsia"/>
          <w:sz w:val="24"/>
        </w:rPr>
        <w:t>土钉位移不收敛；</w:t>
      </w:r>
    </w:p>
    <w:p>
      <w:pPr>
        <w:spacing w:line="360" w:lineRule="auto"/>
        <w:ind w:firstLine="480" w:firstLineChars="200"/>
        <w:rPr>
          <w:sz w:val="24"/>
        </w:rPr>
      </w:pPr>
      <w:r>
        <w:rPr>
          <w:sz w:val="24"/>
        </w:rPr>
        <w:t xml:space="preserve">3  </w:t>
      </w:r>
      <w:r>
        <w:rPr>
          <w:rFonts w:hint="eastAsia"/>
          <w:sz w:val="24"/>
        </w:rPr>
        <w:t>土钉杆体破坏。</w:t>
      </w:r>
    </w:p>
    <w:p>
      <w:pPr>
        <w:spacing w:line="360" w:lineRule="auto"/>
        <w:rPr>
          <w:sz w:val="24"/>
        </w:rPr>
      </w:pPr>
      <w:r>
        <w:rPr>
          <w:rFonts w:hint="eastAsia"/>
          <w:b/>
          <w:sz w:val="24"/>
        </w:rPr>
        <w:t>E</w:t>
      </w:r>
      <w:r>
        <w:rPr>
          <w:b/>
          <w:sz w:val="24"/>
        </w:rPr>
        <w:t xml:space="preserve">.0.15  </w:t>
      </w:r>
      <w:r>
        <w:rPr>
          <w:rFonts w:hint="eastAsia"/>
          <w:sz w:val="24"/>
        </w:rPr>
        <w:t>试验应绘制土钉的荷载—位移（</w:t>
      </w:r>
      <w:r>
        <w:rPr>
          <w:sz w:val="24"/>
        </w:rPr>
        <w:t>Q</w:t>
      </w:r>
      <w:r>
        <w:rPr>
          <w:rFonts w:hint="eastAsia"/>
          <w:sz w:val="24"/>
        </w:rPr>
        <w:t>—</w:t>
      </w:r>
      <w:r>
        <w:rPr>
          <w:sz w:val="24"/>
        </w:rPr>
        <w:t>s</w:t>
      </w:r>
      <w:r>
        <w:rPr>
          <w:rFonts w:hint="eastAsia"/>
          <w:sz w:val="24"/>
        </w:rPr>
        <w:t>）曲线。土钉的位移不应包括试验反力装置的变形。</w:t>
      </w:r>
    </w:p>
    <w:p>
      <w:pPr>
        <w:spacing w:line="360" w:lineRule="auto"/>
        <w:rPr>
          <w:b/>
          <w:sz w:val="24"/>
        </w:rPr>
      </w:pPr>
      <w:r>
        <w:rPr>
          <w:rFonts w:hint="eastAsia"/>
          <w:b/>
          <w:sz w:val="24"/>
        </w:rPr>
        <w:t>E</w:t>
      </w:r>
      <w:r>
        <w:rPr>
          <w:b/>
          <w:sz w:val="24"/>
        </w:rPr>
        <w:t xml:space="preserve">.0.16  </w:t>
      </w:r>
      <w:r>
        <w:rPr>
          <w:rFonts w:hint="eastAsia"/>
          <w:sz w:val="24"/>
        </w:rPr>
        <w:t>土钉极限抗拔承载力标准值应按下列方法确定：</w:t>
      </w:r>
    </w:p>
    <w:p>
      <w:pPr>
        <w:spacing w:line="360" w:lineRule="auto"/>
        <w:ind w:firstLine="480" w:firstLineChars="200"/>
        <w:rPr>
          <w:sz w:val="24"/>
        </w:rPr>
      </w:pPr>
      <w:r>
        <w:rPr>
          <w:sz w:val="24"/>
        </w:rPr>
        <w:t xml:space="preserve">1  </w:t>
      </w:r>
      <w:r>
        <w:rPr>
          <w:rFonts w:hint="eastAsia"/>
          <w:sz w:val="24"/>
        </w:rPr>
        <w:t>土钉的极限抗拔承载力，在某级试验荷载下出现本规程E</w:t>
      </w:r>
      <w:r>
        <w:rPr>
          <w:sz w:val="24"/>
        </w:rPr>
        <w:t>.0.14</w:t>
      </w:r>
      <w:r>
        <w:rPr>
          <w:rFonts w:hint="eastAsia"/>
          <w:sz w:val="24"/>
        </w:rPr>
        <w:t>条规定的终止继续加载情况时，应取终止加载时的前一级荷载值；未出现时，应取终止加载时的荷载值；</w:t>
      </w:r>
    </w:p>
    <w:p>
      <w:pPr>
        <w:spacing w:line="360" w:lineRule="auto"/>
        <w:ind w:firstLine="480" w:firstLineChars="200"/>
        <w:rPr>
          <w:sz w:val="24"/>
        </w:rPr>
      </w:pPr>
      <w:r>
        <w:rPr>
          <w:sz w:val="24"/>
        </w:rPr>
        <w:t xml:space="preserve">2  </w:t>
      </w:r>
      <w:r>
        <w:rPr>
          <w:rFonts w:hint="eastAsia"/>
          <w:sz w:val="24"/>
        </w:rPr>
        <w:t>参加统计的试验土钉，当满足其级差不超过平均值的</w:t>
      </w:r>
      <w:r>
        <w:rPr>
          <w:sz w:val="24"/>
        </w:rPr>
        <w:t>30%</w:t>
      </w:r>
      <w:r>
        <w:rPr>
          <w:rFonts w:hint="eastAsia"/>
          <w:sz w:val="24"/>
        </w:rPr>
        <w:t>时，土钉极限抗拔承载力标准值可取平均值；当级差超过平均值的</w:t>
      </w:r>
      <w:r>
        <w:rPr>
          <w:sz w:val="24"/>
        </w:rPr>
        <w:t>30%</w:t>
      </w:r>
      <w:r>
        <w:rPr>
          <w:rFonts w:hint="eastAsia"/>
          <w:sz w:val="24"/>
        </w:rPr>
        <w:t>时，宜增加试验土钉数量，并应根据级差过大的原因，按实际情况重新进行统计后确定土钉极限抗拔承载力标准值。</w:t>
      </w:r>
    </w:p>
    <w:p>
      <w:pPr>
        <w:spacing w:line="360" w:lineRule="auto"/>
        <w:rPr>
          <w:b/>
          <w:sz w:val="24"/>
        </w:rPr>
      </w:pPr>
      <w:r>
        <w:rPr>
          <w:rFonts w:hint="eastAsia"/>
          <w:b/>
          <w:sz w:val="24"/>
        </w:rPr>
        <w:t>E</w:t>
      </w:r>
      <w:r>
        <w:rPr>
          <w:b/>
          <w:sz w:val="24"/>
        </w:rPr>
        <w:t xml:space="preserve">.0.17  </w:t>
      </w:r>
      <w:r>
        <w:rPr>
          <w:rFonts w:hint="eastAsia"/>
          <w:sz w:val="24"/>
        </w:rPr>
        <w:t>检测试验中，在抗拔承载力检测值下，土钉位移稳定或收敛应判定土钉合格。</w:t>
      </w:r>
    </w:p>
    <w:p>
      <w:pPr>
        <w:spacing w:line="360" w:lineRule="auto"/>
        <w:rPr>
          <w:b/>
          <w:sz w:val="24"/>
        </w:rPr>
      </w:pPr>
    </w:p>
    <w:p>
      <w:pPr>
        <w:spacing w:line="360" w:lineRule="auto"/>
        <w:rPr>
          <w:b/>
          <w:sz w:val="24"/>
        </w:rPr>
      </w:pPr>
    </w:p>
    <w:p>
      <w:pPr>
        <w:spacing w:line="360" w:lineRule="auto"/>
        <w:rPr>
          <w:b/>
          <w:sz w:val="24"/>
        </w:rPr>
        <w:sectPr>
          <w:pgSz w:w="11907" w:h="16840"/>
          <w:pgMar w:top="1418" w:right="1134" w:bottom="1134" w:left="1701" w:header="851" w:footer="851" w:gutter="0"/>
          <w:cols w:space="720" w:num="1"/>
          <w:docGrid w:linePitch="312" w:charSpace="0"/>
        </w:sectPr>
      </w:pPr>
    </w:p>
    <w:p>
      <w:pPr>
        <w:spacing w:line="320" w:lineRule="exact"/>
        <w:ind w:firstLine="480" w:firstLineChars="200"/>
        <w:jc w:val="center"/>
        <w:rPr>
          <w:bCs/>
          <w:sz w:val="24"/>
        </w:rPr>
      </w:pPr>
    </w:p>
    <w:p>
      <w:pPr>
        <w:spacing w:line="320" w:lineRule="exact"/>
        <w:ind w:firstLine="480" w:firstLineChars="200"/>
        <w:jc w:val="center"/>
        <w:outlineLvl w:val="0"/>
        <w:rPr>
          <w:sz w:val="24"/>
        </w:rPr>
      </w:pPr>
      <w:bookmarkStart w:id="151" w:name="_Toc87018299"/>
      <w:bookmarkStart w:id="152" w:name="_Toc87018368"/>
      <w:r>
        <w:rPr>
          <w:rFonts w:hint="eastAsia"/>
          <w:sz w:val="24"/>
        </w:rPr>
        <w:t>本规程用词说明</w:t>
      </w:r>
      <w:bookmarkEnd w:id="151"/>
      <w:bookmarkEnd w:id="152"/>
    </w:p>
    <w:p>
      <w:pPr>
        <w:spacing w:line="320" w:lineRule="exact"/>
        <w:ind w:firstLine="480" w:firstLineChars="200"/>
        <w:jc w:val="center"/>
        <w:rPr>
          <w:bCs/>
          <w:sz w:val="24"/>
        </w:rPr>
      </w:pPr>
    </w:p>
    <w:p>
      <w:pPr>
        <w:spacing w:line="320" w:lineRule="exact"/>
        <w:ind w:firstLine="480" w:firstLineChars="200"/>
        <w:jc w:val="center"/>
        <w:rPr>
          <w:bCs/>
          <w:sz w:val="24"/>
        </w:rPr>
      </w:pPr>
    </w:p>
    <w:p>
      <w:pPr>
        <w:spacing w:line="360" w:lineRule="auto"/>
        <w:rPr>
          <w:bCs/>
          <w:szCs w:val="21"/>
        </w:rPr>
      </w:pPr>
      <w:r>
        <w:rPr>
          <w:rFonts w:hint="eastAsia"/>
          <w:bCs/>
          <w:szCs w:val="21"/>
        </w:rPr>
        <w:t>1、为便于在执行本规程条文时区别对待，对要求严格程度不同的用词说明如下：</w:t>
      </w:r>
    </w:p>
    <w:p>
      <w:pPr>
        <w:spacing w:line="360" w:lineRule="auto"/>
        <w:ind w:firstLine="420" w:firstLineChars="200"/>
        <w:rPr>
          <w:bCs/>
          <w:szCs w:val="21"/>
        </w:rPr>
      </w:pPr>
      <w:r>
        <w:rPr>
          <w:rFonts w:hint="eastAsia"/>
          <w:bCs/>
          <w:szCs w:val="21"/>
        </w:rPr>
        <w:t>1）表示很严格，非这样做不可的；正面词采用“必须”，反面词采用“严禁”。</w:t>
      </w:r>
    </w:p>
    <w:p>
      <w:pPr>
        <w:spacing w:line="360" w:lineRule="auto"/>
        <w:ind w:firstLine="420" w:firstLineChars="200"/>
        <w:rPr>
          <w:bCs/>
          <w:szCs w:val="21"/>
        </w:rPr>
      </w:pPr>
      <w:r>
        <w:rPr>
          <w:rFonts w:hint="eastAsia"/>
          <w:bCs/>
          <w:szCs w:val="21"/>
        </w:rPr>
        <w:t>2）表示严格，在正常情况下均应这样做的；正面词采用“应”，反面词采用“不应”或“不得”。</w:t>
      </w:r>
    </w:p>
    <w:p>
      <w:pPr>
        <w:spacing w:line="360" w:lineRule="auto"/>
        <w:ind w:firstLine="420" w:firstLineChars="200"/>
        <w:rPr>
          <w:bCs/>
          <w:szCs w:val="21"/>
        </w:rPr>
      </w:pPr>
      <w:r>
        <w:rPr>
          <w:rFonts w:hint="eastAsia"/>
          <w:bCs/>
          <w:szCs w:val="21"/>
        </w:rPr>
        <w:t>3）表示允许稍有选择，在条件许可时首先应这样做；正面词采用“宜”，反面词采用“不宜”。</w:t>
      </w:r>
    </w:p>
    <w:p>
      <w:pPr>
        <w:spacing w:line="360" w:lineRule="auto"/>
        <w:ind w:firstLine="420" w:firstLineChars="200"/>
        <w:rPr>
          <w:bCs/>
          <w:szCs w:val="21"/>
        </w:rPr>
      </w:pPr>
      <w:r>
        <w:rPr>
          <w:rFonts w:hint="eastAsia"/>
          <w:bCs/>
          <w:szCs w:val="21"/>
        </w:rPr>
        <w:t>4）表示有选择，在一定条件下可以这样做的，采用“可”。</w:t>
      </w:r>
    </w:p>
    <w:p>
      <w:pPr>
        <w:spacing w:line="360" w:lineRule="auto"/>
        <w:rPr>
          <w:sz w:val="24"/>
        </w:rPr>
      </w:pPr>
      <w:r>
        <w:rPr>
          <w:rFonts w:hint="eastAsia"/>
          <w:bCs/>
          <w:szCs w:val="21"/>
        </w:rPr>
        <w:t>2、条文中指明应按其他有关标准执行的写法为：“应符合……的规定”或“应按……执行”。</w:t>
      </w:r>
    </w:p>
    <w:p>
      <w:pPr>
        <w:spacing w:line="360" w:lineRule="auto"/>
        <w:rPr>
          <w:sz w:val="24"/>
        </w:rPr>
      </w:pPr>
    </w:p>
    <w:p>
      <w:pPr>
        <w:spacing w:line="360" w:lineRule="auto"/>
        <w:rPr>
          <w:sz w:val="24"/>
        </w:rPr>
        <w:sectPr>
          <w:pgSz w:w="11907" w:h="16840"/>
          <w:pgMar w:top="1418" w:right="1134" w:bottom="1134" w:left="1701" w:header="851" w:footer="851" w:gutter="0"/>
          <w:cols w:space="720" w:num="1"/>
          <w:docGrid w:linePitch="312" w:charSpace="0"/>
        </w:sectPr>
      </w:pPr>
    </w:p>
    <w:p>
      <w:pPr>
        <w:spacing w:line="320" w:lineRule="exact"/>
        <w:ind w:firstLine="480" w:firstLineChars="200"/>
        <w:jc w:val="center"/>
        <w:outlineLvl w:val="0"/>
        <w:rPr>
          <w:sz w:val="24"/>
        </w:rPr>
      </w:pPr>
      <w:bookmarkStart w:id="153" w:name="_Toc87018300"/>
      <w:bookmarkStart w:id="154" w:name="_Toc87018369"/>
      <w:r>
        <w:rPr>
          <w:rFonts w:hint="eastAsia"/>
          <w:sz w:val="24"/>
        </w:rPr>
        <w:t>引用标准名录</w:t>
      </w:r>
      <w:bookmarkEnd w:id="153"/>
      <w:bookmarkEnd w:id="154"/>
    </w:p>
    <w:p>
      <w:pPr>
        <w:spacing w:line="360" w:lineRule="auto"/>
        <w:ind w:firstLine="480" w:firstLineChars="200"/>
        <w:rPr>
          <w:sz w:val="24"/>
        </w:rPr>
      </w:pP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《建筑地基基础设计规范》GB 50007</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《混凝土结构设计规范》GB 50010</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《钢结构设计规范》GB 50017</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《岩土工程勘察规范》GB50021</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《人民防空地下室设计规范》GB50038</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《地下工程防水技术规范》GB 50108</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《建筑地基基础施工质量验收标准》GB 50202</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《混凝土结构工程施工质量验收规范》GB 50204</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《建筑边坡工程技术规范》GB50330</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《钢结构焊接规范》GB50661</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《城市轨道交通工程监测技术规范》</w:t>
      </w:r>
      <w:r>
        <w:rPr>
          <w:rFonts w:asciiTheme="minorEastAsia" w:hAnsiTheme="minorEastAsia" w:eastAsiaTheme="minorEastAsia" w:cstheme="minorEastAsia"/>
          <w:bCs/>
          <w:szCs w:val="21"/>
        </w:rPr>
        <w:t>GB50911</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《土工试验方法标准》GB/T50123</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《工程岩体试验方法标准》GB/T 50266</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《预应力混凝土用钢绞线》GB/T5224</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《预应力筋用锚具、夹具和连接器》GB/T14370</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《热轧H型钢和部分T型钢》GB/T11263</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《城市轨道交通工程测量规范》GB/T50308</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《建筑钢结构焊接技术规程》JGJ 81</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《建筑桩基技术规范》JGJ 94</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《建筑基坑支护技术规程》JGJ 120</w:t>
      </w:r>
    </w:p>
    <w:p>
      <w:pPr>
        <w:spacing w:line="360" w:lineRule="auto"/>
        <w:ind w:firstLine="420" w:firstLineChars="20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《城市轨道交通结构安全保护技术规范》</w:t>
      </w:r>
      <w:r>
        <w:rPr>
          <w:rFonts w:asciiTheme="minorEastAsia" w:hAnsiTheme="minorEastAsia" w:eastAsiaTheme="minorEastAsia" w:cstheme="minorEastAsia"/>
          <w:bCs/>
          <w:szCs w:val="21"/>
        </w:rPr>
        <w:t>CJJ/T 202</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《焊接H型钢》YB3301</w:t>
      </w:r>
    </w:p>
    <w:p>
      <w:pPr>
        <w:spacing w:line="360" w:lineRule="auto"/>
        <w:ind w:firstLine="420" w:firstLineChars="200"/>
        <w:rPr>
          <w:rFonts w:asciiTheme="minorEastAsia" w:hAnsiTheme="minorEastAsia" w:eastAsiaTheme="minorEastAsia" w:cstheme="minorEastAsia"/>
          <w:bCs/>
          <w:szCs w:val="21"/>
        </w:rPr>
      </w:pPr>
      <w:r>
        <w:rPr>
          <w:rFonts w:asciiTheme="minorEastAsia" w:hAnsiTheme="minorEastAsia" w:eastAsiaTheme="minorEastAsia" w:cstheme="minorEastAsia"/>
          <w:bCs/>
          <w:szCs w:val="21"/>
        </w:rPr>
        <w:t>《云南省建筑基坑支护技术规程》</w:t>
      </w:r>
      <w:r>
        <w:rPr>
          <w:rFonts w:hint="eastAsia" w:asciiTheme="minorEastAsia" w:hAnsiTheme="minorEastAsia" w:eastAsiaTheme="minorEastAsia" w:cstheme="minorEastAsia"/>
          <w:bCs/>
          <w:szCs w:val="21"/>
        </w:rPr>
        <w:t>DBJ 53/T-71</w:t>
      </w:r>
    </w:p>
    <w:p>
      <w:pPr>
        <w:spacing w:line="360" w:lineRule="auto"/>
        <w:rPr>
          <w:rFonts w:asciiTheme="minorEastAsia" w:hAnsiTheme="minorEastAsia" w:eastAsiaTheme="minorEastAsia" w:cstheme="minorEastAsia"/>
          <w:bCs/>
          <w:szCs w:val="21"/>
        </w:rPr>
      </w:pPr>
    </w:p>
    <w:p>
      <w:pPr>
        <w:spacing w:line="360" w:lineRule="auto"/>
        <w:rPr>
          <w:sz w:val="24"/>
        </w:rPr>
      </w:pPr>
    </w:p>
    <w:p>
      <w:pPr>
        <w:spacing w:line="360" w:lineRule="auto"/>
        <w:rPr>
          <w:sz w:val="24"/>
        </w:rPr>
        <w:sectPr>
          <w:pgSz w:w="11907" w:h="16840"/>
          <w:pgMar w:top="1418" w:right="1134" w:bottom="1134" w:left="1701" w:header="851" w:footer="851" w:gutter="0"/>
          <w:cols w:space="720" w:num="1"/>
          <w:docGrid w:linePitch="312" w:charSpace="0"/>
        </w:sect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30"/>
          <w:szCs w:val="30"/>
        </w:rPr>
      </w:pPr>
    </w:p>
    <w:p>
      <w:pPr>
        <w:spacing w:line="360" w:lineRule="auto"/>
        <w:jc w:val="center"/>
        <w:rPr>
          <w:b/>
          <w:sz w:val="30"/>
          <w:szCs w:val="30"/>
        </w:rPr>
      </w:pPr>
    </w:p>
    <w:p>
      <w:pPr>
        <w:spacing w:line="360" w:lineRule="auto"/>
        <w:jc w:val="center"/>
        <w:rPr>
          <w:b/>
          <w:sz w:val="30"/>
          <w:szCs w:val="30"/>
        </w:rPr>
      </w:pPr>
      <w:r>
        <w:rPr>
          <w:b/>
          <w:sz w:val="30"/>
          <w:szCs w:val="30"/>
        </w:rPr>
        <w:t>昆明地区深基坑勘察设计规</w:t>
      </w:r>
      <w:r>
        <w:rPr>
          <w:rFonts w:hint="eastAsia"/>
          <w:b/>
          <w:sz w:val="30"/>
          <w:szCs w:val="30"/>
        </w:rPr>
        <w:t>程</w:t>
      </w:r>
    </w:p>
    <w:p>
      <w:pPr>
        <w:spacing w:line="360" w:lineRule="auto"/>
        <w:jc w:val="center"/>
        <w:outlineLvl w:val="0"/>
        <w:rPr>
          <w:b/>
          <w:sz w:val="28"/>
          <w:szCs w:val="28"/>
        </w:rPr>
      </w:pPr>
      <w:bookmarkStart w:id="155" w:name="_Toc45197167"/>
      <w:bookmarkStart w:id="156" w:name="_Toc87018301"/>
      <w:bookmarkStart w:id="157" w:name="_Toc87018370"/>
      <w:r>
        <w:rPr>
          <w:rFonts w:hint="eastAsia"/>
          <w:b/>
          <w:sz w:val="28"/>
          <w:szCs w:val="28"/>
        </w:rPr>
        <w:t>条文说明</w:t>
      </w:r>
      <w:bookmarkEnd w:id="155"/>
      <w:bookmarkEnd w:id="156"/>
      <w:bookmarkEnd w:id="157"/>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pPr>
      <w:r>
        <w:rPr>
          <w:rFonts w:hint="eastAsia"/>
          <w:b/>
          <w:sz w:val="28"/>
          <w:szCs w:val="28"/>
        </w:rPr>
        <w:t>2020年7月</w:t>
      </w:r>
    </w:p>
    <w:p>
      <w:pPr>
        <w:spacing w:line="360" w:lineRule="auto"/>
        <w:jc w:val="center"/>
        <w:rPr>
          <w:b/>
          <w:sz w:val="28"/>
          <w:szCs w:val="28"/>
        </w:rPr>
      </w:pPr>
    </w:p>
    <w:p>
      <w:pPr>
        <w:spacing w:line="360" w:lineRule="auto"/>
        <w:jc w:val="center"/>
        <w:rPr>
          <w:b/>
          <w:sz w:val="28"/>
          <w:szCs w:val="28"/>
        </w:rPr>
      </w:pPr>
    </w:p>
    <w:p>
      <w:pPr>
        <w:spacing w:line="360" w:lineRule="auto"/>
        <w:jc w:val="center"/>
        <w:rPr>
          <w:b/>
          <w:sz w:val="28"/>
          <w:szCs w:val="28"/>
        </w:rPr>
        <w:sectPr>
          <w:footerReference r:id="rId12" w:type="first"/>
          <w:headerReference r:id="rId9" w:type="default"/>
          <w:footerReference r:id="rId11" w:type="default"/>
          <w:headerReference r:id="rId10" w:type="even"/>
          <w:pgSz w:w="11907" w:h="16840"/>
          <w:pgMar w:top="1418" w:right="1134" w:bottom="1134" w:left="1701" w:header="851" w:footer="567" w:gutter="0"/>
          <w:cols w:space="720" w:num="1"/>
          <w:titlePg/>
          <w:docGrid w:linePitch="312" w:charSpace="0"/>
        </w:sectPr>
      </w:pPr>
    </w:p>
    <w:p>
      <w:pPr>
        <w:spacing w:line="360" w:lineRule="auto"/>
        <w:jc w:val="center"/>
        <w:rPr>
          <w:b/>
          <w:sz w:val="28"/>
          <w:szCs w:val="28"/>
        </w:rPr>
      </w:pPr>
      <w:r>
        <w:rPr>
          <w:b/>
          <w:sz w:val="28"/>
          <w:szCs w:val="28"/>
        </w:rPr>
        <w:t xml:space="preserve">目 </w:t>
      </w:r>
      <w:r>
        <w:rPr>
          <w:rFonts w:hint="eastAsia"/>
          <w:b/>
          <w:sz w:val="28"/>
          <w:szCs w:val="28"/>
        </w:rPr>
        <w:t>次</w:t>
      </w:r>
    </w:p>
    <w:p>
      <w:pPr>
        <w:pStyle w:val="12"/>
        <w:tabs>
          <w:tab w:val="right" w:leader="dot" w:pos="9062"/>
        </w:tabs>
        <w:spacing w:line="312" w:lineRule="auto"/>
        <w:rPr>
          <w:rStyle w:val="34"/>
          <w:rFonts w:ascii="Times New Roman" w:hAnsi="Times New Roman"/>
          <w:i w:val="0"/>
          <w:sz w:val="24"/>
          <w:szCs w:val="24"/>
        </w:rPr>
      </w:pPr>
      <w:r>
        <w:fldChar w:fldCharType="begin"/>
      </w:r>
      <w:r>
        <w:instrText xml:space="preserve"> TOC \o "1-4" \h \z \u </w:instrText>
      </w:r>
      <w:r>
        <w:fldChar w:fldCharType="separate"/>
      </w:r>
      <w:r>
        <w:fldChar w:fldCharType="begin"/>
      </w:r>
      <w:r>
        <w:instrText xml:space="preserve"> HYPERLINK \l "_Toc45197168" </w:instrText>
      </w:r>
      <w:r>
        <w:fldChar w:fldCharType="separate"/>
      </w:r>
      <w:r>
        <w:rPr>
          <w:rStyle w:val="34"/>
          <w:rFonts w:ascii="Times New Roman" w:hAnsi="Times New Roman"/>
          <w:i w:val="0"/>
          <w:sz w:val="24"/>
          <w:szCs w:val="24"/>
        </w:rPr>
        <w:t>1  总则</w:t>
      </w:r>
      <w:r>
        <w:rPr>
          <w:rStyle w:val="34"/>
          <w:rFonts w:ascii="Times New Roman" w:hAnsi="Times New Roman"/>
          <w:i w:val="0"/>
          <w:sz w:val="24"/>
          <w:szCs w:val="24"/>
        </w:rPr>
        <w:tab/>
      </w:r>
      <w:r>
        <w:rPr>
          <w:rStyle w:val="34"/>
          <w:rFonts w:ascii="Times New Roman" w:hAnsi="Times New Roman"/>
          <w:i w:val="0"/>
          <w:sz w:val="24"/>
          <w:szCs w:val="24"/>
        </w:rPr>
        <w:fldChar w:fldCharType="begin"/>
      </w:r>
      <w:r>
        <w:rPr>
          <w:rStyle w:val="34"/>
          <w:rFonts w:ascii="Times New Roman" w:hAnsi="Times New Roman"/>
          <w:i w:val="0"/>
          <w:sz w:val="24"/>
          <w:szCs w:val="24"/>
        </w:rPr>
        <w:instrText xml:space="preserve"> PAGEREF _Toc45197168 \h </w:instrText>
      </w:r>
      <w:r>
        <w:rPr>
          <w:rStyle w:val="34"/>
          <w:rFonts w:ascii="Times New Roman" w:hAnsi="Times New Roman"/>
          <w:i w:val="0"/>
          <w:sz w:val="24"/>
          <w:szCs w:val="24"/>
        </w:rPr>
        <w:fldChar w:fldCharType="separate"/>
      </w:r>
      <w:r>
        <w:rPr>
          <w:rStyle w:val="34"/>
          <w:rFonts w:ascii="Times New Roman" w:hAnsi="Times New Roman"/>
          <w:i w:val="0"/>
          <w:sz w:val="24"/>
          <w:szCs w:val="24"/>
        </w:rPr>
        <w:t>107</w:t>
      </w:r>
      <w:r>
        <w:rPr>
          <w:rStyle w:val="34"/>
          <w:rFonts w:ascii="Times New Roman" w:hAnsi="Times New Roman"/>
          <w:i w:val="0"/>
          <w:sz w:val="24"/>
          <w:szCs w:val="24"/>
        </w:rPr>
        <w:fldChar w:fldCharType="end"/>
      </w:r>
      <w:r>
        <w:rPr>
          <w:rStyle w:val="34"/>
          <w:rFonts w:ascii="Times New Roman" w:hAnsi="Times New Roman"/>
          <w:i w:val="0"/>
          <w:sz w:val="24"/>
          <w:szCs w:val="24"/>
        </w:rPr>
        <w:fldChar w:fldCharType="end"/>
      </w:r>
    </w:p>
    <w:p>
      <w:pPr>
        <w:pStyle w:val="12"/>
        <w:tabs>
          <w:tab w:val="right" w:leader="dot" w:pos="9062"/>
        </w:tabs>
        <w:spacing w:line="312" w:lineRule="auto"/>
        <w:rPr>
          <w:rFonts w:ascii="Times New Roman" w:hAnsi="Times New Roman"/>
          <w:i w:val="0"/>
          <w:iCs w:val="0"/>
          <w:sz w:val="24"/>
          <w:szCs w:val="24"/>
        </w:rPr>
      </w:pPr>
      <w:r>
        <w:fldChar w:fldCharType="begin"/>
      </w:r>
      <w:r>
        <w:instrText xml:space="preserve"> HYPERLINK \l "_Toc45197169" </w:instrText>
      </w:r>
      <w:r>
        <w:fldChar w:fldCharType="separate"/>
      </w:r>
      <w:r>
        <w:rPr>
          <w:rStyle w:val="34"/>
          <w:rFonts w:ascii="Times New Roman" w:hAnsi="Times New Roman"/>
          <w:i w:val="0"/>
          <w:sz w:val="24"/>
          <w:szCs w:val="24"/>
        </w:rPr>
        <w:t>3  基本规定</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_Toc45197169 \h </w:instrText>
      </w:r>
      <w:r>
        <w:rPr>
          <w:rFonts w:ascii="Times New Roman" w:hAnsi="Times New Roman"/>
          <w:i w:val="0"/>
          <w:sz w:val="24"/>
          <w:szCs w:val="24"/>
        </w:rPr>
        <w:fldChar w:fldCharType="separate"/>
      </w:r>
      <w:r>
        <w:rPr>
          <w:rFonts w:ascii="Times New Roman" w:hAnsi="Times New Roman"/>
          <w:i w:val="0"/>
          <w:sz w:val="24"/>
          <w:szCs w:val="24"/>
        </w:rPr>
        <w:t>108</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"_Toc45197170" </w:instrText>
      </w:r>
      <w:r>
        <w:fldChar w:fldCharType="separate"/>
      </w:r>
      <w:r>
        <w:rPr>
          <w:rStyle w:val="34"/>
          <w:rFonts w:ascii="Times New Roman" w:hAnsi="Times New Roman"/>
          <w:sz w:val="24"/>
          <w:szCs w:val="24"/>
        </w:rPr>
        <w:t>3.1  勘察与环境调查</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_Toc45197170 \h </w:instrText>
      </w:r>
      <w:r>
        <w:rPr>
          <w:rFonts w:ascii="Times New Roman" w:hAnsi="Times New Roman"/>
          <w:sz w:val="24"/>
          <w:szCs w:val="24"/>
        </w:rPr>
        <w:fldChar w:fldCharType="separate"/>
      </w:r>
      <w:r>
        <w:rPr>
          <w:rFonts w:ascii="Times New Roman" w:hAnsi="Times New Roman"/>
          <w:sz w:val="24"/>
          <w:szCs w:val="24"/>
        </w:rPr>
        <w:t>108</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"_Toc45197171" </w:instrText>
      </w:r>
      <w:r>
        <w:fldChar w:fldCharType="separate"/>
      </w:r>
      <w:r>
        <w:rPr>
          <w:rStyle w:val="34"/>
          <w:rFonts w:ascii="Times New Roman" w:hAnsi="Times New Roman"/>
          <w:sz w:val="24"/>
          <w:szCs w:val="24"/>
        </w:rPr>
        <w:t>3.2  设计原则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_Toc45197171 \h </w:instrText>
      </w:r>
      <w:r>
        <w:rPr>
          <w:rFonts w:ascii="Times New Roman" w:hAnsi="Times New Roman"/>
          <w:sz w:val="24"/>
          <w:szCs w:val="24"/>
        </w:rPr>
        <w:fldChar w:fldCharType="separate"/>
      </w:r>
      <w:r>
        <w:rPr>
          <w:rFonts w:ascii="Times New Roman" w:hAnsi="Times New Roman"/>
          <w:sz w:val="24"/>
          <w:szCs w:val="24"/>
        </w:rPr>
        <w:t>108</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062"/>
        </w:tabs>
        <w:spacing w:line="312" w:lineRule="auto"/>
        <w:rPr>
          <w:rFonts w:ascii="Times New Roman" w:hAnsi="Times New Roman"/>
          <w:i w:val="0"/>
          <w:iCs w:val="0"/>
          <w:sz w:val="24"/>
          <w:szCs w:val="24"/>
        </w:rPr>
      </w:pPr>
      <w:r>
        <w:fldChar w:fldCharType="begin"/>
      </w:r>
      <w:r>
        <w:instrText xml:space="preserve"> HYPERLINK \l "_Toc45197172" </w:instrText>
      </w:r>
      <w:r>
        <w:fldChar w:fldCharType="separate"/>
      </w:r>
      <w:r>
        <w:rPr>
          <w:rStyle w:val="34"/>
          <w:rFonts w:ascii="Times New Roman" w:hAnsi="Times New Roman"/>
          <w:i w:val="0"/>
          <w:sz w:val="24"/>
          <w:szCs w:val="24"/>
        </w:rPr>
        <w:t>4  基坑工程勘察与周边环境调查</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_Toc45197172 \h </w:instrText>
      </w:r>
      <w:r>
        <w:rPr>
          <w:rFonts w:ascii="Times New Roman" w:hAnsi="Times New Roman"/>
          <w:i w:val="0"/>
          <w:sz w:val="24"/>
          <w:szCs w:val="24"/>
        </w:rPr>
        <w:fldChar w:fldCharType="separate"/>
      </w:r>
      <w:r>
        <w:rPr>
          <w:rFonts w:ascii="Times New Roman" w:hAnsi="Times New Roman"/>
          <w:i w:val="0"/>
          <w:sz w:val="24"/>
          <w:szCs w:val="24"/>
        </w:rPr>
        <w:t>109</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"_Toc45197173" </w:instrText>
      </w:r>
      <w:r>
        <w:fldChar w:fldCharType="separate"/>
      </w:r>
      <w:r>
        <w:rPr>
          <w:rStyle w:val="34"/>
          <w:rFonts w:ascii="Times New Roman" w:hAnsi="Times New Roman"/>
          <w:sz w:val="24"/>
          <w:szCs w:val="24"/>
        </w:rPr>
        <w:t>4.1  一般规定</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_Toc45197173 \h </w:instrText>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"_Toc45197174" </w:instrText>
      </w:r>
      <w:r>
        <w:fldChar w:fldCharType="separate"/>
      </w:r>
      <w:r>
        <w:rPr>
          <w:rStyle w:val="34"/>
          <w:rFonts w:ascii="Times New Roman" w:hAnsi="Times New Roman"/>
          <w:sz w:val="24"/>
          <w:szCs w:val="24"/>
        </w:rPr>
        <w:t>4.2  周边环境调查</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_Toc45197174 \h </w:instrText>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"_Toc45197175" </w:instrText>
      </w:r>
      <w:r>
        <w:fldChar w:fldCharType="separate"/>
      </w:r>
      <w:r>
        <w:rPr>
          <w:rStyle w:val="34"/>
          <w:rFonts w:ascii="Times New Roman" w:hAnsi="Times New Roman"/>
          <w:sz w:val="24"/>
          <w:szCs w:val="24"/>
        </w:rPr>
        <w:t>4.3  勘察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_Toc45197175 \h </w:instrText>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"_Toc45197176" </w:instrText>
      </w:r>
      <w:r>
        <w:fldChar w:fldCharType="separate"/>
      </w:r>
      <w:r>
        <w:rPr>
          <w:rStyle w:val="34"/>
          <w:rFonts w:ascii="Times New Roman" w:hAnsi="Times New Roman"/>
          <w:sz w:val="24"/>
          <w:szCs w:val="24"/>
        </w:rPr>
        <w:t>4.4  样品采取与室内试验</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_Toc45197176 \h </w:instrText>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"_Toc45197177" </w:instrText>
      </w:r>
      <w:r>
        <w:fldChar w:fldCharType="separate"/>
      </w:r>
      <w:r>
        <w:rPr>
          <w:rStyle w:val="34"/>
          <w:rFonts w:ascii="Times New Roman" w:hAnsi="Times New Roman"/>
          <w:sz w:val="24"/>
          <w:szCs w:val="24"/>
        </w:rPr>
        <w:t>4.6  水文地质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_Toc45197177 \h </w:instrText>
      </w:r>
      <w:r>
        <w:rPr>
          <w:rFonts w:ascii="Times New Roman" w:hAnsi="Times New Roman"/>
          <w:sz w:val="24"/>
          <w:szCs w:val="24"/>
        </w:rPr>
        <w:fldChar w:fldCharType="separate"/>
      </w:r>
      <w:r>
        <w:rPr>
          <w:rFonts w:ascii="Times New Roman" w:hAnsi="Times New Roman"/>
          <w:sz w:val="24"/>
          <w:szCs w:val="24"/>
        </w:rPr>
        <w:t>110</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"_Toc45197178" </w:instrText>
      </w:r>
      <w:r>
        <w:fldChar w:fldCharType="separate"/>
      </w:r>
      <w:r>
        <w:rPr>
          <w:rStyle w:val="34"/>
          <w:rFonts w:ascii="Times New Roman" w:hAnsi="Times New Roman"/>
          <w:sz w:val="24"/>
          <w:szCs w:val="24"/>
        </w:rPr>
        <w:t>4.7  基坑稳定性分析评价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_Toc45197178 \h </w:instrText>
      </w:r>
      <w:r>
        <w:rPr>
          <w:rFonts w:ascii="Times New Roman" w:hAnsi="Times New Roman"/>
          <w:sz w:val="24"/>
          <w:szCs w:val="24"/>
        </w:rPr>
        <w:fldChar w:fldCharType="separate"/>
      </w:r>
      <w:r>
        <w:rPr>
          <w:rFonts w:ascii="Times New Roman" w:hAnsi="Times New Roman"/>
          <w:sz w:val="24"/>
          <w:szCs w:val="24"/>
        </w:rPr>
        <w:t>110</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"_Toc45197179" </w:instrText>
      </w:r>
      <w:r>
        <w:fldChar w:fldCharType="separate"/>
      </w:r>
      <w:r>
        <w:rPr>
          <w:rStyle w:val="34"/>
          <w:rFonts w:ascii="Times New Roman" w:hAnsi="Times New Roman"/>
          <w:sz w:val="24"/>
          <w:szCs w:val="24"/>
        </w:rPr>
        <w:t>4.8  勘察成果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_Toc45197179 \h </w:instrText>
      </w:r>
      <w:r>
        <w:rPr>
          <w:rFonts w:ascii="Times New Roman" w:hAnsi="Times New Roman"/>
          <w:sz w:val="24"/>
          <w:szCs w:val="24"/>
        </w:rPr>
        <w:fldChar w:fldCharType="separate"/>
      </w:r>
      <w:r>
        <w:rPr>
          <w:rFonts w:ascii="Times New Roman" w:hAnsi="Times New Roman"/>
          <w:sz w:val="24"/>
          <w:szCs w:val="24"/>
        </w:rPr>
        <w:t>110</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062"/>
        </w:tabs>
        <w:spacing w:line="312" w:lineRule="auto"/>
        <w:rPr>
          <w:rFonts w:ascii="Times New Roman" w:hAnsi="Times New Roman"/>
          <w:i w:val="0"/>
          <w:iCs w:val="0"/>
          <w:sz w:val="24"/>
          <w:szCs w:val="24"/>
        </w:rPr>
      </w:pPr>
      <w:r>
        <w:fldChar w:fldCharType="begin"/>
      </w:r>
      <w:r>
        <w:instrText xml:space="preserve"> HYPERLINK \l "_Toc45197180" </w:instrText>
      </w:r>
      <w:r>
        <w:fldChar w:fldCharType="separate"/>
      </w:r>
      <w:r>
        <w:rPr>
          <w:rStyle w:val="34"/>
          <w:rFonts w:ascii="Times New Roman" w:hAnsi="Times New Roman"/>
          <w:i w:val="0"/>
          <w:sz w:val="24"/>
          <w:szCs w:val="24"/>
        </w:rPr>
        <w:t>5  支护设计</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_Toc45197180 \h </w:instrText>
      </w:r>
      <w:r>
        <w:rPr>
          <w:rFonts w:ascii="Times New Roman" w:hAnsi="Times New Roman"/>
          <w:i w:val="0"/>
          <w:sz w:val="24"/>
          <w:szCs w:val="24"/>
        </w:rPr>
        <w:fldChar w:fldCharType="separate"/>
      </w:r>
      <w:r>
        <w:rPr>
          <w:rFonts w:ascii="Times New Roman" w:hAnsi="Times New Roman"/>
          <w:i w:val="0"/>
          <w:sz w:val="24"/>
          <w:szCs w:val="24"/>
        </w:rPr>
        <w:t>111</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"_Toc45197181" </w:instrText>
      </w:r>
      <w:r>
        <w:fldChar w:fldCharType="separate"/>
      </w:r>
      <w:r>
        <w:rPr>
          <w:rStyle w:val="34"/>
          <w:rFonts w:ascii="Times New Roman" w:hAnsi="Times New Roman"/>
          <w:sz w:val="24"/>
          <w:szCs w:val="24"/>
        </w:rPr>
        <w:t>5.1  一般规定</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_Toc45197181 \h </w:instrText>
      </w:r>
      <w:r>
        <w:rPr>
          <w:rFonts w:ascii="Times New Roman" w:hAnsi="Times New Roman"/>
          <w:sz w:val="24"/>
          <w:szCs w:val="24"/>
        </w:rPr>
        <w:fldChar w:fldCharType="separate"/>
      </w:r>
      <w:r>
        <w:rPr>
          <w:rFonts w:ascii="Times New Roman" w:hAnsi="Times New Roman"/>
          <w:sz w:val="24"/>
          <w:szCs w:val="24"/>
        </w:rPr>
        <w:t>111</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"_Toc45197182" </w:instrText>
      </w:r>
      <w:r>
        <w:fldChar w:fldCharType="separate"/>
      </w:r>
      <w:r>
        <w:rPr>
          <w:rStyle w:val="34"/>
          <w:rFonts w:ascii="Times New Roman" w:hAnsi="Times New Roman"/>
          <w:sz w:val="24"/>
          <w:szCs w:val="24"/>
        </w:rPr>
        <w:t>5.3  水平荷载计算</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_Toc45197182 \h </w:instrText>
      </w:r>
      <w:r>
        <w:rPr>
          <w:rFonts w:ascii="Times New Roman" w:hAnsi="Times New Roman"/>
          <w:sz w:val="24"/>
          <w:szCs w:val="24"/>
        </w:rPr>
        <w:fldChar w:fldCharType="separate"/>
      </w:r>
      <w:r>
        <w:rPr>
          <w:rFonts w:ascii="Times New Roman" w:hAnsi="Times New Roman"/>
          <w:sz w:val="24"/>
          <w:szCs w:val="24"/>
        </w:rPr>
        <w:t>111</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"_Toc45197183" </w:instrText>
      </w:r>
      <w:r>
        <w:fldChar w:fldCharType="separate"/>
      </w:r>
      <w:r>
        <w:rPr>
          <w:rStyle w:val="34"/>
          <w:rFonts w:ascii="Times New Roman" w:hAnsi="Times New Roman"/>
          <w:sz w:val="24"/>
          <w:szCs w:val="24"/>
        </w:rPr>
        <w:t>5.4  稳定性验算</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_Toc45197183 \h </w:instrText>
      </w:r>
      <w:r>
        <w:rPr>
          <w:rFonts w:ascii="Times New Roman" w:hAnsi="Times New Roman"/>
          <w:sz w:val="24"/>
          <w:szCs w:val="24"/>
        </w:rPr>
        <w:fldChar w:fldCharType="separate"/>
      </w:r>
      <w:r>
        <w:rPr>
          <w:rFonts w:ascii="Times New Roman" w:hAnsi="Times New Roman"/>
          <w:sz w:val="24"/>
          <w:szCs w:val="24"/>
        </w:rPr>
        <w:t>111</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"_Toc45197184" </w:instrText>
      </w:r>
      <w:r>
        <w:fldChar w:fldCharType="separate"/>
      </w:r>
      <w:r>
        <w:rPr>
          <w:rStyle w:val="34"/>
          <w:rFonts w:ascii="Times New Roman" w:hAnsi="Times New Roman"/>
          <w:sz w:val="24"/>
          <w:szCs w:val="24"/>
        </w:rPr>
        <w:t>5.5  排桩支护</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_Toc45197184 \h </w:instrText>
      </w:r>
      <w:r>
        <w:rPr>
          <w:rFonts w:ascii="Times New Roman" w:hAnsi="Times New Roman"/>
          <w:sz w:val="24"/>
          <w:szCs w:val="24"/>
        </w:rPr>
        <w:fldChar w:fldCharType="separate"/>
      </w:r>
      <w:r>
        <w:rPr>
          <w:rFonts w:ascii="Times New Roman" w:hAnsi="Times New Roman"/>
          <w:sz w:val="24"/>
          <w:szCs w:val="24"/>
        </w:rPr>
        <w:t>111</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"_Toc45197185" </w:instrText>
      </w:r>
      <w:r>
        <w:fldChar w:fldCharType="separate"/>
      </w:r>
      <w:r>
        <w:rPr>
          <w:rStyle w:val="34"/>
          <w:rFonts w:ascii="Times New Roman" w:hAnsi="Times New Roman"/>
          <w:sz w:val="24"/>
          <w:szCs w:val="24"/>
        </w:rPr>
        <w:t>5.6  桩锚支护</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_Toc45197185 \h </w:instrText>
      </w:r>
      <w:r>
        <w:rPr>
          <w:rFonts w:ascii="Times New Roman" w:hAnsi="Times New Roman"/>
          <w:sz w:val="24"/>
          <w:szCs w:val="24"/>
        </w:rPr>
        <w:fldChar w:fldCharType="separate"/>
      </w:r>
      <w:r>
        <w:rPr>
          <w:rFonts w:ascii="Times New Roman" w:hAnsi="Times New Roman"/>
          <w:sz w:val="24"/>
          <w:szCs w:val="24"/>
        </w:rPr>
        <w:t>113</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"_Toc45197186" </w:instrText>
      </w:r>
      <w:r>
        <w:fldChar w:fldCharType="separate"/>
      </w:r>
      <w:r>
        <w:rPr>
          <w:rStyle w:val="34"/>
          <w:rFonts w:ascii="Times New Roman" w:hAnsi="Times New Roman"/>
          <w:sz w:val="24"/>
          <w:szCs w:val="24"/>
        </w:rPr>
        <w:t>5.7  内支撑</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_Toc45197186 \h </w:instrText>
      </w:r>
      <w:r>
        <w:rPr>
          <w:rFonts w:ascii="Times New Roman" w:hAnsi="Times New Roman"/>
          <w:sz w:val="24"/>
          <w:szCs w:val="24"/>
        </w:rPr>
        <w:fldChar w:fldCharType="separate"/>
      </w:r>
      <w:r>
        <w:rPr>
          <w:rFonts w:ascii="Times New Roman" w:hAnsi="Times New Roman"/>
          <w:sz w:val="24"/>
          <w:szCs w:val="24"/>
        </w:rPr>
        <w:t>113</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"_Toc45197187" </w:instrText>
      </w:r>
      <w:r>
        <w:fldChar w:fldCharType="separate"/>
      </w:r>
      <w:r>
        <w:rPr>
          <w:rStyle w:val="34"/>
          <w:rFonts w:ascii="Times New Roman" w:hAnsi="Times New Roman"/>
          <w:sz w:val="24"/>
          <w:szCs w:val="24"/>
        </w:rPr>
        <w:t>5.9  型钢水泥土搅拌墙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_Toc45197187 \h </w:instrText>
      </w:r>
      <w:r>
        <w:rPr>
          <w:rFonts w:ascii="Times New Roman" w:hAnsi="Times New Roman"/>
          <w:sz w:val="24"/>
          <w:szCs w:val="24"/>
        </w:rPr>
        <w:fldChar w:fldCharType="separate"/>
      </w:r>
      <w:r>
        <w:rPr>
          <w:rFonts w:ascii="Times New Roman" w:hAnsi="Times New Roman"/>
          <w:sz w:val="24"/>
          <w:szCs w:val="24"/>
        </w:rPr>
        <w:t>116</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"_Toc45197188" </w:instrText>
      </w:r>
      <w:r>
        <w:fldChar w:fldCharType="separate"/>
      </w:r>
      <w:r>
        <w:rPr>
          <w:rStyle w:val="34"/>
          <w:rFonts w:ascii="Times New Roman" w:hAnsi="Times New Roman"/>
          <w:sz w:val="24"/>
          <w:szCs w:val="24"/>
        </w:rPr>
        <w:t>5.10  钢板桩支护</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_Toc45197188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"_Toc45197189" </w:instrText>
      </w:r>
      <w:r>
        <w:fldChar w:fldCharType="separate"/>
      </w:r>
      <w:r>
        <w:rPr>
          <w:rStyle w:val="34"/>
          <w:rFonts w:ascii="Times New Roman" w:hAnsi="Times New Roman"/>
          <w:sz w:val="24"/>
          <w:szCs w:val="24"/>
        </w:rPr>
        <w:t>5.11  地下连续墙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_Toc45197189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"_Toc45197190" </w:instrText>
      </w:r>
      <w:r>
        <w:fldChar w:fldCharType="separate"/>
      </w:r>
      <w:r>
        <w:rPr>
          <w:rStyle w:val="34"/>
          <w:rFonts w:ascii="Times New Roman" w:hAnsi="Times New Roman"/>
          <w:sz w:val="24"/>
          <w:szCs w:val="24"/>
        </w:rPr>
        <w:t>5.12  坡率法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_Toc45197190 \h </w:instrText>
      </w:r>
      <w:r>
        <w:rPr>
          <w:rFonts w:ascii="Times New Roman" w:hAnsi="Times New Roman"/>
          <w:sz w:val="24"/>
          <w:szCs w:val="24"/>
        </w:rPr>
        <w:fldChar w:fldCharType="separate"/>
      </w:r>
      <w:r>
        <w:rPr>
          <w:rFonts w:ascii="Times New Roman" w:hAnsi="Times New Roman"/>
          <w:sz w:val="24"/>
          <w:szCs w:val="24"/>
        </w:rPr>
        <w:t>120</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062"/>
        </w:tabs>
        <w:spacing w:line="312" w:lineRule="auto"/>
        <w:rPr>
          <w:rFonts w:ascii="Times New Roman" w:hAnsi="Times New Roman"/>
          <w:i w:val="0"/>
          <w:iCs w:val="0"/>
          <w:sz w:val="24"/>
          <w:szCs w:val="24"/>
        </w:rPr>
      </w:pPr>
      <w:r>
        <w:fldChar w:fldCharType="begin"/>
      </w:r>
      <w:r>
        <w:instrText xml:space="preserve"> HYPERLINK \l "_Toc45197191" </w:instrText>
      </w:r>
      <w:r>
        <w:fldChar w:fldCharType="separate"/>
      </w:r>
      <w:r>
        <w:rPr>
          <w:rStyle w:val="34"/>
          <w:rFonts w:ascii="Times New Roman" w:hAnsi="Times New Roman"/>
          <w:i w:val="0"/>
          <w:sz w:val="24"/>
          <w:szCs w:val="24"/>
        </w:rPr>
        <w:t>6  特殊条件基坑</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_Toc45197191 \h </w:instrText>
      </w:r>
      <w:r>
        <w:rPr>
          <w:rFonts w:ascii="Times New Roman" w:hAnsi="Times New Roman"/>
          <w:i w:val="0"/>
          <w:sz w:val="24"/>
          <w:szCs w:val="24"/>
        </w:rPr>
        <w:fldChar w:fldCharType="separate"/>
      </w:r>
      <w:r>
        <w:rPr>
          <w:rFonts w:ascii="Times New Roman" w:hAnsi="Times New Roman"/>
          <w:i w:val="0"/>
          <w:sz w:val="24"/>
          <w:szCs w:val="24"/>
        </w:rPr>
        <w:t>122</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"_Toc45197192" </w:instrText>
      </w:r>
      <w:r>
        <w:fldChar w:fldCharType="separate"/>
      </w:r>
      <w:r>
        <w:rPr>
          <w:rStyle w:val="34"/>
          <w:rFonts w:ascii="Times New Roman" w:hAnsi="Times New Roman"/>
          <w:sz w:val="24"/>
          <w:szCs w:val="24"/>
        </w:rPr>
        <w:t>6.1  软土基坑</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_Toc45197192 \h </w:instrText>
      </w:r>
      <w:r>
        <w:rPr>
          <w:rFonts w:ascii="Times New Roman" w:hAnsi="Times New Roman"/>
          <w:sz w:val="24"/>
          <w:szCs w:val="24"/>
        </w:rPr>
        <w:fldChar w:fldCharType="separate"/>
      </w:r>
      <w:r>
        <w:rPr>
          <w:rFonts w:ascii="Times New Roman" w:hAnsi="Times New Roman"/>
          <w:sz w:val="24"/>
          <w:szCs w:val="24"/>
        </w:rPr>
        <w:t>122</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"_Toc45197193" </w:instrText>
      </w:r>
      <w:r>
        <w:fldChar w:fldCharType="separate"/>
      </w:r>
      <w:r>
        <w:rPr>
          <w:rStyle w:val="34"/>
          <w:rFonts w:ascii="Times New Roman" w:hAnsi="Times New Roman"/>
          <w:sz w:val="24"/>
          <w:szCs w:val="24"/>
        </w:rPr>
        <w:t>6.3  土岩组合基坑</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_Toc45197193 \h </w:instrText>
      </w:r>
      <w:r>
        <w:rPr>
          <w:rFonts w:ascii="Times New Roman" w:hAnsi="Times New Roman"/>
          <w:sz w:val="24"/>
          <w:szCs w:val="24"/>
        </w:rPr>
        <w:fldChar w:fldCharType="separate"/>
      </w:r>
      <w:r>
        <w:rPr>
          <w:rFonts w:ascii="Times New Roman" w:hAnsi="Times New Roman"/>
          <w:sz w:val="24"/>
          <w:szCs w:val="24"/>
        </w:rPr>
        <w:t>122</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062"/>
        </w:tabs>
        <w:spacing w:line="312" w:lineRule="auto"/>
        <w:rPr>
          <w:rFonts w:ascii="Times New Roman" w:hAnsi="Times New Roman"/>
          <w:i w:val="0"/>
          <w:iCs w:val="0"/>
          <w:sz w:val="24"/>
          <w:szCs w:val="24"/>
        </w:rPr>
      </w:pPr>
      <w:r>
        <w:fldChar w:fldCharType="begin"/>
      </w:r>
      <w:r>
        <w:instrText xml:space="preserve"> HYPERLINK \l "_Toc45197194" </w:instrText>
      </w:r>
      <w:r>
        <w:fldChar w:fldCharType="separate"/>
      </w:r>
      <w:r>
        <w:rPr>
          <w:rStyle w:val="34"/>
          <w:rFonts w:ascii="Times New Roman" w:hAnsi="Times New Roman"/>
          <w:i w:val="0"/>
          <w:sz w:val="24"/>
          <w:szCs w:val="24"/>
        </w:rPr>
        <w:t>7  地下水控制</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_Toc45197194 \h </w:instrText>
      </w:r>
      <w:r>
        <w:rPr>
          <w:rFonts w:ascii="Times New Roman" w:hAnsi="Times New Roman"/>
          <w:i w:val="0"/>
          <w:sz w:val="24"/>
          <w:szCs w:val="24"/>
        </w:rPr>
        <w:fldChar w:fldCharType="separate"/>
      </w:r>
      <w:r>
        <w:rPr>
          <w:rFonts w:ascii="Times New Roman" w:hAnsi="Times New Roman"/>
          <w:i w:val="0"/>
          <w:sz w:val="24"/>
          <w:szCs w:val="24"/>
        </w:rPr>
        <w:t>124</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"_Toc45197195" </w:instrText>
      </w:r>
      <w:r>
        <w:fldChar w:fldCharType="separate"/>
      </w:r>
      <w:r>
        <w:rPr>
          <w:rStyle w:val="34"/>
          <w:rFonts w:ascii="Times New Roman" w:hAnsi="Times New Roman"/>
          <w:sz w:val="24"/>
          <w:szCs w:val="24"/>
        </w:rPr>
        <w:t>7.2  设计计算与验算</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_Toc45197195 \h </w:instrText>
      </w:r>
      <w:r>
        <w:rPr>
          <w:rFonts w:ascii="Times New Roman" w:hAnsi="Times New Roman"/>
          <w:sz w:val="24"/>
          <w:szCs w:val="24"/>
        </w:rPr>
        <w:fldChar w:fldCharType="separate"/>
      </w:r>
      <w:r>
        <w:rPr>
          <w:rFonts w:ascii="Times New Roman" w:hAnsi="Times New Roman"/>
          <w:sz w:val="24"/>
          <w:szCs w:val="24"/>
        </w:rPr>
        <w:t>124</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"_Toc45197196" </w:instrText>
      </w:r>
      <w:r>
        <w:fldChar w:fldCharType="separate"/>
      </w:r>
      <w:r>
        <w:rPr>
          <w:rStyle w:val="34"/>
          <w:rFonts w:ascii="Times New Roman" w:hAnsi="Times New Roman"/>
          <w:sz w:val="24"/>
          <w:szCs w:val="24"/>
        </w:rPr>
        <w:t>7.3  截水帷幕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_Toc45197196 \h </w:instrText>
      </w:r>
      <w:r>
        <w:rPr>
          <w:rFonts w:ascii="Times New Roman" w:hAnsi="Times New Roman"/>
          <w:sz w:val="24"/>
          <w:szCs w:val="24"/>
        </w:rPr>
        <w:fldChar w:fldCharType="separate"/>
      </w:r>
      <w:r>
        <w:rPr>
          <w:rFonts w:ascii="Times New Roman" w:hAnsi="Times New Roman"/>
          <w:sz w:val="24"/>
          <w:szCs w:val="24"/>
        </w:rPr>
        <w:t>125</w:t>
      </w:r>
      <w:r>
        <w:rPr>
          <w:rFonts w:ascii="Times New Roman" w:hAnsi="Times New Roman"/>
          <w:sz w:val="24"/>
          <w:szCs w:val="24"/>
        </w:rPr>
        <w:fldChar w:fldCharType="end"/>
      </w:r>
      <w:r>
        <w:rPr>
          <w:rFonts w:ascii="Times New Roman" w:hAnsi="Times New Roman"/>
          <w:sz w:val="24"/>
          <w:szCs w:val="24"/>
        </w:rPr>
        <w:fldChar w:fldCharType="end"/>
      </w:r>
    </w:p>
    <w:p>
      <w:pPr>
        <w:pStyle w:val="12"/>
        <w:tabs>
          <w:tab w:val="right" w:leader="dot" w:pos="9062"/>
        </w:tabs>
        <w:spacing w:line="312" w:lineRule="auto"/>
        <w:rPr>
          <w:rFonts w:ascii="Times New Roman" w:hAnsi="Times New Roman"/>
          <w:i w:val="0"/>
          <w:iCs w:val="0"/>
          <w:sz w:val="24"/>
          <w:szCs w:val="24"/>
        </w:rPr>
      </w:pPr>
      <w:r>
        <w:fldChar w:fldCharType="begin"/>
      </w:r>
      <w:r>
        <w:instrText xml:space="preserve"> HYPERLINK \l "_Toc45197197" </w:instrText>
      </w:r>
      <w:r>
        <w:fldChar w:fldCharType="separate"/>
      </w:r>
      <w:r>
        <w:rPr>
          <w:rStyle w:val="34"/>
          <w:rFonts w:ascii="Times New Roman" w:hAnsi="Times New Roman"/>
          <w:i w:val="0"/>
          <w:sz w:val="24"/>
          <w:szCs w:val="24"/>
        </w:rPr>
        <w:t>8　基坑及周边环境监测</w:t>
      </w:r>
      <w:r>
        <w:rPr>
          <w:rFonts w:ascii="Times New Roman" w:hAnsi="Times New Roman"/>
          <w:i w:val="0"/>
          <w:sz w:val="24"/>
          <w:szCs w:val="24"/>
        </w:rPr>
        <w:tab/>
      </w:r>
      <w:r>
        <w:rPr>
          <w:rFonts w:ascii="Times New Roman" w:hAnsi="Times New Roman"/>
          <w:i w:val="0"/>
          <w:sz w:val="24"/>
          <w:szCs w:val="24"/>
        </w:rPr>
        <w:fldChar w:fldCharType="begin"/>
      </w:r>
      <w:r>
        <w:rPr>
          <w:rFonts w:ascii="Times New Roman" w:hAnsi="Times New Roman"/>
          <w:i w:val="0"/>
          <w:sz w:val="24"/>
          <w:szCs w:val="24"/>
        </w:rPr>
        <w:instrText xml:space="preserve"> PAGEREF _Toc45197197 \h </w:instrText>
      </w:r>
      <w:r>
        <w:rPr>
          <w:rFonts w:ascii="Times New Roman" w:hAnsi="Times New Roman"/>
          <w:i w:val="0"/>
          <w:sz w:val="24"/>
          <w:szCs w:val="24"/>
        </w:rPr>
        <w:fldChar w:fldCharType="separate"/>
      </w:r>
      <w:r>
        <w:rPr>
          <w:rFonts w:ascii="Times New Roman" w:hAnsi="Times New Roman"/>
          <w:i w:val="0"/>
          <w:sz w:val="24"/>
          <w:szCs w:val="24"/>
        </w:rPr>
        <w:t>126</w:t>
      </w:r>
      <w:r>
        <w:rPr>
          <w:rFonts w:ascii="Times New Roman" w:hAnsi="Times New Roman"/>
          <w:i w:val="0"/>
          <w:sz w:val="24"/>
          <w:szCs w:val="24"/>
        </w:rPr>
        <w:fldChar w:fldCharType="end"/>
      </w:r>
      <w:r>
        <w:rPr>
          <w:rFonts w:ascii="Times New Roman" w:hAnsi="Times New Roman"/>
          <w:i w:val="0"/>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"_Toc45197198" </w:instrText>
      </w:r>
      <w:r>
        <w:fldChar w:fldCharType="separate"/>
      </w:r>
      <w:r>
        <w:rPr>
          <w:rStyle w:val="34"/>
          <w:rFonts w:ascii="Times New Roman" w:hAnsi="Times New Roman"/>
          <w:sz w:val="24"/>
          <w:szCs w:val="24"/>
        </w:rPr>
        <w:t>8.1　一般规定</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_Toc45197198 \h </w:instrText>
      </w:r>
      <w:r>
        <w:rPr>
          <w:rFonts w:ascii="Times New Roman" w:hAnsi="Times New Roman"/>
          <w:sz w:val="24"/>
          <w:szCs w:val="24"/>
        </w:rPr>
        <w:fldChar w:fldCharType="separate"/>
      </w:r>
      <w:r>
        <w:rPr>
          <w:rFonts w:ascii="Times New Roman" w:hAnsi="Times New Roman"/>
          <w:sz w:val="24"/>
          <w:szCs w:val="24"/>
        </w:rPr>
        <w:t>126</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"_Toc45197199" </w:instrText>
      </w:r>
      <w:r>
        <w:fldChar w:fldCharType="separate"/>
      </w:r>
      <w:r>
        <w:rPr>
          <w:rStyle w:val="34"/>
          <w:rFonts w:ascii="Times New Roman" w:hAnsi="Times New Roman"/>
          <w:sz w:val="24"/>
          <w:szCs w:val="24"/>
        </w:rPr>
        <w:t>8.3　周边环境监测点布置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_Toc45197199 \h </w:instrText>
      </w:r>
      <w:r>
        <w:rPr>
          <w:rFonts w:ascii="Times New Roman" w:hAnsi="Times New Roman"/>
          <w:sz w:val="24"/>
          <w:szCs w:val="24"/>
        </w:rPr>
        <w:fldChar w:fldCharType="separate"/>
      </w:r>
      <w:r>
        <w:rPr>
          <w:rFonts w:ascii="Times New Roman" w:hAnsi="Times New Roman"/>
          <w:sz w:val="24"/>
          <w:szCs w:val="24"/>
        </w:rPr>
        <w:t>126</w:t>
      </w:r>
      <w:r>
        <w:rPr>
          <w:rFonts w:ascii="Times New Roman" w:hAnsi="Times New Roman"/>
          <w:sz w:val="24"/>
          <w:szCs w:val="24"/>
        </w:rPr>
        <w:fldChar w:fldCharType="end"/>
      </w:r>
      <w:r>
        <w:rPr>
          <w:rFonts w:ascii="Times New Roman" w:hAnsi="Times New Roman"/>
          <w:sz w:val="24"/>
          <w:szCs w:val="24"/>
        </w:rPr>
        <w:fldChar w:fldCharType="end"/>
      </w:r>
    </w:p>
    <w:p>
      <w:pPr>
        <w:pStyle w:val="19"/>
        <w:tabs>
          <w:tab w:val="right" w:leader="dot" w:pos="9062"/>
        </w:tabs>
        <w:spacing w:line="312" w:lineRule="auto"/>
        <w:rPr>
          <w:rFonts w:ascii="Times New Roman" w:hAnsi="Times New Roman"/>
          <w:sz w:val="24"/>
          <w:szCs w:val="24"/>
        </w:rPr>
      </w:pPr>
      <w:r>
        <w:fldChar w:fldCharType="begin"/>
      </w:r>
      <w:r>
        <w:instrText xml:space="preserve"> HYPERLINK \l "_Toc45197200" </w:instrText>
      </w:r>
      <w:r>
        <w:fldChar w:fldCharType="separate"/>
      </w:r>
      <w:r>
        <w:rPr>
          <w:rStyle w:val="34"/>
          <w:rFonts w:ascii="Times New Roman" w:hAnsi="Times New Roman"/>
          <w:sz w:val="24"/>
          <w:szCs w:val="24"/>
        </w:rPr>
        <w:t>8.4　监测频率及报警</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_Toc45197200 \h </w:instrText>
      </w:r>
      <w:r>
        <w:rPr>
          <w:rFonts w:ascii="Times New Roman" w:hAnsi="Times New Roman"/>
          <w:sz w:val="24"/>
          <w:szCs w:val="24"/>
        </w:rPr>
        <w:fldChar w:fldCharType="separate"/>
      </w:r>
      <w:r>
        <w:rPr>
          <w:rFonts w:ascii="Times New Roman" w:hAnsi="Times New Roman"/>
          <w:sz w:val="24"/>
          <w:szCs w:val="24"/>
        </w:rPr>
        <w:t>126</w:t>
      </w:r>
      <w:r>
        <w:rPr>
          <w:rFonts w:ascii="Times New Roman" w:hAnsi="Times New Roman"/>
          <w:sz w:val="24"/>
          <w:szCs w:val="24"/>
        </w:rPr>
        <w:fldChar w:fldCharType="end"/>
      </w:r>
      <w:r>
        <w:rPr>
          <w:rFonts w:ascii="Times New Roman" w:hAnsi="Times New Roman"/>
          <w:sz w:val="24"/>
          <w:szCs w:val="24"/>
        </w:rPr>
        <w:fldChar w:fldCharType="end"/>
      </w:r>
    </w:p>
    <w:p>
      <w:pPr>
        <w:spacing w:line="312" w:lineRule="auto"/>
        <w:rPr>
          <w:b/>
          <w:sz w:val="24"/>
        </w:rPr>
      </w:pPr>
      <w:r>
        <w:rPr>
          <w:sz w:val="24"/>
        </w:rPr>
        <w:fldChar w:fldCharType="end"/>
      </w:r>
    </w:p>
    <w:p>
      <w:pPr>
        <w:spacing w:line="360" w:lineRule="auto"/>
        <w:rPr>
          <w:b/>
          <w:sz w:val="24"/>
        </w:rPr>
        <w:sectPr>
          <w:footerReference r:id="rId13" w:type="first"/>
          <w:pgSz w:w="11907" w:h="16840"/>
          <w:pgMar w:top="1418" w:right="1134" w:bottom="1134" w:left="1701" w:header="851" w:footer="567" w:gutter="0"/>
          <w:cols w:space="720" w:num="1"/>
          <w:titlePg/>
          <w:docGrid w:linePitch="312" w:charSpace="0"/>
        </w:sectPr>
      </w:pPr>
    </w:p>
    <w:p>
      <w:pPr>
        <w:tabs>
          <w:tab w:val="center" w:pos="4536"/>
          <w:tab w:val="left" w:pos="6436"/>
        </w:tabs>
        <w:spacing w:line="360" w:lineRule="auto"/>
        <w:jc w:val="left"/>
        <w:outlineLvl w:val="2"/>
        <w:rPr>
          <w:b/>
          <w:sz w:val="28"/>
          <w:szCs w:val="28"/>
        </w:rPr>
      </w:pPr>
      <w:r>
        <w:rPr>
          <w:b/>
          <w:sz w:val="28"/>
          <w:szCs w:val="28"/>
        </w:rPr>
        <w:tab/>
      </w:r>
      <w:bookmarkStart w:id="158" w:name="_Toc45197168"/>
      <w:r>
        <w:rPr>
          <w:b/>
          <w:sz w:val="28"/>
          <w:szCs w:val="28"/>
        </w:rPr>
        <w:t>1  总则</w:t>
      </w:r>
      <w:bookmarkEnd w:id="158"/>
    </w:p>
    <w:p>
      <w:pPr>
        <w:spacing w:line="360" w:lineRule="auto"/>
        <w:rPr>
          <w:sz w:val="24"/>
        </w:rPr>
      </w:pPr>
      <w:r>
        <w:rPr>
          <w:b/>
          <w:sz w:val="24"/>
        </w:rPr>
        <w:t>1.0.1</w:t>
      </w:r>
      <w:r>
        <w:rPr>
          <w:rFonts w:hint="eastAsia"/>
          <w:b/>
          <w:sz w:val="24"/>
        </w:rPr>
        <w:t xml:space="preserve">  </w:t>
      </w:r>
      <w:r>
        <w:rPr>
          <w:sz w:val="24"/>
        </w:rPr>
        <w:t>深基坑工程地域性差距很大，国家规范很多时候也无法为不同区域工程提供全面、实用的技术指导。国家规范对于膨胀性土、泥</w:t>
      </w:r>
      <w:r>
        <w:rPr>
          <w:rFonts w:hint="eastAsia"/>
          <w:sz w:val="24"/>
        </w:rPr>
        <w:t>炭质土、泥炭土</w:t>
      </w:r>
      <w:r>
        <w:rPr>
          <w:sz w:val="24"/>
        </w:rPr>
        <w:t>等特殊地质条件下的基坑工程未做详细说明，因此，结合昆明地区</w:t>
      </w:r>
      <w:r>
        <w:rPr>
          <w:rFonts w:hint="eastAsia"/>
          <w:sz w:val="24"/>
        </w:rPr>
        <w:t>岩土工程</w:t>
      </w:r>
      <w:r>
        <w:rPr>
          <w:sz w:val="24"/>
        </w:rPr>
        <w:t>的特点，编制本</w:t>
      </w:r>
      <w:r>
        <w:rPr>
          <w:rFonts w:hint="eastAsia"/>
          <w:sz w:val="24"/>
        </w:rPr>
        <w:t>规程。</w:t>
      </w:r>
    </w:p>
    <w:p>
      <w:pPr>
        <w:spacing w:line="360" w:lineRule="auto"/>
        <w:rPr>
          <w:bCs/>
          <w:sz w:val="24"/>
        </w:rPr>
      </w:pPr>
      <w:r>
        <w:rPr>
          <w:b/>
          <w:sz w:val="24"/>
        </w:rPr>
        <w:t>1.0.3</w:t>
      </w:r>
      <w:r>
        <w:rPr>
          <w:rFonts w:hint="eastAsia"/>
          <w:b/>
          <w:sz w:val="24"/>
        </w:rPr>
        <w:t xml:space="preserve">  </w:t>
      </w:r>
      <w:r>
        <w:rPr>
          <w:sz w:val="24"/>
        </w:rPr>
        <w:t>深基坑工程是关系公共安全</w:t>
      </w:r>
      <w:r>
        <w:rPr>
          <w:rFonts w:hint="eastAsia"/>
          <w:sz w:val="24"/>
        </w:rPr>
        <w:t>、</w:t>
      </w:r>
      <w:r>
        <w:rPr>
          <w:sz w:val="24"/>
        </w:rPr>
        <w:t>危</w:t>
      </w:r>
      <w:r>
        <w:rPr>
          <w:rFonts w:hint="eastAsia"/>
          <w:sz w:val="24"/>
        </w:rPr>
        <w:t>险性较大的</w:t>
      </w:r>
      <w:r>
        <w:rPr>
          <w:sz w:val="24"/>
        </w:rPr>
        <w:t>专项工程，也是为地下结构施工提供空间的临时措施，因此，使其达到安全和经济的合理平衡是必须提倡的。由于地质条件、周边环境的</w:t>
      </w:r>
      <w:r>
        <w:rPr>
          <w:rFonts w:hint="eastAsia"/>
          <w:sz w:val="24"/>
        </w:rPr>
        <w:t>复杂</w:t>
      </w:r>
      <w:r>
        <w:rPr>
          <w:sz w:val="24"/>
        </w:rPr>
        <w:t>性和支护方法的多样性，本条强调了深基坑工程设计和施工必须要充分考虑影响基坑及其周边环境安全的各项因素，因地制宜选择支护方案和施工方法。</w:t>
      </w:r>
    </w:p>
    <w:p>
      <w:pPr>
        <w:spacing w:line="360" w:lineRule="auto"/>
        <w:rPr>
          <w:sz w:val="24"/>
        </w:rPr>
      </w:pPr>
    </w:p>
    <w:p>
      <w:pPr>
        <w:spacing w:line="360" w:lineRule="auto"/>
      </w:pPr>
    </w:p>
    <w:p>
      <w:pPr>
        <w:spacing w:line="360" w:lineRule="auto"/>
        <w:jc w:val="center"/>
        <w:outlineLvl w:val="0"/>
        <w:rPr>
          <w:sz w:val="24"/>
        </w:rPr>
        <w:sectPr>
          <w:footerReference r:id="rId14" w:type="default"/>
          <w:pgSz w:w="11907" w:h="16840"/>
          <w:pgMar w:top="1418" w:right="1134" w:bottom="1134" w:left="1701" w:header="851" w:footer="851" w:gutter="0"/>
          <w:cols w:space="720" w:num="1"/>
          <w:docGrid w:linePitch="312" w:charSpace="0"/>
        </w:sectPr>
      </w:pPr>
    </w:p>
    <w:p>
      <w:pPr>
        <w:tabs>
          <w:tab w:val="center" w:pos="4536"/>
          <w:tab w:val="left" w:pos="6436"/>
        </w:tabs>
        <w:spacing w:line="360" w:lineRule="auto"/>
        <w:jc w:val="center"/>
        <w:outlineLvl w:val="2"/>
        <w:rPr>
          <w:b/>
          <w:sz w:val="28"/>
          <w:szCs w:val="28"/>
        </w:rPr>
      </w:pPr>
      <w:bookmarkStart w:id="159" w:name="_Toc45197169"/>
      <w:r>
        <w:rPr>
          <w:b/>
          <w:sz w:val="28"/>
          <w:szCs w:val="28"/>
        </w:rPr>
        <w:t>3  基本规定</w:t>
      </w:r>
      <w:bookmarkEnd w:id="159"/>
    </w:p>
    <w:p>
      <w:pPr>
        <w:spacing w:line="360" w:lineRule="auto"/>
        <w:jc w:val="center"/>
        <w:outlineLvl w:val="3"/>
        <w:rPr>
          <w:b/>
          <w:sz w:val="24"/>
        </w:rPr>
      </w:pPr>
      <w:bookmarkStart w:id="160" w:name="_Toc45197170"/>
      <w:r>
        <w:rPr>
          <w:b/>
          <w:sz w:val="24"/>
        </w:rPr>
        <w:t>3.1  勘察与环境调查</w:t>
      </w:r>
      <w:bookmarkEnd w:id="160"/>
    </w:p>
    <w:p>
      <w:pPr>
        <w:adjustRightInd w:val="0"/>
        <w:snapToGrid w:val="0"/>
        <w:spacing w:line="360" w:lineRule="auto"/>
        <w:rPr>
          <w:sz w:val="24"/>
        </w:rPr>
      </w:pPr>
      <w:r>
        <w:rPr>
          <w:rFonts w:hint="eastAsia"/>
          <w:b/>
          <w:sz w:val="24"/>
        </w:rPr>
        <w:t xml:space="preserve">3.1.1 </w:t>
      </w:r>
      <w:r>
        <w:rPr>
          <w:rFonts w:hint="eastAsia"/>
          <w:sz w:val="24"/>
        </w:rPr>
        <w:t xml:space="preserve"> 基坑工程专项勘察可与主体工程勘察一并考虑，针对基坑工程的专项勘察工作应满足基坑工程专项勘察相关要求。</w:t>
      </w:r>
    </w:p>
    <w:p>
      <w:pPr>
        <w:topLinePunct/>
        <w:autoSpaceDE w:val="0"/>
        <w:autoSpaceDN w:val="0"/>
        <w:adjustRightInd w:val="0"/>
        <w:snapToGrid w:val="0"/>
        <w:spacing w:line="360" w:lineRule="auto"/>
        <w:rPr>
          <w:sz w:val="24"/>
        </w:rPr>
      </w:pPr>
      <w:r>
        <w:rPr>
          <w:b/>
          <w:sz w:val="24"/>
        </w:rPr>
        <w:t>3.1.</w:t>
      </w:r>
      <w:r>
        <w:rPr>
          <w:rFonts w:hint="eastAsia"/>
          <w:b/>
          <w:sz w:val="24"/>
        </w:rPr>
        <w:t>2</w:t>
      </w:r>
      <w:r>
        <w:rPr>
          <w:sz w:val="24"/>
        </w:rPr>
        <w:t xml:space="preserve"> </w:t>
      </w:r>
      <w:r>
        <w:rPr>
          <w:rFonts w:hint="eastAsia"/>
          <w:sz w:val="24"/>
        </w:rPr>
        <w:t xml:space="preserve"> </w:t>
      </w:r>
      <w:r>
        <w:rPr>
          <w:sz w:val="24"/>
        </w:rPr>
        <w:t>基坑周边环境条件是支护设计的重要依据。</w:t>
      </w:r>
      <w:r>
        <w:rPr>
          <w:rFonts w:hint="eastAsia"/>
          <w:sz w:val="24"/>
        </w:rPr>
        <w:t>拟</w:t>
      </w:r>
      <w:r>
        <w:rPr>
          <w:sz w:val="24"/>
        </w:rPr>
        <w:t>建建筑物周围通常存在既有建筑物、地下管线、</w:t>
      </w:r>
      <w:r>
        <w:rPr>
          <w:rFonts w:hint="eastAsia"/>
          <w:sz w:val="24"/>
        </w:rPr>
        <w:t>人防工程、</w:t>
      </w:r>
      <w:r>
        <w:rPr>
          <w:sz w:val="24"/>
        </w:rPr>
        <w:t>地铁车站</w:t>
      </w:r>
      <w:r>
        <w:rPr>
          <w:rFonts w:hint="eastAsia"/>
          <w:sz w:val="24"/>
        </w:rPr>
        <w:t>、</w:t>
      </w:r>
      <w:r>
        <w:rPr>
          <w:sz w:val="24"/>
        </w:rPr>
        <w:t>隧道</w:t>
      </w:r>
      <w:r>
        <w:rPr>
          <w:rFonts w:hint="eastAsia"/>
          <w:sz w:val="24"/>
        </w:rPr>
        <w:t>及</w:t>
      </w:r>
      <w:r>
        <w:rPr>
          <w:sz w:val="24"/>
        </w:rPr>
        <w:t>道路等，而基坑支护的主要作用之一是保护周边环境</w:t>
      </w:r>
      <w:r>
        <w:rPr>
          <w:rFonts w:hint="eastAsia"/>
          <w:sz w:val="24"/>
        </w:rPr>
        <w:t>正常使用</w:t>
      </w:r>
      <w:r>
        <w:rPr>
          <w:sz w:val="24"/>
        </w:rPr>
        <w:t>。实际工程中</w:t>
      </w:r>
      <w:r>
        <w:rPr>
          <w:rFonts w:hint="eastAsia"/>
          <w:sz w:val="24"/>
        </w:rPr>
        <w:t>，</w:t>
      </w:r>
      <w:r>
        <w:rPr>
          <w:sz w:val="24"/>
        </w:rPr>
        <w:t>因对基坑周边环境因素缺乏准确了解或忽视而造成的工程事故经常发生，为了使基坑支护设计具有针对性，应查明基坑周边环境条件，并按这些环境条件进行设计。</w:t>
      </w:r>
    </w:p>
    <w:p>
      <w:pPr>
        <w:spacing w:line="360" w:lineRule="auto"/>
        <w:jc w:val="center"/>
        <w:outlineLvl w:val="3"/>
        <w:rPr>
          <w:b/>
          <w:sz w:val="24"/>
        </w:rPr>
      </w:pPr>
      <w:bookmarkStart w:id="161" w:name="_Toc45197171"/>
      <w:r>
        <w:rPr>
          <w:b/>
          <w:sz w:val="24"/>
        </w:rPr>
        <w:t>3.2  设计原则</w:t>
      </w:r>
      <w:bookmarkEnd w:id="161"/>
    </w:p>
    <w:p>
      <w:pPr>
        <w:topLinePunct/>
        <w:autoSpaceDE w:val="0"/>
        <w:autoSpaceDN w:val="0"/>
        <w:adjustRightInd w:val="0"/>
        <w:snapToGrid w:val="0"/>
        <w:spacing w:line="360" w:lineRule="auto"/>
        <w:rPr>
          <w:sz w:val="24"/>
        </w:rPr>
      </w:pPr>
      <w:r>
        <w:rPr>
          <w:rFonts w:hint="eastAsia"/>
          <w:b/>
          <w:sz w:val="24"/>
        </w:rPr>
        <w:t>3.2.1</w:t>
      </w:r>
      <w:r>
        <w:rPr>
          <w:rFonts w:hint="eastAsia"/>
          <w:sz w:val="24"/>
        </w:rPr>
        <w:t xml:space="preserve">  对使用期限超过设计使用年限的基坑，应对其进行安全评估并根据评估结果采取适宜的加强措施。</w:t>
      </w:r>
    </w:p>
    <w:p>
      <w:pPr>
        <w:topLinePunct/>
        <w:autoSpaceDE w:val="0"/>
        <w:autoSpaceDN w:val="0"/>
        <w:adjustRightInd w:val="0"/>
        <w:snapToGrid w:val="0"/>
        <w:spacing w:line="360" w:lineRule="auto"/>
        <w:rPr>
          <w:bCs/>
          <w:sz w:val="24"/>
        </w:rPr>
      </w:pPr>
      <w:r>
        <w:rPr>
          <w:rFonts w:hint="eastAsia"/>
          <w:b/>
          <w:sz w:val="24"/>
        </w:rPr>
        <w:t xml:space="preserve">3.2.10  </w:t>
      </w:r>
      <w:r>
        <w:rPr>
          <w:rFonts w:hint="eastAsia"/>
          <w:bCs/>
          <w:sz w:val="24"/>
        </w:rPr>
        <w:t>基坑周边附加荷载对基坑的稳定影响较大，设计时需分析基坑周边可能的附加荷载，明确设计计算时考虑的附加荷载值及其分布情况。</w:t>
      </w:r>
      <w:r>
        <w:rPr>
          <w:sz w:val="24"/>
        </w:rPr>
        <w:t>在临近地铁车站、线路的基坑工程，尚需分析地铁运行时的动荷载对基坑工程的影响。</w:t>
      </w:r>
    </w:p>
    <w:p>
      <w:pPr>
        <w:spacing w:line="360" w:lineRule="auto"/>
        <w:jc w:val="left"/>
        <w:rPr>
          <w:bCs/>
          <w:sz w:val="24"/>
        </w:rPr>
      </w:pPr>
      <w:r>
        <w:rPr>
          <w:rFonts w:hint="eastAsia"/>
          <w:b/>
          <w:sz w:val="24"/>
        </w:rPr>
        <w:t xml:space="preserve">3.2.11  </w:t>
      </w:r>
      <w:r>
        <w:rPr>
          <w:rFonts w:hint="eastAsia"/>
          <w:bCs/>
          <w:sz w:val="24"/>
        </w:rPr>
        <w:t>基坑工程对周边环境影响重大，根据环境保护对象的重要性和环境保护对象与基坑之间的距离，对基坑工程的环境保护等级进行了划分。</w:t>
      </w:r>
    </w:p>
    <w:p>
      <w:pPr>
        <w:topLinePunct/>
        <w:autoSpaceDE w:val="0"/>
        <w:autoSpaceDN w:val="0"/>
        <w:adjustRightInd w:val="0"/>
        <w:snapToGrid w:val="0"/>
        <w:spacing w:line="360" w:lineRule="auto"/>
        <w:rPr>
          <w:bCs/>
          <w:sz w:val="24"/>
        </w:rPr>
      </w:pPr>
      <w:r>
        <w:rPr>
          <w:rFonts w:hint="eastAsia"/>
          <w:b/>
          <w:bCs/>
          <w:sz w:val="24"/>
        </w:rPr>
        <w:t>3.2.12</w:t>
      </w:r>
      <w:r>
        <w:rPr>
          <w:rFonts w:hint="eastAsia"/>
          <w:bCs/>
          <w:sz w:val="24"/>
        </w:rPr>
        <w:t xml:space="preserve">  本条根据周边环境、破坏后果、基坑深度、工程地质和水文地质条件对基坑工程安全等级划分进行了细化，便于基坑工程勘察设计时安全等级的划分，同时考虑了环境保护等级这一划分条件，强化了基坑工程对环境保护的重要性。</w:t>
      </w:r>
    </w:p>
    <w:p>
      <w:pPr>
        <w:topLinePunct/>
        <w:autoSpaceDE w:val="0"/>
        <w:autoSpaceDN w:val="0"/>
        <w:adjustRightInd w:val="0"/>
        <w:snapToGrid w:val="0"/>
        <w:spacing w:line="360" w:lineRule="auto"/>
        <w:rPr>
          <w:i/>
          <w:sz w:val="24"/>
        </w:rPr>
      </w:pPr>
    </w:p>
    <w:p>
      <w:pPr>
        <w:widowControl/>
        <w:adjustRightInd w:val="0"/>
        <w:snapToGrid w:val="0"/>
        <w:spacing w:line="360" w:lineRule="auto"/>
        <w:ind w:firstLine="562" w:firstLineChars="200"/>
        <w:jc w:val="left"/>
        <w:rPr>
          <w:b/>
          <w:sz w:val="28"/>
          <w:szCs w:val="28"/>
        </w:rPr>
        <w:sectPr>
          <w:pgSz w:w="11907" w:h="16840"/>
          <w:pgMar w:top="1418" w:right="1134" w:bottom="1134" w:left="1418" w:header="851" w:footer="851" w:gutter="0"/>
          <w:cols w:space="720" w:num="1"/>
          <w:docGrid w:linePitch="312" w:charSpace="0"/>
        </w:sectPr>
      </w:pPr>
    </w:p>
    <w:p>
      <w:pPr>
        <w:tabs>
          <w:tab w:val="center" w:pos="4536"/>
          <w:tab w:val="left" w:pos="6436"/>
        </w:tabs>
        <w:spacing w:line="360" w:lineRule="auto"/>
        <w:jc w:val="center"/>
        <w:outlineLvl w:val="2"/>
        <w:rPr>
          <w:b/>
          <w:sz w:val="28"/>
          <w:szCs w:val="28"/>
        </w:rPr>
      </w:pPr>
      <w:bookmarkStart w:id="162" w:name="_Toc45197172"/>
      <w:r>
        <w:rPr>
          <w:b/>
          <w:sz w:val="28"/>
          <w:szCs w:val="28"/>
        </w:rPr>
        <w:t>4  基坑工程勘察与</w:t>
      </w:r>
      <w:r>
        <w:rPr>
          <w:rFonts w:hint="eastAsia"/>
          <w:b/>
          <w:sz w:val="28"/>
          <w:szCs w:val="28"/>
        </w:rPr>
        <w:t>周边</w:t>
      </w:r>
      <w:r>
        <w:rPr>
          <w:b/>
          <w:sz w:val="28"/>
          <w:szCs w:val="28"/>
        </w:rPr>
        <w:t>环境调查</w:t>
      </w:r>
      <w:bookmarkEnd w:id="162"/>
    </w:p>
    <w:p>
      <w:pPr>
        <w:spacing w:line="360" w:lineRule="auto"/>
        <w:jc w:val="center"/>
        <w:outlineLvl w:val="3"/>
        <w:rPr>
          <w:b/>
          <w:sz w:val="24"/>
        </w:rPr>
      </w:pPr>
      <w:bookmarkStart w:id="163" w:name="_Toc45197173"/>
      <w:r>
        <w:rPr>
          <w:b/>
          <w:sz w:val="24"/>
        </w:rPr>
        <w:t>4.1  一般规定</w:t>
      </w:r>
      <w:bookmarkEnd w:id="163"/>
    </w:p>
    <w:p>
      <w:pPr>
        <w:spacing w:line="360" w:lineRule="auto"/>
        <w:jc w:val="left"/>
        <w:rPr>
          <w:sz w:val="24"/>
        </w:rPr>
      </w:pPr>
      <w:r>
        <w:rPr>
          <w:rFonts w:hint="eastAsia"/>
          <w:b/>
          <w:sz w:val="24"/>
        </w:rPr>
        <w:t xml:space="preserve">4.1.4  </w:t>
      </w:r>
      <w:r>
        <w:rPr>
          <w:rFonts w:hint="eastAsia"/>
          <w:sz w:val="24"/>
        </w:rPr>
        <w:t>填土的物理力学性质指标宜采用下列方法确定：</w:t>
      </w:r>
    </w:p>
    <w:p>
      <w:pPr>
        <w:spacing w:line="360" w:lineRule="auto"/>
        <w:ind w:firstLine="480" w:firstLineChars="200"/>
        <w:jc w:val="left"/>
        <w:rPr>
          <w:sz w:val="24"/>
        </w:rPr>
      </w:pPr>
      <w:r>
        <w:rPr>
          <w:rFonts w:hint="eastAsia"/>
          <w:sz w:val="24"/>
        </w:rPr>
        <w:t>1  均匀性和密实度宜采用触探法，并辅以室内试验；</w:t>
      </w:r>
    </w:p>
    <w:p>
      <w:pPr>
        <w:spacing w:line="360" w:lineRule="auto"/>
        <w:ind w:firstLine="480" w:firstLineChars="200"/>
        <w:jc w:val="left"/>
        <w:rPr>
          <w:sz w:val="24"/>
        </w:rPr>
      </w:pPr>
      <w:r>
        <w:rPr>
          <w:rFonts w:hint="eastAsia"/>
          <w:sz w:val="24"/>
        </w:rPr>
        <w:t>2  压缩性、湿陷性宜采用室内固结试验或现场浸水载荷试验；</w:t>
      </w:r>
    </w:p>
    <w:p>
      <w:pPr>
        <w:spacing w:line="360" w:lineRule="auto"/>
        <w:ind w:firstLine="480" w:firstLineChars="200"/>
        <w:jc w:val="left"/>
        <w:rPr>
          <w:sz w:val="24"/>
        </w:rPr>
      </w:pPr>
      <w:r>
        <w:rPr>
          <w:rFonts w:hint="eastAsia"/>
          <w:sz w:val="24"/>
        </w:rPr>
        <w:t>3  杂填土的密度试验宜采用大容积法。</w:t>
      </w:r>
    </w:p>
    <w:p>
      <w:pPr>
        <w:spacing w:line="360" w:lineRule="auto"/>
        <w:jc w:val="center"/>
        <w:outlineLvl w:val="3"/>
        <w:rPr>
          <w:b/>
          <w:sz w:val="24"/>
        </w:rPr>
      </w:pPr>
      <w:bookmarkStart w:id="164" w:name="_Toc45197174"/>
      <w:r>
        <w:rPr>
          <w:b/>
          <w:sz w:val="24"/>
        </w:rPr>
        <w:t xml:space="preserve">4.2  </w:t>
      </w:r>
      <w:r>
        <w:rPr>
          <w:rFonts w:hint="eastAsia"/>
          <w:b/>
          <w:sz w:val="24"/>
        </w:rPr>
        <w:t>周边</w:t>
      </w:r>
      <w:r>
        <w:rPr>
          <w:b/>
          <w:sz w:val="24"/>
        </w:rPr>
        <w:t>环境调查</w:t>
      </w:r>
      <w:bookmarkEnd w:id="164"/>
    </w:p>
    <w:p>
      <w:pPr>
        <w:adjustRightInd w:val="0"/>
        <w:snapToGrid w:val="0"/>
        <w:spacing w:line="360" w:lineRule="auto"/>
        <w:rPr>
          <w:sz w:val="24"/>
        </w:rPr>
      </w:pPr>
      <w:r>
        <w:rPr>
          <w:rFonts w:hint="eastAsia"/>
          <w:b/>
          <w:sz w:val="24"/>
        </w:rPr>
        <w:t>4.2.1</w:t>
      </w:r>
      <w:r>
        <w:rPr>
          <w:rFonts w:hint="eastAsia"/>
          <w:sz w:val="24"/>
        </w:rPr>
        <w:t xml:space="preserve">  </w:t>
      </w:r>
      <w:r>
        <w:rPr>
          <w:rFonts w:hint="eastAsia"/>
          <w:bCs/>
          <w:sz w:val="24"/>
        </w:rPr>
        <w:t>对软土地区的基坑工程及周边存在不良地质作用和地质灾害的基坑，扩大了调查范围；对于岩质基坑调查范围可适当缩小。</w:t>
      </w:r>
    </w:p>
    <w:p>
      <w:pPr>
        <w:spacing w:line="360" w:lineRule="auto"/>
        <w:rPr>
          <w:sz w:val="24"/>
        </w:rPr>
      </w:pPr>
      <w:r>
        <w:rPr>
          <w:b/>
          <w:sz w:val="24"/>
        </w:rPr>
        <w:t xml:space="preserve">4.2.3  </w:t>
      </w:r>
      <w:r>
        <w:rPr>
          <w:rFonts w:hint="eastAsia"/>
          <w:sz w:val="24"/>
        </w:rPr>
        <w:t>本条的地质灾害主要是指崩塌、滑坡、泥石流、地面沉降、地面塌陷、地裂缝等。</w:t>
      </w:r>
    </w:p>
    <w:p>
      <w:pPr>
        <w:spacing w:line="360" w:lineRule="auto"/>
        <w:rPr>
          <w:sz w:val="24"/>
        </w:rPr>
      </w:pPr>
      <w:r>
        <w:rPr>
          <w:b/>
          <w:sz w:val="24"/>
        </w:rPr>
        <w:t xml:space="preserve">4.2.4  </w:t>
      </w:r>
      <w:r>
        <w:rPr>
          <w:rFonts w:hint="eastAsia"/>
          <w:sz w:val="24"/>
        </w:rPr>
        <w:t>本条强调了周边环境对基坑工程影响的因素。</w:t>
      </w:r>
      <w:r>
        <w:rPr>
          <w:sz w:val="24"/>
        </w:rPr>
        <w:t>实际工程中因对基坑周边环境条件缺乏了解和重视不够而造成的工程事故经常发生，故本条强调基坑勘察时应有专门的章节对基坑环境条件进行详细描述，支护设计时应考虑相应的处理措施。应</w:t>
      </w:r>
      <w:r>
        <w:rPr>
          <w:rFonts w:hint="eastAsia"/>
          <w:sz w:val="24"/>
        </w:rPr>
        <w:t>对</w:t>
      </w:r>
      <w:r>
        <w:rPr>
          <w:sz w:val="24"/>
        </w:rPr>
        <w:t>基坑内、基坑外（坑周3倍开挖深度影响范围）、坑外有影响的不良地质作用和地质灾害类型对各种类的环境条件进行详细分析评价</w:t>
      </w:r>
      <w:r>
        <w:rPr>
          <w:rFonts w:hint="eastAsia"/>
          <w:sz w:val="24"/>
        </w:rPr>
        <w:t>。</w:t>
      </w:r>
    </w:p>
    <w:p>
      <w:pPr>
        <w:spacing w:line="360" w:lineRule="auto"/>
        <w:ind w:firstLine="480" w:firstLineChars="200"/>
        <w:rPr>
          <w:sz w:val="24"/>
        </w:rPr>
      </w:pPr>
      <w:r>
        <w:rPr>
          <w:rFonts w:hint="eastAsia"/>
          <w:sz w:val="24"/>
        </w:rPr>
        <w:t>设计前应</w:t>
      </w:r>
      <w:r>
        <w:rPr>
          <w:sz w:val="24"/>
        </w:rPr>
        <w:t>对基坑安全和支护结构有重大影响的坑内暗埋管线、坑外建筑物位置及基础形式、埋藏深度等</w:t>
      </w:r>
      <w:r>
        <w:rPr>
          <w:rFonts w:hint="eastAsia"/>
          <w:sz w:val="24"/>
        </w:rPr>
        <w:t>给予查明。</w:t>
      </w:r>
    </w:p>
    <w:p>
      <w:pPr>
        <w:spacing w:line="360" w:lineRule="auto"/>
        <w:jc w:val="center"/>
        <w:outlineLvl w:val="3"/>
        <w:rPr>
          <w:b/>
          <w:sz w:val="24"/>
        </w:rPr>
      </w:pPr>
      <w:bookmarkStart w:id="165" w:name="_Toc45197175"/>
      <w:r>
        <w:rPr>
          <w:b/>
          <w:sz w:val="24"/>
        </w:rPr>
        <w:t>4.3  勘</w:t>
      </w:r>
      <w:r>
        <w:rPr>
          <w:rFonts w:hint="eastAsia"/>
          <w:b/>
          <w:sz w:val="24"/>
        </w:rPr>
        <w:t>察</w:t>
      </w:r>
      <w:bookmarkEnd w:id="165"/>
    </w:p>
    <w:p>
      <w:pPr>
        <w:topLinePunct/>
        <w:autoSpaceDE w:val="0"/>
        <w:autoSpaceDN w:val="0"/>
        <w:adjustRightInd w:val="0"/>
        <w:snapToGrid w:val="0"/>
        <w:spacing w:line="360" w:lineRule="auto"/>
        <w:rPr>
          <w:sz w:val="24"/>
        </w:rPr>
      </w:pPr>
      <w:r>
        <w:rPr>
          <w:rFonts w:hint="eastAsia"/>
          <w:b/>
          <w:sz w:val="24"/>
        </w:rPr>
        <w:t xml:space="preserve">4.3.1  </w:t>
      </w:r>
      <w:r>
        <w:rPr>
          <w:rFonts w:hint="eastAsia"/>
          <w:bCs/>
          <w:sz w:val="24"/>
        </w:rPr>
        <w:t>对膨胀土区域的基坑工程，尚需收集气象资料，包括降雨量、蒸发量、干旱和降雨持续时间、气温及地温等资料。</w:t>
      </w:r>
    </w:p>
    <w:p>
      <w:pPr>
        <w:adjustRightInd w:val="0"/>
        <w:snapToGrid w:val="0"/>
        <w:spacing w:line="360" w:lineRule="auto"/>
        <w:jc w:val="left"/>
        <w:rPr>
          <w:sz w:val="24"/>
        </w:rPr>
      </w:pPr>
      <w:r>
        <w:rPr>
          <w:rFonts w:hint="eastAsia"/>
          <w:b/>
          <w:sz w:val="24"/>
        </w:rPr>
        <w:t xml:space="preserve">4.3.2  </w:t>
      </w:r>
      <w:r>
        <w:rPr>
          <w:rFonts w:hint="eastAsia"/>
          <w:sz w:val="24"/>
        </w:rPr>
        <w:t>对于岩质基坑勘探孔深度可适当减小。</w:t>
      </w:r>
    </w:p>
    <w:p>
      <w:pPr>
        <w:spacing w:line="360" w:lineRule="auto"/>
        <w:jc w:val="left"/>
        <w:rPr>
          <w:b/>
          <w:sz w:val="24"/>
        </w:rPr>
      </w:pPr>
      <w:r>
        <w:rPr>
          <w:rFonts w:hint="eastAsia"/>
          <w:b/>
          <w:sz w:val="24"/>
        </w:rPr>
        <w:t xml:space="preserve">4.3.3  </w:t>
      </w:r>
      <w:r>
        <w:rPr>
          <w:rFonts w:hint="eastAsia"/>
          <w:bCs/>
          <w:sz w:val="24"/>
        </w:rPr>
        <w:t>对膨胀性岩土，宜测定膨胀力指标及含水量变化后的抗剪强度指标。</w:t>
      </w:r>
    </w:p>
    <w:p>
      <w:pPr>
        <w:spacing w:line="360" w:lineRule="auto"/>
        <w:rPr>
          <w:sz w:val="24"/>
        </w:rPr>
      </w:pPr>
      <w:r>
        <w:rPr>
          <w:rFonts w:hint="eastAsia"/>
          <w:b/>
          <w:sz w:val="24"/>
        </w:rPr>
        <w:t xml:space="preserve">4.3.6  </w:t>
      </w:r>
      <w:r>
        <w:rPr>
          <w:rFonts w:hint="eastAsia"/>
          <w:bCs/>
          <w:sz w:val="24"/>
        </w:rPr>
        <w:t>当基坑周边遇旧河道、暗浜、暗塘等时，勘探点间距应能满足查明其分布范围的要求。</w:t>
      </w:r>
    </w:p>
    <w:p>
      <w:pPr>
        <w:spacing w:line="360" w:lineRule="auto"/>
        <w:jc w:val="left"/>
        <w:rPr>
          <w:sz w:val="24"/>
        </w:rPr>
      </w:pPr>
      <w:r>
        <w:rPr>
          <w:rFonts w:hint="eastAsia"/>
          <w:b/>
          <w:sz w:val="24"/>
        </w:rPr>
        <w:t xml:space="preserve">4.3.7  </w:t>
      </w:r>
      <w:r>
        <w:rPr>
          <w:rFonts w:hint="eastAsia"/>
          <w:sz w:val="24"/>
        </w:rPr>
        <w:t>对新近填土宜考虑基坑使用年限内的固结沉降。</w:t>
      </w:r>
    </w:p>
    <w:p>
      <w:pPr>
        <w:spacing w:line="360" w:lineRule="auto"/>
        <w:jc w:val="left"/>
        <w:rPr>
          <w:sz w:val="24"/>
        </w:rPr>
      </w:pPr>
      <w:r>
        <w:rPr>
          <w:rFonts w:hint="eastAsia"/>
          <w:b/>
          <w:sz w:val="24"/>
        </w:rPr>
        <w:t xml:space="preserve">4.3.8  </w:t>
      </w:r>
      <w:r>
        <w:rPr>
          <w:rFonts w:hint="eastAsia"/>
          <w:sz w:val="24"/>
        </w:rPr>
        <w:t>对于风化岩的膨胀性应按膨胀岩的有关标准进行判定。</w:t>
      </w:r>
    </w:p>
    <w:p>
      <w:pPr>
        <w:spacing w:line="360" w:lineRule="auto"/>
        <w:jc w:val="left"/>
        <w:rPr>
          <w:bCs/>
          <w:sz w:val="24"/>
        </w:rPr>
      </w:pPr>
      <w:r>
        <w:rPr>
          <w:rFonts w:hint="eastAsia"/>
          <w:b/>
          <w:sz w:val="24"/>
        </w:rPr>
        <w:t xml:space="preserve">4.3.10  </w:t>
      </w:r>
      <w:r>
        <w:rPr>
          <w:rFonts w:hint="eastAsia"/>
          <w:sz w:val="24"/>
        </w:rPr>
        <w:t>岩溶地区的基坑工程，勘探工作应查明岩溶对基坑工程的影响。</w:t>
      </w:r>
    </w:p>
    <w:p>
      <w:pPr>
        <w:spacing w:line="360" w:lineRule="auto"/>
        <w:jc w:val="center"/>
        <w:outlineLvl w:val="3"/>
        <w:rPr>
          <w:b/>
          <w:sz w:val="24"/>
        </w:rPr>
      </w:pPr>
      <w:bookmarkStart w:id="166" w:name="_Toc45197176"/>
      <w:r>
        <w:rPr>
          <w:b/>
          <w:sz w:val="24"/>
        </w:rPr>
        <w:t>4.4  样品采取与室内试验</w:t>
      </w:r>
      <w:bookmarkEnd w:id="166"/>
    </w:p>
    <w:p>
      <w:pPr>
        <w:spacing w:line="360" w:lineRule="auto"/>
        <w:jc w:val="left"/>
        <w:rPr>
          <w:bCs/>
          <w:sz w:val="24"/>
        </w:rPr>
      </w:pPr>
      <w:r>
        <w:rPr>
          <w:rFonts w:hint="eastAsia"/>
          <w:b/>
          <w:bCs/>
          <w:sz w:val="24"/>
        </w:rPr>
        <w:t xml:space="preserve">4.4.1  </w:t>
      </w:r>
      <w:r>
        <w:rPr>
          <w:rFonts w:hint="eastAsia"/>
          <w:bCs/>
          <w:sz w:val="24"/>
        </w:rPr>
        <w:t>当样品按不同剪切试验方法进行抗剪强度试验时，每层土每一试验方法的合格样品数不应小于6件（组）。</w:t>
      </w:r>
    </w:p>
    <w:p>
      <w:pPr>
        <w:spacing w:line="360" w:lineRule="auto"/>
        <w:jc w:val="left"/>
        <w:rPr>
          <w:b/>
          <w:bCs/>
          <w:sz w:val="24"/>
        </w:rPr>
      </w:pPr>
      <w:r>
        <w:rPr>
          <w:b/>
          <w:bCs/>
          <w:sz w:val="24"/>
        </w:rPr>
        <w:t>4.4.</w:t>
      </w:r>
      <w:r>
        <w:rPr>
          <w:rFonts w:hint="eastAsia"/>
          <w:b/>
          <w:bCs/>
          <w:sz w:val="24"/>
        </w:rPr>
        <w:t>5</w:t>
      </w:r>
      <w:r>
        <w:rPr>
          <w:b/>
          <w:bCs/>
          <w:sz w:val="24"/>
        </w:rPr>
        <w:t xml:space="preserve">  </w:t>
      </w:r>
      <w:r>
        <w:rPr>
          <w:rFonts w:hint="eastAsia"/>
          <w:bCs/>
          <w:sz w:val="24"/>
        </w:rPr>
        <w:t>根据需要</w:t>
      </w:r>
      <w:r>
        <w:rPr>
          <w:bCs/>
          <w:sz w:val="24"/>
        </w:rPr>
        <w:t>取样</w:t>
      </w:r>
      <w:r>
        <w:rPr>
          <w:rFonts w:hint="eastAsia"/>
          <w:bCs/>
          <w:sz w:val="24"/>
        </w:rPr>
        <w:t>做</w:t>
      </w:r>
      <w:r>
        <w:rPr>
          <w:bCs/>
          <w:sz w:val="24"/>
        </w:rPr>
        <w:t>水</w:t>
      </w:r>
      <w:r>
        <w:rPr>
          <w:rFonts w:hint="eastAsia"/>
          <w:bCs/>
          <w:sz w:val="24"/>
        </w:rPr>
        <w:t>、土</w:t>
      </w:r>
      <w:r>
        <w:rPr>
          <w:bCs/>
          <w:sz w:val="24"/>
        </w:rPr>
        <w:t>的腐蚀性试验。</w:t>
      </w:r>
    </w:p>
    <w:p>
      <w:pPr>
        <w:spacing w:line="360" w:lineRule="auto"/>
        <w:jc w:val="center"/>
        <w:outlineLvl w:val="3"/>
        <w:rPr>
          <w:b/>
          <w:sz w:val="24"/>
        </w:rPr>
      </w:pPr>
      <w:bookmarkStart w:id="167" w:name="_Toc45197177"/>
      <w:r>
        <w:rPr>
          <w:b/>
          <w:sz w:val="24"/>
        </w:rPr>
        <w:t>4.6  水文地质</w:t>
      </w:r>
      <w:bookmarkEnd w:id="167"/>
    </w:p>
    <w:p>
      <w:pPr>
        <w:spacing w:line="360" w:lineRule="auto"/>
        <w:jc w:val="left"/>
        <w:rPr>
          <w:bCs/>
          <w:sz w:val="24"/>
        </w:rPr>
      </w:pPr>
      <w:r>
        <w:rPr>
          <w:rFonts w:hint="eastAsia"/>
          <w:b/>
          <w:bCs/>
          <w:sz w:val="24"/>
        </w:rPr>
        <w:t xml:space="preserve">4.6.1  </w:t>
      </w:r>
      <w:r>
        <w:rPr>
          <w:rFonts w:hint="eastAsia"/>
          <w:bCs/>
          <w:sz w:val="24"/>
        </w:rPr>
        <w:t>对基坑支护结构有影响的地表水体主要调查影响范围内的河道、湖、塘、地下洞室等与地基土间的水力联系。</w:t>
      </w:r>
    </w:p>
    <w:p>
      <w:pPr>
        <w:spacing w:line="360" w:lineRule="auto"/>
        <w:jc w:val="center"/>
        <w:outlineLvl w:val="3"/>
        <w:rPr>
          <w:b/>
          <w:sz w:val="24"/>
        </w:rPr>
      </w:pPr>
      <w:bookmarkStart w:id="168" w:name="_Toc45197178"/>
      <w:r>
        <w:rPr>
          <w:b/>
          <w:sz w:val="24"/>
        </w:rPr>
        <w:t>4.7  基坑稳定性分析评价</w:t>
      </w:r>
      <w:bookmarkEnd w:id="168"/>
    </w:p>
    <w:p>
      <w:pPr>
        <w:spacing w:line="360" w:lineRule="auto"/>
        <w:jc w:val="left"/>
        <w:rPr>
          <w:b/>
          <w:sz w:val="24"/>
        </w:rPr>
      </w:pPr>
      <w:r>
        <w:rPr>
          <w:b/>
          <w:sz w:val="24"/>
        </w:rPr>
        <w:t xml:space="preserve">4.7.1  </w:t>
      </w:r>
      <w:r>
        <w:rPr>
          <w:sz w:val="24"/>
        </w:rPr>
        <w:t>验算基坑</w:t>
      </w:r>
      <w:r>
        <w:rPr>
          <w:rFonts w:hint="eastAsia"/>
          <w:sz w:val="24"/>
        </w:rPr>
        <w:t>侧壁</w:t>
      </w:r>
      <w:r>
        <w:rPr>
          <w:sz w:val="24"/>
        </w:rPr>
        <w:t>自立高度Z</w:t>
      </w:r>
      <w:r>
        <w:rPr>
          <w:sz w:val="24"/>
          <w:vertAlign w:val="subscript"/>
        </w:rPr>
        <w:t>0</w:t>
      </w:r>
      <w:r>
        <w:rPr>
          <w:sz w:val="24"/>
        </w:rPr>
        <w:t>时，多层土体的</w:t>
      </w:r>
      <w:r>
        <w:rPr>
          <w:i/>
          <w:sz w:val="24"/>
        </w:rPr>
        <w:t>γ、c、φ</w:t>
      </w:r>
      <w:r>
        <w:rPr>
          <w:sz w:val="24"/>
        </w:rPr>
        <w:t>值可用厚度加权平均值估算，估算出来的Z</w:t>
      </w:r>
      <w:r>
        <w:rPr>
          <w:sz w:val="24"/>
          <w:vertAlign w:val="subscript"/>
        </w:rPr>
        <w:t>0</w:t>
      </w:r>
      <w:r>
        <w:rPr>
          <w:sz w:val="24"/>
        </w:rPr>
        <w:t>须结合基坑周边环境条件、建筑物荷载、地下水位等综合取值。</w:t>
      </w:r>
    </w:p>
    <w:p>
      <w:pPr>
        <w:spacing w:line="360" w:lineRule="auto"/>
        <w:rPr>
          <w:sz w:val="24"/>
        </w:rPr>
      </w:pPr>
      <w:r>
        <w:rPr>
          <w:b/>
          <w:sz w:val="24"/>
        </w:rPr>
        <w:t>4.7.</w:t>
      </w:r>
      <w:r>
        <w:rPr>
          <w:rFonts w:hint="eastAsia"/>
          <w:b/>
          <w:sz w:val="24"/>
        </w:rPr>
        <w:t>3</w:t>
      </w:r>
      <w:r>
        <w:rPr>
          <w:b/>
          <w:sz w:val="24"/>
        </w:rPr>
        <w:t xml:space="preserve">  </w:t>
      </w:r>
      <w:r>
        <w:rPr>
          <w:sz w:val="24"/>
        </w:rPr>
        <w:t>当基坑周边</w:t>
      </w:r>
      <w:r>
        <w:rPr>
          <w:rFonts w:hint="eastAsia"/>
          <w:sz w:val="24"/>
        </w:rPr>
        <w:t>已</w:t>
      </w:r>
      <w:r>
        <w:rPr>
          <w:sz w:val="24"/>
        </w:rPr>
        <w:t>存在上边坡时，</w:t>
      </w:r>
      <w:r>
        <w:rPr>
          <w:rFonts w:hint="eastAsia"/>
          <w:sz w:val="24"/>
        </w:rPr>
        <w:t>应</w:t>
      </w:r>
      <w:r>
        <w:rPr>
          <w:sz w:val="24"/>
        </w:rPr>
        <w:t>对基坑与上边坡的安全</w:t>
      </w:r>
      <w:r>
        <w:rPr>
          <w:rFonts w:hint="eastAsia"/>
          <w:sz w:val="24"/>
        </w:rPr>
        <w:t>性</w:t>
      </w:r>
      <w:r>
        <w:rPr>
          <w:sz w:val="24"/>
        </w:rPr>
        <w:t>进行评估。对与基坑同期形成的边坡，应将基坑与边坡稳定性作为分析评价的重点</w:t>
      </w:r>
      <w:r>
        <w:rPr>
          <w:rFonts w:hint="eastAsia"/>
          <w:sz w:val="24"/>
        </w:rPr>
        <w:t>。</w:t>
      </w:r>
    </w:p>
    <w:p>
      <w:pPr>
        <w:spacing w:line="360" w:lineRule="auto"/>
        <w:jc w:val="center"/>
        <w:outlineLvl w:val="3"/>
        <w:rPr>
          <w:b/>
          <w:sz w:val="24"/>
        </w:rPr>
      </w:pPr>
      <w:bookmarkStart w:id="169" w:name="_Toc45197179"/>
      <w:r>
        <w:rPr>
          <w:b/>
          <w:sz w:val="24"/>
        </w:rPr>
        <w:t>4.8  勘察成果</w:t>
      </w:r>
      <w:bookmarkEnd w:id="169"/>
    </w:p>
    <w:p>
      <w:pPr>
        <w:spacing w:line="360" w:lineRule="auto"/>
        <w:rPr>
          <w:bCs/>
          <w:sz w:val="24"/>
        </w:rPr>
      </w:pPr>
      <w:r>
        <w:rPr>
          <w:rFonts w:hint="eastAsia"/>
          <w:b/>
          <w:sz w:val="24"/>
        </w:rPr>
        <w:t xml:space="preserve">4.8.1-4.8.2  </w:t>
      </w:r>
      <w:r>
        <w:rPr>
          <w:rFonts w:hint="eastAsia"/>
          <w:bCs/>
          <w:sz w:val="24"/>
        </w:rPr>
        <w:t>因各基坑工程地质条件、环境条件及开挖深度等各不相同，本条中仅规定了勘察报告的基本内容，勘察报告编制时除需满足本条要求外，尚可根据项目特点在报告中针对性地增加相应的评价内容及佐证资料，如反映环境条件、地质条件等的影像资料等。</w:t>
      </w:r>
    </w:p>
    <w:p>
      <w:pPr>
        <w:spacing w:line="360" w:lineRule="auto"/>
        <w:rPr>
          <w:i/>
          <w:sz w:val="24"/>
        </w:rPr>
      </w:pPr>
    </w:p>
    <w:p>
      <w:pPr>
        <w:spacing w:line="360" w:lineRule="auto"/>
        <w:rPr>
          <w:i/>
          <w:sz w:val="24"/>
        </w:rPr>
        <w:sectPr>
          <w:pgSz w:w="11907" w:h="16840"/>
          <w:pgMar w:top="1418" w:right="1134" w:bottom="1134" w:left="1701" w:header="851" w:footer="851" w:gutter="0"/>
          <w:cols w:space="720" w:num="1"/>
          <w:docGrid w:linePitch="312" w:charSpace="0"/>
        </w:sectPr>
      </w:pPr>
    </w:p>
    <w:p>
      <w:pPr>
        <w:tabs>
          <w:tab w:val="center" w:pos="4536"/>
          <w:tab w:val="left" w:pos="6436"/>
        </w:tabs>
        <w:spacing w:line="360" w:lineRule="auto"/>
        <w:jc w:val="center"/>
        <w:outlineLvl w:val="2"/>
        <w:rPr>
          <w:b/>
          <w:sz w:val="28"/>
          <w:szCs w:val="28"/>
        </w:rPr>
      </w:pPr>
      <w:bookmarkStart w:id="170" w:name="_Toc45197180"/>
      <w:r>
        <w:rPr>
          <w:b/>
          <w:sz w:val="28"/>
          <w:szCs w:val="28"/>
        </w:rPr>
        <w:t>5  支护设计</w:t>
      </w:r>
      <w:bookmarkEnd w:id="170"/>
    </w:p>
    <w:p>
      <w:pPr>
        <w:spacing w:line="360" w:lineRule="auto"/>
        <w:jc w:val="center"/>
        <w:outlineLvl w:val="3"/>
        <w:rPr>
          <w:b/>
          <w:sz w:val="24"/>
        </w:rPr>
      </w:pPr>
      <w:bookmarkStart w:id="171" w:name="_Toc45197181"/>
      <w:r>
        <w:rPr>
          <w:b/>
          <w:sz w:val="24"/>
        </w:rPr>
        <w:t>5.1  一般规定</w:t>
      </w:r>
      <w:bookmarkEnd w:id="171"/>
    </w:p>
    <w:p>
      <w:pPr>
        <w:spacing w:line="360" w:lineRule="auto"/>
        <w:rPr>
          <w:sz w:val="24"/>
        </w:rPr>
      </w:pPr>
      <w:r>
        <w:rPr>
          <w:rFonts w:hint="eastAsia"/>
          <w:b/>
          <w:sz w:val="24"/>
        </w:rPr>
        <w:t>5.1.1</w:t>
      </w:r>
      <w:r>
        <w:rPr>
          <w:rFonts w:hint="eastAsia"/>
          <w:sz w:val="24"/>
        </w:rPr>
        <w:t xml:space="preserve">  2 附加荷载包括：地面堆积荷载、周边既有和在建的建筑物荷载、施工材料和设备荷载及道路车辆荷载等。</w:t>
      </w:r>
    </w:p>
    <w:p>
      <w:pPr>
        <w:spacing w:line="360" w:lineRule="auto"/>
        <w:jc w:val="center"/>
        <w:outlineLvl w:val="3"/>
        <w:rPr>
          <w:b/>
          <w:sz w:val="24"/>
        </w:rPr>
      </w:pPr>
      <w:bookmarkStart w:id="172" w:name="_Toc45197182"/>
      <w:r>
        <w:rPr>
          <w:b/>
          <w:sz w:val="24"/>
        </w:rPr>
        <w:t>5.</w:t>
      </w:r>
      <w:r>
        <w:rPr>
          <w:rFonts w:hint="eastAsia"/>
          <w:b/>
          <w:sz w:val="24"/>
        </w:rPr>
        <w:t>3</w:t>
      </w:r>
      <w:r>
        <w:rPr>
          <w:b/>
          <w:sz w:val="24"/>
        </w:rPr>
        <w:t xml:space="preserve">  </w:t>
      </w:r>
      <w:r>
        <w:rPr>
          <w:rFonts w:hint="eastAsia"/>
          <w:b/>
          <w:sz w:val="24"/>
        </w:rPr>
        <w:t>水平荷载计算</w:t>
      </w:r>
      <w:bookmarkEnd w:id="172"/>
    </w:p>
    <w:p>
      <w:pPr>
        <w:spacing w:line="360" w:lineRule="auto"/>
        <w:jc w:val="left"/>
        <w:rPr>
          <w:sz w:val="24"/>
        </w:rPr>
      </w:pPr>
      <w:r>
        <w:rPr>
          <w:rFonts w:hint="eastAsia"/>
          <w:b/>
          <w:sz w:val="24"/>
        </w:rPr>
        <w:t xml:space="preserve">5.3.12  </w:t>
      </w:r>
      <w:r>
        <w:rPr>
          <w:rFonts w:hint="eastAsia"/>
          <w:sz w:val="24"/>
        </w:rPr>
        <w:t>岩石侧向压力的计算按国家标准《建筑边坡工程技术规范》GB50330执行。</w:t>
      </w:r>
    </w:p>
    <w:p>
      <w:pPr>
        <w:spacing w:line="360" w:lineRule="auto"/>
        <w:jc w:val="center"/>
        <w:outlineLvl w:val="3"/>
        <w:rPr>
          <w:b/>
          <w:sz w:val="24"/>
        </w:rPr>
      </w:pPr>
      <w:bookmarkStart w:id="173" w:name="_Toc45197183"/>
      <w:r>
        <w:rPr>
          <w:b/>
          <w:sz w:val="24"/>
        </w:rPr>
        <w:t>5.</w:t>
      </w:r>
      <w:r>
        <w:rPr>
          <w:rFonts w:hint="eastAsia"/>
          <w:b/>
          <w:sz w:val="24"/>
        </w:rPr>
        <w:t>4</w:t>
      </w:r>
      <w:r>
        <w:rPr>
          <w:b/>
          <w:sz w:val="24"/>
        </w:rPr>
        <w:t xml:space="preserve">  </w:t>
      </w:r>
      <w:r>
        <w:rPr>
          <w:rFonts w:hint="eastAsia"/>
          <w:b/>
          <w:sz w:val="24"/>
        </w:rPr>
        <w:t>稳定性验算</w:t>
      </w:r>
      <w:bookmarkEnd w:id="173"/>
    </w:p>
    <w:p>
      <w:pPr>
        <w:spacing w:line="360" w:lineRule="auto"/>
        <w:rPr>
          <w:bCs/>
          <w:sz w:val="24"/>
        </w:rPr>
      </w:pPr>
      <w:r>
        <w:rPr>
          <w:rFonts w:hint="eastAsia"/>
          <w:b/>
          <w:bCs/>
          <w:sz w:val="24"/>
        </w:rPr>
        <w:t xml:space="preserve">5.4.5 </w:t>
      </w:r>
      <w:r>
        <w:rPr>
          <w:bCs/>
          <w:sz w:val="24"/>
        </w:rPr>
        <w:t>本规程将嵌固深度计算改为验算</w:t>
      </w:r>
      <w:r>
        <w:rPr>
          <w:rFonts w:hint="eastAsia"/>
          <w:bCs/>
          <w:sz w:val="24"/>
        </w:rPr>
        <w:t>，</w:t>
      </w:r>
      <w:r>
        <w:rPr>
          <w:bCs/>
          <w:sz w:val="24"/>
        </w:rPr>
        <w:t>嵌固深度验算的规定控制的是挡土构件嵌固段的踢脚稳定性</w:t>
      </w:r>
      <w:r>
        <w:rPr>
          <w:rFonts w:hint="eastAsia"/>
          <w:bCs/>
          <w:sz w:val="24"/>
        </w:rPr>
        <w:t>；</w:t>
      </w:r>
      <w:r>
        <w:rPr>
          <w:bCs/>
          <w:sz w:val="24"/>
        </w:rPr>
        <w:t>对悬臂结构按绕挡土构件底部转动的整体平衡</w:t>
      </w:r>
      <w:r>
        <w:rPr>
          <w:rFonts w:hint="eastAsia"/>
          <w:bCs/>
          <w:sz w:val="24"/>
        </w:rPr>
        <w:t>；</w:t>
      </w:r>
      <w:r>
        <w:rPr>
          <w:bCs/>
          <w:sz w:val="24"/>
        </w:rPr>
        <w:t>对</w:t>
      </w:r>
      <w:r>
        <w:rPr>
          <w:rFonts w:hint="eastAsia"/>
          <w:bCs/>
          <w:sz w:val="24"/>
        </w:rPr>
        <w:t>多</w:t>
      </w:r>
      <w:r>
        <w:rPr>
          <w:bCs/>
          <w:sz w:val="24"/>
        </w:rPr>
        <w:t>支点的结构按</w:t>
      </w:r>
      <w:r>
        <w:rPr>
          <w:rFonts w:hint="eastAsia"/>
          <w:bCs/>
          <w:sz w:val="24"/>
        </w:rPr>
        <w:t>最下层支点</w:t>
      </w:r>
      <w:r>
        <w:rPr>
          <w:bCs/>
          <w:sz w:val="24"/>
        </w:rPr>
        <w:t>转动的整体平衡。</w:t>
      </w:r>
    </w:p>
    <w:p>
      <w:pPr>
        <w:spacing w:line="360" w:lineRule="auto"/>
        <w:jc w:val="center"/>
        <w:outlineLvl w:val="3"/>
        <w:rPr>
          <w:b/>
          <w:sz w:val="24"/>
        </w:rPr>
      </w:pPr>
      <w:bookmarkStart w:id="174" w:name="_Toc45197184"/>
      <w:r>
        <w:rPr>
          <w:b/>
          <w:sz w:val="24"/>
        </w:rPr>
        <w:t>5.</w:t>
      </w:r>
      <w:r>
        <w:rPr>
          <w:rFonts w:hint="eastAsia"/>
          <w:b/>
          <w:sz w:val="24"/>
        </w:rPr>
        <w:t>5</w:t>
      </w:r>
      <w:r>
        <w:rPr>
          <w:b/>
          <w:sz w:val="24"/>
        </w:rPr>
        <w:t xml:space="preserve">  排桩支护</w:t>
      </w:r>
      <w:bookmarkEnd w:id="174"/>
    </w:p>
    <w:p>
      <w:pPr>
        <w:spacing w:line="360" w:lineRule="auto"/>
        <w:rPr>
          <w:sz w:val="24"/>
        </w:rPr>
      </w:pPr>
      <w:r>
        <w:rPr>
          <w:b/>
          <w:sz w:val="24"/>
        </w:rPr>
        <w:t>5.5.1</w:t>
      </w:r>
      <w:r>
        <w:rPr>
          <w:rFonts w:hint="eastAsia"/>
          <w:sz w:val="24"/>
        </w:rPr>
        <w:t xml:space="preserve">  </w:t>
      </w:r>
      <w:r>
        <w:rPr>
          <w:sz w:val="24"/>
        </w:rPr>
        <w:t>双排桩是一种</w:t>
      </w:r>
      <w:r>
        <w:rPr>
          <w:rFonts w:hint="eastAsia"/>
          <w:sz w:val="24"/>
        </w:rPr>
        <w:t>刚</w:t>
      </w:r>
      <w:r>
        <w:rPr>
          <w:sz w:val="24"/>
        </w:rPr>
        <w:t>架结构形式，其内力分布特性明显优于单排的悬臂式结构，水平变形也比悬臂式结构小的多，适用的基坑深度比悬臂式结构大一些，但占用场地较宽。</w:t>
      </w:r>
    </w:p>
    <w:p>
      <w:pPr>
        <w:spacing w:line="360" w:lineRule="auto"/>
        <w:jc w:val="left"/>
        <w:rPr>
          <w:sz w:val="24"/>
        </w:rPr>
      </w:pPr>
      <w:r>
        <w:rPr>
          <w:rFonts w:eastAsia="黑体"/>
          <w:b/>
          <w:bCs/>
          <w:sz w:val="24"/>
        </w:rPr>
        <w:t>5.5.2</w:t>
      </w:r>
      <w:r>
        <w:rPr>
          <w:rFonts w:hint="eastAsia" w:eastAsia="黑体"/>
          <w:b/>
          <w:bCs/>
          <w:sz w:val="24"/>
        </w:rPr>
        <w:t xml:space="preserve">  </w:t>
      </w:r>
      <w:r>
        <w:rPr>
          <w:sz w:val="24"/>
        </w:rPr>
        <w:t>弹性支点法的计算主要应注意以下问题：</w:t>
      </w:r>
    </w:p>
    <w:p>
      <w:pPr>
        <w:spacing w:line="360" w:lineRule="auto"/>
        <w:ind w:firstLine="480" w:firstLineChars="200"/>
        <w:jc w:val="left"/>
        <w:textAlignment w:val="center"/>
        <w:rPr>
          <w:sz w:val="24"/>
        </w:rPr>
      </w:pPr>
      <w:r>
        <w:rPr>
          <w:sz w:val="24"/>
        </w:rPr>
        <w:t xml:space="preserve">1 </w:t>
      </w:r>
      <w:r>
        <w:rPr>
          <w:rFonts w:hint="eastAsia"/>
          <w:sz w:val="24"/>
        </w:rPr>
        <w:t xml:space="preserve"> </w:t>
      </w:r>
      <w:r>
        <w:rPr>
          <w:sz w:val="24"/>
        </w:rPr>
        <w:t>土的反力项为增加了常数项后，基坑面以下的土压力分布</w:t>
      </w:r>
      <w:r>
        <w:rPr>
          <w:rFonts w:hint="eastAsia"/>
          <w:sz w:val="24"/>
        </w:rPr>
        <w:t>，</w:t>
      </w:r>
      <w:r>
        <w:rPr>
          <w:sz w:val="24"/>
        </w:rPr>
        <w:t>可由不考虑土的自重作用的矩形分布为考虑土的自重作用的随深度线性增长的三角形分布。两者的挡土结构嵌固段两侧的土压力之和是相同的，但按朗肯压力计算时，基坑外侧基坑面上方和下方均采用主动土压力荷载。</w:t>
      </w:r>
    </w:p>
    <w:p>
      <w:pPr>
        <w:spacing w:line="360" w:lineRule="auto"/>
        <w:ind w:firstLine="480" w:firstLineChars="200"/>
        <w:jc w:val="left"/>
        <w:textAlignment w:val="center"/>
        <w:rPr>
          <w:sz w:val="24"/>
        </w:rPr>
      </w:pPr>
      <w:r>
        <w:rPr>
          <w:sz w:val="24"/>
        </w:rPr>
        <w:t xml:space="preserve">2 </w:t>
      </w:r>
      <w:r>
        <w:rPr>
          <w:rFonts w:hint="eastAsia"/>
          <w:sz w:val="24"/>
        </w:rPr>
        <w:t xml:space="preserve"> </w:t>
      </w:r>
      <w:r>
        <w:rPr>
          <w:sz w:val="24"/>
        </w:rPr>
        <w:t>排桩嵌固段的土反力上限值应满足控制条件。由于土反力与土的水平反力系数采用线弹性模型，计算出的土反力将随位移v的增加线性增长</w:t>
      </w:r>
      <w:r>
        <w:rPr>
          <w:rFonts w:hint="eastAsia"/>
          <w:sz w:val="24"/>
        </w:rPr>
        <w:t>，</w:t>
      </w:r>
      <w:r>
        <w:rPr>
          <w:sz w:val="24"/>
        </w:rPr>
        <w:t>但实际上土的抗力是有限的，如采用摩尔-库伦强度准则，则不应超过被动土压力。</w:t>
      </w:r>
    </w:p>
    <w:p>
      <w:pPr>
        <w:spacing w:line="360" w:lineRule="auto"/>
        <w:ind w:firstLine="480" w:firstLineChars="200"/>
        <w:jc w:val="left"/>
        <w:textAlignment w:val="center"/>
        <w:rPr>
          <w:kern w:val="0"/>
          <w:sz w:val="24"/>
        </w:rPr>
      </w:pPr>
      <w:r>
        <w:rPr>
          <w:sz w:val="24"/>
        </w:rPr>
        <w:t xml:space="preserve">3 </w:t>
      </w:r>
      <w:r>
        <w:rPr>
          <w:rFonts w:hint="eastAsia"/>
          <w:sz w:val="24"/>
        </w:rPr>
        <w:t xml:space="preserve"> </w:t>
      </w:r>
      <w:r>
        <w:rPr>
          <w:sz w:val="24"/>
        </w:rPr>
        <w:t>本规程式中的m值是根据单桩水平荷载试验所得水平临界荷载，经与土层的c、φ值进行统计建立的经验公式</w:t>
      </w:r>
      <w:r>
        <w:rPr>
          <w:rFonts w:hint="eastAsia"/>
          <w:sz w:val="24"/>
        </w:rPr>
        <w:t>计算</w:t>
      </w:r>
      <w:r>
        <w:rPr>
          <w:sz w:val="24"/>
        </w:rPr>
        <w:t>。</w:t>
      </w:r>
    </w:p>
    <w:p>
      <w:pPr>
        <w:spacing w:line="360" w:lineRule="auto"/>
        <w:jc w:val="left"/>
        <w:rPr>
          <w:sz w:val="24"/>
        </w:rPr>
      </w:pPr>
      <w:r>
        <w:rPr>
          <w:rFonts w:eastAsia="黑体"/>
          <w:b/>
          <w:bCs/>
          <w:iCs/>
          <w:sz w:val="24"/>
        </w:rPr>
        <w:t>5.5.</w:t>
      </w:r>
      <w:r>
        <w:rPr>
          <w:rFonts w:hint="eastAsia" w:eastAsia="黑体"/>
          <w:b/>
          <w:bCs/>
          <w:iCs/>
          <w:sz w:val="24"/>
        </w:rPr>
        <w:t xml:space="preserve">6  </w:t>
      </w:r>
      <w:r>
        <w:rPr>
          <w:rFonts w:hAnsi="宋体"/>
          <w:iCs/>
          <w:sz w:val="24"/>
        </w:rPr>
        <w:t>双排桩的整体稳定性验算问题与单排悬臂桩类似，应满足作用在后排桩上的主动土压力与作用在前排桩嵌固段上的被动土压力的力矩平衡条件。与单排桩不同的是，在双排桩的抗倾覆稳定性公式（</w:t>
      </w:r>
      <w:r>
        <w:rPr>
          <w:rFonts w:eastAsia="黑体"/>
          <w:iCs/>
          <w:sz w:val="24"/>
        </w:rPr>
        <w:t>5.5.7</w:t>
      </w:r>
      <w:r>
        <w:rPr>
          <w:rFonts w:hAnsi="宋体"/>
          <w:iCs/>
          <w:sz w:val="24"/>
        </w:rPr>
        <w:t>）中，是将双排桩与桩间土看作整体并将其作为力的平衡分析的对象，并且考虑了土与桩自重的抗倾覆作用。</w:t>
      </w:r>
    </w:p>
    <w:p>
      <w:pPr>
        <w:autoSpaceDE w:val="0"/>
        <w:autoSpaceDN w:val="0"/>
        <w:adjustRightInd w:val="0"/>
        <w:spacing w:line="360" w:lineRule="auto"/>
        <w:jc w:val="left"/>
        <w:rPr>
          <w:sz w:val="24"/>
        </w:rPr>
      </w:pPr>
      <w:r>
        <w:rPr>
          <w:rFonts w:hint="eastAsia"/>
          <w:b/>
          <w:sz w:val="24"/>
        </w:rPr>
        <w:t xml:space="preserve">5.5.8  </w:t>
      </w:r>
      <w:r>
        <w:rPr>
          <w:rFonts w:hint="eastAsia"/>
          <w:sz w:val="24"/>
        </w:rPr>
        <w:t>被动区加固体的</w:t>
      </w:r>
      <w:r>
        <w:rPr>
          <w:sz w:val="24"/>
        </w:rPr>
        <w:t>检测方法有取芯试验、静力触探试验、标准贯入试验、开挖检验等，检测方法和数量根据具体情况确定，综合评价加固效果。</w:t>
      </w:r>
    </w:p>
    <w:p>
      <w:pPr>
        <w:spacing w:line="360" w:lineRule="auto"/>
        <w:ind w:firstLine="480" w:firstLineChars="200"/>
        <w:jc w:val="left"/>
        <w:rPr>
          <w:rFonts w:ascii="宋体" w:hAnsi="宋体"/>
          <w:sz w:val="24"/>
        </w:rPr>
      </w:pPr>
      <w:r>
        <w:rPr>
          <w:rFonts w:hint="eastAsia"/>
          <w:sz w:val="24"/>
        </w:rPr>
        <w:t xml:space="preserve">1  </w:t>
      </w:r>
      <w:r>
        <w:rPr>
          <w:rFonts w:hint="eastAsia" w:ascii="宋体" w:hAnsi="宋体"/>
          <w:sz w:val="24"/>
        </w:rPr>
        <w:t>当软土地基上的支护结构嵌入深度不足时，为改善坑底软弱土层的嵌固条件、减小支护桩、墙的变形可对被动区土体进行加固；</w:t>
      </w:r>
    </w:p>
    <w:p>
      <w:pPr>
        <w:autoSpaceDE w:val="0"/>
        <w:autoSpaceDN w:val="0"/>
        <w:adjustRightInd w:val="0"/>
        <w:spacing w:line="360" w:lineRule="auto"/>
        <w:ind w:firstLine="480" w:firstLineChars="200"/>
        <w:jc w:val="left"/>
        <w:rPr>
          <w:sz w:val="24"/>
        </w:rPr>
      </w:pPr>
      <w:r>
        <w:rPr>
          <w:sz w:val="24"/>
        </w:rPr>
        <w:t>2</w:t>
      </w:r>
      <w:r>
        <w:rPr>
          <w:rFonts w:hint="eastAsia" w:ascii="宋体" w:hAnsi="宋体"/>
          <w:sz w:val="24"/>
        </w:rPr>
        <w:t xml:space="preserve">  采用格栅式加固时，加固区的参数应根据置换率结合工程经验确定；</w:t>
      </w:r>
    </w:p>
    <w:p>
      <w:pPr>
        <w:spacing w:line="360" w:lineRule="auto"/>
        <w:ind w:firstLine="480" w:firstLineChars="200"/>
        <w:jc w:val="left"/>
        <w:rPr>
          <w:sz w:val="24"/>
        </w:rPr>
      </w:pPr>
      <w:r>
        <w:rPr>
          <w:rFonts w:hint="eastAsia"/>
          <w:sz w:val="24"/>
        </w:rPr>
        <w:t xml:space="preserve">3  </w:t>
      </w:r>
      <w:r>
        <w:rPr>
          <w:rFonts w:hAnsi="宋体"/>
          <w:sz w:val="24"/>
        </w:rPr>
        <w:t>加固宽度可取基坑深度的</w:t>
      </w:r>
      <w:r>
        <w:rPr>
          <w:sz w:val="24"/>
        </w:rPr>
        <w:t>0.5</w:t>
      </w:r>
      <w:r>
        <w:rPr>
          <w:rFonts w:hAnsi="宋体"/>
          <w:sz w:val="24"/>
        </w:rPr>
        <w:t>～</w:t>
      </w:r>
      <w:r>
        <w:rPr>
          <w:sz w:val="24"/>
        </w:rPr>
        <w:t>1.0</w:t>
      </w:r>
      <w:r>
        <w:rPr>
          <w:rFonts w:hAnsi="宋体"/>
          <w:sz w:val="24"/>
        </w:rPr>
        <w:t>倍，加固深度不宜小于嵌入深度的</w:t>
      </w:r>
      <w:r>
        <w:rPr>
          <w:sz w:val="24"/>
        </w:rPr>
        <w:t>0.7</w:t>
      </w:r>
      <w:r>
        <w:rPr>
          <w:rFonts w:hAnsi="宋体"/>
          <w:sz w:val="24"/>
        </w:rPr>
        <w:t>倍</w:t>
      </w:r>
      <w:r>
        <w:rPr>
          <w:rFonts w:hint="eastAsia" w:hAnsi="宋体"/>
          <w:sz w:val="24"/>
        </w:rPr>
        <w:t>，</w:t>
      </w:r>
      <w:r>
        <w:rPr>
          <w:rFonts w:hint="eastAsia" w:ascii="宋体" w:hAnsi="宋体"/>
          <w:sz w:val="24"/>
        </w:rPr>
        <w:t>被动区加固不得在基坑大部分或全部开挖后进行</w:t>
      </w:r>
      <w:r>
        <w:rPr>
          <w:rFonts w:hAnsi="宋体"/>
          <w:sz w:val="24"/>
        </w:rPr>
        <w:t>。</w:t>
      </w:r>
    </w:p>
    <w:p>
      <w:pPr>
        <w:spacing w:line="360" w:lineRule="auto"/>
        <w:rPr>
          <w:sz w:val="24"/>
        </w:rPr>
      </w:pPr>
      <w:r>
        <w:rPr>
          <w:b/>
          <w:bCs/>
          <w:sz w:val="24"/>
        </w:rPr>
        <w:t>5.5.</w:t>
      </w:r>
      <w:r>
        <w:rPr>
          <w:rFonts w:hint="eastAsia"/>
          <w:b/>
          <w:bCs/>
          <w:sz w:val="24"/>
        </w:rPr>
        <w:t xml:space="preserve">9  </w:t>
      </w:r>
      <w:r>
        <w:rPr>
          <w:rFonts w:hint="eastAsia"/>
          <w:bCs/>
          <w:sz w:val="24"/>
        </w:rPr>
        <w:t xml:space="preserve">1 </w:t>
      </w:r>
      <w:r>
        <w:rPr>
          <w:sz w:val="24"/>
        </w:rPr>
        <w:t>排桩桩径不宜小于600mm，是通常情况下桩径的下限，桩径的选取主要还是应按弯矩大小与变形要求确定，以达到受力与经济合理的要求，同时还要满足施工条件的要求。</w:t>
      </w:r>
    </w:p>
    <w:p>
      <w:pPr>
        <w:spacing w:line="360" w:lineRule="auto"/>
        <w:ind w:firstLine="720" w:firstLineChars="300"/>
        <w:rPr>
          <w:sz w:val="24"/>
        </w:rPr>
      </w:pPr>
      <w:r>
        <w:rPr>
          <w:rFonts w:hint="eastAsia"/>
          <w:bCs/>
          <w:sz w:val="24"/>
        </w:rPr>
        <w:t xml:space="preserve">3 </w:t>
      </w:r>
      <w:r>
        <w:rPr>
          <w:sz w:val="24"/>
        </w:rPr>
        <w:t>构造性冠梁与按传力构件设计的冠梁的作用不同，构造冠梁的作用是将排桩连成整体，调整各个桩受力的不均匀性。构造冠梁的受力无法通过计算得出，需要按构造配筋。传力冠梁按梁进行设计和计算，除需满足构造要求外，应按梁计算内力，并根据所承受的内力确定梁的</w:t>
      </w:r>
      <w:r>
        <w:rPr>
          <w:rFonts w:hint="eastAsia"/>
          <w:sz w:val="24"/>
        </w:rPr>
        <w:t>截面</w:t>
      </w:r>
      <w:r>
        <w:rPr>
          <w:sz w:val="24"/>
        </w:rPr>
        <w:t>。</w:t>
      </w:r>
    </w:p>
    <w:p>
      <w:pPr>
        <w:spacing w:line="360" w:lineRule="auto"/>
        <w:ind w:firstLine="720" w:firstLineChars="300"/>
        <w:rPr>
          <w:bCs/>
          <w:sz w:val="24"/>
        </w:rPr>
      </w:pPr>
      <w:r>
        <w:rPr>
          <w:rFonts w:hint="eastAsia"/>
          <w:bCs/>
          <w:sz w:val="24"/>
        </w:rPr>
        <w:t>4  1）</w:t>
      </w:r>
      <w:r>
        <w:rPr>
          <w:bCs/>
          <w:sz w:val="24"/>
        </w:rPr>
        <w:t>双排桩的排距、</w:t>
      </w:r>
      <w:r>
        <w:rPr>
          <w:rFonts w:hint="eastAsia"/>
          <w:bCs/>
          <w:sz w:val="24"/>
        </w:rPr>
        <w:t>连</w:t>
      </w:r>
      <w:r>
        <w:rPr>
          <w:bCs/>
          <w:sz w:val="24"/>
        </w:rPr>
        <w:t>梁高度是双排桩设计的重要参数。排距过小受力不合理，排距过大刚架效果减弱，排距合理的范围为</w:t>
      </w:r>
      <w:r>
        <w:rPr>
          <w:rFonts w:hint="eastAsia"/>
          <w:bCs/>
          <w:sz w:val="24"/>
        </w:rPr>
        <w:t>3</w:t>
      </w:r>
      <w:r>
        <w:rPr>
          <w:bCs/>
          <w:sz w:val="24"/>
        </w:rPr>
        <w:t>d~5d</w:t>
      </w:r>
      <w:r>
        <w:rPr>
          <w:rFonts w:hint="eastAsia"/>
          <w:bCs/>
          <w:sz w:val="24"/>
        </w:rPr>
        <w:t>。</w:t>
      </w:r>
      <w:r>
        <w:rPr>
          <w:bCs/>
          <w:sz w:val="24"/>
        </w:rPr>
        <w:t>双排桩顶部水平位移随</w:t>
      </w:r>
      <w:r>
        <w:rPr>
          <w:rFonts w:hint="eastAsia"/>
          <w:bCs/>
          <w:sz w:val="24"/>
        </w:rPr>
        <w:t>连</w:t>
      </w:r>
      <w:r>
        <w:rPr>
          <w:bCs/>
          <w:sz w:val="24"/>
        </w:rPr>
        <w:t>梁高度的增大而减小</w:t>
      </w:r>
      <w:r>
        <w:rPr>
          <w:rFonts w:hint="eastAsia"/>
          <w:bCs/>
          <w:sz w:val="24"/>
        </w:rPr>
        <w:t>，因此，连</w:t>
      </w:r>
      <w:r>
        <w:rPr>
          <w:bCs/>
          <w:sz w:val="24"/>
        </w:rPr>
        <w:t>梁高度不宜小于0.8d</w:t>
      </w:r>
      <w:r>
        <w:rPr>
          <w:rFonts w:hint="eastAsia"/>
          <w:bCs/>
          <w:sz w:val="24"/>
        </w:rPr>
        <w:t>。</w:t>
      </w:r>
    </w:p>
    <w:p>
      <w:pPr>
        <w:spacing w:line="360" w:lineRule="auto"/>
        <w:ind w:firstLine="600" w:firstLineChars="250"/>
        <w:rPr>
          <w:sz w:val="24"/>
        </w:rPr>
      </w:pPr>
      <w:r>
        <w:rPr>
          <w:sz w:val="24"/>
        </w:rPr>
        <w:t>2）根据结构力学的基本原理及计算分析结果，双排桩刚架结构中的桩与单排桩的受力特点有较大的区别。锚拉式、支撑式、悬臂式排桩，在水平荷载作用下只产生弯矩和剪力，而双排桩刚架结构在水平荷载作用下，桩的内力除弯矩、剪力外，轴力不容小视。前排桩的轴力为压力，后排桩的轴力为拉力。在其他参数不变的条件下，桩身轴力随着双排桩排距的减小而增大。桩身轴力的存在，使得前排桩发生向下的竖向位移，后排桩发生向上的竖向位移。前后排桩出现不同方向的竖向位移，就意味着双排桩刚架出现了向基坑方向的整体倾斜，增大了双排桩刚架顶部的水平位移。此外，正如普通刚架结构对相邻柱间的沉降差非常敏感一样，双排桩刚架结构前、后排桩沉降差对结构的内力、变形影响很大。在其他条件不变的情况下，桩顶水平位移、桩身最大弯矩随着前、后排桩沉降差的增大基本呈线性增加。</w:t>
      </w:r>
    </w:p>
    <w:p>
      <w:pPr>
        <w:spacing w:line="360" w:lineRule="auto"/>
        <w:ind w:firstLine="600" w:firstLineChars="250"/>
        <w:rPr>
          <w:sz w:val="24"/>
        </w:rPr>
      </w:pPr>
      <w:r>
        <w:rPr>
          <w:sz w:val="24"/>
        </w:rPr>
        <w:t>3）双排桩的桩身内力有弯矩、剪力、轴力，因此需按偏心受压、偏心受拉构件进行设计。</w:t>
      </w:r>
    </w:p>
    <w:p>
      <w:pPr>
        <w:spacing w:line="360" w:lineRule="auto"/>
        <w:ind w:firstLine="600" w:firstLineChars="250"/>
        <w:rPr>
          <w:sz w:val="24"/>
        </w:rPr>
      </w:pPr>
      <w:r>
        <w:rPr>
          <w:sz w:val="24"/>
        </w:rPr>
        <w:t>4）双排桩结构是刚架结构，桩顶与</w:t>
      </w:r>
      <w:r>
        <w:rPr>
          <w:rFonts w:hint="eastAsia"/>
          <w:sz w:val="24"/>
        </w:rPr>
        <w:t>连</w:t>
      </w:r>
      <w:r>
        <w:rPr>
          <w:sz w:val="24"/>
        </w:rPr>
        <w:t>梁的连接按完全刚接考虑，其受力特点类似于混凝土结构中框架顶层，因此，该处的连接构造需符合框架顶层端节点的有关规定。</w:t>
      </w:r>
    </w:p>
    <w:p>
      <w:pPr>
        <w:spacing w:line="360" w:lineRule="auto"/>
        <w:rPr>
          <w:sz w:val="24"/>
        </w:rPr>
      </w:pPr>
      <w:r>
        <w:rPr>
          <w:b/>
          <w:bCs/>
          <w:sz w:val="24"/>
        </w:rPr>
        <w:t>5.5.1</w:t>
      </w:r>
      <w:r>
        <w:rPr>
          <w:rFonts w:hint="eastAsia"/>
          <w:b/>
          <w:bCs/>
          <w:sz w:val="24"/>
        </w:rPr>
        <w:t xml:space="preserve">0  </w:t>
      </w:r>
      <w:r>
        <w:rPr>
          <w:rFonts w:hint="eastAsia"/>
          <w:bCs/>
          <w:sz w:val="24"/>
        </w:rPr>
        <w:t>1</w:t>
      </w:r>
      <w:r>
        <w:rPr>
          <w:rFonts w:hint="eastAsia"/>
          <w:b/>
          <w:bCs/>
          <w:sz w:val="24"/>
        </w:rPr>
        <w:t xml:space="preserve"> </w:t>
      </w:r>
      <w:r>
        <w:rPr>
          <w:sz w:val="24"/>
        </w:rPr>
        <w:t>支护</w:t>
      </w:r>
      <w:r>
        <w:rPr>
          <w:rFonts w:hint="eastAsia"/>
          <w:sz w:val="24"/>
        </w:rPr>
        <w:t>桩</w:t>
      </w:r>
      <w:r>
        <w:rPr>
          <w:sz w:val="24"/>
        </w:rPr>
        <w:t>常用桩型</w:t>
      </w:r>
      <w:r>
        <w:rPr>
          <w:rFonts w:hint="eastAsia"/>
          <w:sz w:val="24"/>
        </w:rPr>
        <w:t>的</w:t>
      </w:r>
      <w:r>
        <w:rPr>
          <w:sz w:val="24"/>
        </w:rPr>
        <w:t>施工要求在行业标准《建筑桩基技术规范》JGJ 94中已作规定</w:t>
      </w:r>
      <w:r>
        <w:rPr>
          <w:rFonts w:hint="eastAsia"/>
          <w:sz w:val="24"/>
        </w:rPr>
        <w:t>，</w:t>
      </w:r>
      <w:r>
        <w:rPr>
          <w:sz w:val="24"/>
        </w:rPr>
        <w:t>本规程仅对桩用于基坑支护时的一些特殊施工要求进行了规定。</w:t>
      </w:r>
    </w:p>
    <w:p>
      <w:pPr>
        <w:spacing w:line="360" w:lineRule="auto"/>
        <w:ind w:firstLine="720" w:firstLineChars="300"/>
        <w:rPr>
          <w:bCs/>
          <w:sz w:val="24"/>
        </w:rPr>
      </w:pPr>
      <w:r>
        <w:rPr>
          <w:rFonts w:hint="eastAsia"/>
          <w:bCs/>
          <w:sz w:val="24"/>
        </w:rPr>
        <w:t xml:space="preserve">3 </w:t>
      </w:r>
      <w:r>
        <w:rPr>
          <w:sz w:val="24"/>
        </w:rPr>
        <w:t>咬合</w:t>
      </w:r>
      <w:r>
        <w:rPr>
          <w:rFonts w:hint="eastAsia"/>
          <w:sz w:val="24"/>
        </w:rPr>
        <w:t>桩</w:t>
      </w:r>
      <w:r>
        <w:rPr>
          <w:sz w:val="24"/>
        </w:rPr>
        <w:t>需要达到截水的效果，对咬合排桩的施工垂直度就有严格的要求，否则，</w:t>
      </w:r>
      <w:r>
        <w:rPr>
          <w:bCs/>
          <w:sz w:val="24"/>
        </w:rPr>
        <w:t>当桩与桩之间产生间隙，将会影响截水效果。</w:t>
      </w:r>
    </w:p>
    <w:p>
      <w:pPr>
        <w:spacing w:line="360" w:lineRule="auto"/>
        <w:jc w:val="center"/>
        <w:outlineLvl w:val="3"/>
        <w:rPr>
          <w:b/>
          <w:sz w:val="24"/>
        </w:rPr>
      </w:pPr>
      <w:bookmarkStart w:id="175" w:name="_Toc45197185"/>
      <w:r>
        <w:rPr>
          <w:b/>
          <w:sz w:val="24"/>
        </w:rPr>
        <w:t>5.</w:t>
      </w:r>
      <w:r>
        <w:rPr>
          <w:rFonts w:hint="eastAsia"/>
          <w:b/>
          <w:sz w:val="24"/>
        </w:rPr>
        <w:t>6</w:t>
      </w:r>
      <w:r>
        <w:rPr>
          <w:b/>
          <w:sz w:val="24"/>
        </w:rPr>
        <w:t xml:space="preserve">  桩锚支护</w:t>
      </w:r>
      <w:bookmarkEnd w:id="175"/>
    </w:p>
    <w:p>
      <w:pPr>
        <w:spacing w:line="360" w:lineRule="auto"/>
        <w:jc w:val="left"/>
        <w:rPr>
          <w:sz w:val="24"/>
        </w:rPr>
      </w:pPr>
      <w:r>
        <w:rPr>
          <w:b/>
          <w:sz w:val="24"/>
        </w:rPr>
        <w:t>5.6.2</w:t>
      </w:r>
      <w:r>
        <w:rPr>
          <w:rFonts w:hint="eastAsia"/>
          <w:sz w:val="24"/>
        </w:rPr>
        <w:t xml:space="preserve">  </w:t>
      </w:r>
      <w:r>
        <w:rPr>
          <w:rFonts w:hAnsi="微软雅黑"/>
          <w:sz w:val="24"/>
        </w:rPr>
        <w:t>本条规定了锚杆极限抗拔承载力、轴向拉力标准值的计算及安全系数</w:t>
      </w:r>
      <w:r>
        <w:rPr>
          <w:rFonts w:hint="eastAsia" w:hAnsi="微软雅黑"/>
          <w:sz w:val="24"/>
        </w:rPr>
        <w:t>取值</w:t>
      </w:r>
      <w:r>
        <w:rPr>
          <w:rFonts w:hAnsi="微软雅黑"/>
          <w:sz w:val="24"/>
        </w:rPr>
        <w:t>，同时规定了锚杆的</w:t>
      </w:r>
      <w:r>
        <w:rPr>
          <w:rFonts w:hint="eastAsia" w:hAnsi="微软雅黑"/>
          <w:sz w:val="24"/>
        </w:rPr>
        <w:t>自由</w:t>
      </w:r>
      <w:r>
        <w:rPr>
          <w:rFonts w:hAnsi="微软雅黑"/>
          <w:sz w:val="24"/>
        </w:rPr>
        <w:t>段长度的计算方法。设计时，宜将</w:t>
      </w:r>
      <w:r>
        <w:rPr>
          <w:rFonts w:hint="eastAsia" w:hAnsi="微软雅黑"/>
          <w:sz w:val="24"/>
        </w:rPr>
        <w:t>自由</w:t>
      </w:r>
      <w:r>
        <w:rPr>
          <w:rFonts w:hAnsi="微软雅黑"/>
          <w:sz w:val="24"/>
        </w:rPr>
        <w:t>段穿越软弱土层，当锚固段必需位于软土层中时，软土层中的极限</w:t>
      </w:r>
      <w:r>
        <w:rPr>
          <w:rFonts w:hint="eastAsia" w:hAnsi="微软雅黑"/>
          <w:sz w:val="24"/>
        </w:rPr>
        <w:t>黏</w:t>
      </w:r>
      <w:r>
        <w:rPr>
          <w:rFonts w:hAnsi="微软雅黑"/>
          <w:sz w:val="24"/>
        </w:rPr>
        <w:t>结强度标准值</w:t>
      </w:r>
      <w:r>
        <w:rPr>
          <w:sz w:val="24"/>
        </w:rPr>
        <w:t>q</w:t>
      </w:r>
      <w:r>
        <w:rPr>
          <w:sz w:val="24"/>
          <w:vertAlign w:val="subscript"/>
        </w:rPr>
        <w:t>sk</w:t>
      </w:r>
      <w:r>
        <w:rPr>
          <w:rFonts w:hint="eastAsia"/>
          <w:sz w:val="24"/>
          <w:vertAlign w:val="subscript"/>
        </w:rPr>
        <w:t>，</w:t>
      </w:r>
      <w:r>
        <w:rPr>
          <w:sz w:val="24"/>
          <w:vertAlign w:val="subscript"/>
        </w:rPr>
        <w:t>i</w:t>
      </w:r>
      <w:r>
        <w:rPr>
          <w:rFonts w:hAnsi="微软雅黑"/>
          <w:sz w:val="24"/>
        </w:rPr>
        <w:t>应适当折减，并通</w:t>
      </w:r>
      <w:r>
        <w:rPr>
          <w:rFonts w:hint="eastAsia" w:hAnsi="微软雅黑"/>
          <w:sz w:val="24"/>
        </w:rPr>
        <w:t>过</w:t>
      </w:r>
      <w:r>
        <w:rPr>
          <w:rFonts w:hAnsi="微软雅黑"/>
          <w:sz w:val="24"/>
        </w:rPr>
        <w:t>锚杆基本试验和蠕变试验验证锚杆承载状态时的稳定性</w:t>
      </w:r>
      <w:r>
        <w:rPr>
          <w:rFonts w:hint="eastAsia" w:hAnsi="微软雅黑"/>
          <w:sz w:val="24"/>
        </w:rPr>
        <w:t>。</w:t>
      </w:r>
    </w:p>
    <w:p>
      <w:pPr>
        <w:spacing w:line="360" w:lineRule="auto"/>
        <w:jc w:val="left"/>
        <w:rPr>
          <w:sz w:val="24"/>
        </w:rPr>
      </w:pPr>
      <w:r>
        <w:rPr>
          <w:b/>
          <w:sz w:val="24"/>
        </w:rPr>
        <w:t xml:space="preserve">5.6.4 </w:t>
      </w:r>
      <w:r>
        <w:rPr>
          <w:sz w:val="24"/>
        </w:rPr>
        <w:t xml:space="preserve"> </w:t>
      </w:r>
      <w:r>
        <w:rPr>
          <w:rFonts w:hAnsi="微软雅黑"/>
          <w:sz w:val="24"/>
        </w:rPr>
        <w:t>套管跟进护壁成孔工艺及条件宜参照《云南省建筑基坑支护技术规程》</w:t>
      </w:r>
      <w:r>
        <w:rPr>
          <w:sz w:val="24"/>
        </w:rPr>
        <w:t>DBJ53/T-71</w:t>
      </w:r>
      <w:r>
        <w:rPr>
          <w:rFonts w:hAnsi="微软雅黑"/>
          <w:sz w:val="24"/>
        </w:rPr>
        <w:t>相关规定执行；成孔过程中的不明障碍物可能是基坑周边需要保护而又未查清的重要管线或建筑物基础，为避免破坏，必须先查明，才能继续钻进；</w:t>
      </w:r>
    </w:p>
    <w:p>
      <w:pPr>
        <w:spacing w:line="360" w:lineRule="auto"/>
        <w:ind w:firstLine="480" w:firstLineChars="200"/>
        <w:jc w:val="left"/>
        <w:rPr>
          <w:sz w:val="24"/>
        </w:rPr>
      </w:pPr>
      <w:r>
        <w:rPr>
          <w:rFonts w:hAnsi="微软雅黑"/>
          <w:sz w:val="24"/>
        </w:rPr>
        <w:t>预应力锚杆锁定</w:t>
      </w:r>
      <w:r>
        <w:rPr>
          <w:rFonts w:hint="eastAsia" w:hAnsi="微软雅黑"/>
          <w:sz w:val="24"/>
        </w:rPr>
        <w:t>后</w:t>
      </w:r>
      <w:r>
        <w:rPr>
          <w:rFonts w:hAnsi="微软雅黑"/>
          <w:sz w:val="24"/>
        </w:rPr>
        <w:t>，通常都会发生预应力损失，预应力损失量正常情况下一般在</w:t>
      </w:r>
      <w:r>
        <w:rPr>
          <w:sz w:val="24"/>
        </w:rPr>
        <w:t>10%~20%</w:t>
      </w:r>
      <w:r>
        <w:rPr>
          <w:rFonts w:hAnsi="微软雅黑"/>
          <w:sz w:val="24"/>
        </w:rPr>
        <w:t>；因此，为确保达到设计要求的锁定值，一般均采用超张拉</w:t>
      </w:r>
      <w:r>
        <w:rPr>
          <w:sz w:val="24"/>
        </w:rPr>
        <w:t>10~15%</w:t>
      </w:r>
      <w:r>
        <w:rPr>
          <w:rFonts w:hAnsi="微软雅黑"/>
          <w:sz w:val="24"/>
        </w:rPr>
        <w:t>方式减少损失量；</w:t>
      </w:r>
    </w:p>
    <w:p>
      <w:pPr>
        <w:spacing w:line="360" w:lineRule="auto"/>
        <w:ind w:firstLine="480" w:firstLineChars="200"/>
        <w:jc w:val="left"/>
        <w:rPr>
          <w:sz w:val="24"/>
        </w:rPr>
      </w:pPr>
      <w:r>
        <w:rPr>
          <w:rFonts w:hAnsi="微软雅黑"/>
          <w:sz w:val="24"/>
        </w:rPr>
        <w:t>锚杆验收试验应按附录</w:t>
      </w:r>
      <w:r>
        <w:rPr>
          <w:sz w:val="24"/>
        </w:rPr>
        <w:t>D</w:t>
      </w:r>
      <w:r>
        <w:rPr>
          <w:rFonts w:hint="eastAsia"/>
          <w:sz w:val="24"/>
        </w:rPr>
        <w:t>及国家标准《建筑地基基础工程施工质量验收标准》GB50202中的</w:t>
      </w:r>
      <w:r>
        <w:rPr>
          <w:rFonts w:hAnsi="微软雅黑"/>
          <w:sz w:val="24"/>
        </w:rPr>
        <w:t>相关要求进行；现场实施宜分批进行，有利于过程中控制锚杆施工质量；</w:t>
      </w:r>
    </w:p>
    <w:p>
      <w:pPr>
        <w:tabs>
          <w:tab w:val="left" w:pos="420"/>
        </w:tabs>
        <w:spacing w:line="360" w:lineRule="auto"/>
        <w:ind w:firstLine="480" w:firstLineChars="200"/>
        <w:jc w:val="left"/>
        <w:rPr>
          <w:sz w:val="24"/>
        </w:rPr>
      </w:pPr>
      <w:r>
        <w:rPr>
          <w:rFonts w:hAnsi="微软雅黑"/>
          <w:sz w:val="24"/>
        </w:rPr>
        <w:t>可回收锚</w:t>
      </w:r>
      <w:r>
        <w:rPr>
          <w:rFonts w:hint="eastAsia" w:hAnsi="微软雅黑"/>
          <w:sz w:val="24"/>
        </w:rPr>
        <w:t>杆</w:t>
      </w:r>
      <w:r>
        <w:rPr>
          <w:rFonts w:hAnsi="微软雅黑"/>
          <w:sz w:val="24"/>
        </w:rPr>
        <w:t>利用基坑回填换撑时，必须确保基坑肥槽回填土体的压实度，要求压实系数</w:t>
      </w:r>
      <w:r>
        <w:rPr>
          <w:sz w:val="24"/>
        </w:rPr>
        <w:t>λ</w:t>
      </w:r>
      <w:r>
        <w:rPr>
          <w:rFonts w:asciiTheme="minorEastAsia" w:hAnsiTheme="minorEastAsia"/>
          <w:sz w:val="24"/>
        </w:rPr>
        <w:t>≥</w:t>
      </w:r>
      <w:r>
        <w:rPr>
          <w:sz w:val="24"/>
        </w:rPr>
        <w:t>0.94</w:t>
      </w:r>
      <w:r>
        <w:rPr>
          <w:rFonts w:hAnsi="微软雅黑"/>
          <w:sz w:val="24"/>
        </w:rPr>
        <w:t>，回填土料采用土夹石回填；如因地下水，操作面宽度不足等情况压实度不能满足要求时，宜采用低</w:t>
      </w:r>
      <w:r>
        <w:rPr>
          <w:rFonts w:hint="eastAsia" w:hAnsi="微软雅黑"/>
          <w:sz w:val="24"/>
        </w:rPr>
        <w:t>强度混凝土</w:t>
      </w:r>
      <w:r>
        <w:rPr>
          <w:rFonts w:hAnsi="微软雅黑"/>
          <w:sz w:val="24"/>
        </w:rPr>
        <w:t>或水泥土（水泥掺量不小于</w:t>
      </w:r>
      <w:r>
        <w:rPr>
          <w:sz w:val="24"/>
        </w:rPr>
        <w:t>20%</w:t>
      </w:r>
      <w:r>
        <w:rPr>
          <w:rFonts w:hAnsi="微软雅黑"/>
          <w:sz w:val="24"/>
        </w:rPr>
        <w:t>）回填。</w:t>
      </w:r>
    </w:p>
    <w:p>
      <w:pPr>
        <w:spacing w:line="360" w:lineRule="auto"/>
        <w:jc w:val="center"/>
        <w:outlineLvl w:val="3"/>
        <w:rPr>
          <w:b/>
          <w:sz w:val="24"/>
        </w:rPr>
      </w:pPr>
      <w:bookmarkStart w:id="176" w:name="_Toc45197186"/>
      <w:r>
        <w:rPr>
          <w:b/>
          <w:sz w:val="24"/>
        </w:rPr>
        <w:t>5.</w:t>
      </w:r>
      <w:r>
        <w:rPr>
          <w:rFonts w:hint="eastAsia"/>
          <w:b/>
          <w:sz w:val="24"/>
        </w:rPr>
        <w:t>7</w:t>
      </w:r>
      <w:r>
        <w:rPr>
          <w:b/>
          <w:sz w:val="24"/>
        </w:rPr>
        <w:t xml:space="preserve">  内支撑</w:t>
      </w:r>
      <w:bookmarkEnd w:id="176"/>
    </w:p>
    <w:p>
      <w:pPr>
        <w:pStyle w:val="82"/>
      </w:pPr>
      <w:r>
        <w:rPr>
          <w:b/>
        </w:rPr>
        <w:t>5.7.1</w:t>
      </w:r>
      <w:r>
        <w:rPr>
          <w:rFonts w:hint="eastAsia"/>
          <w:b/>
        </w:rPr>
        <w:t xml:space="preserve">  </w:t>
      </w:r>
      <w:r>
        <w:rPr>
          <w:rFonts w:ascii="宋体" w:hAnsi="宋体"/>
        </w:rPr>
        <w:t>内支撑的选型和适用范围</w:t>
      </w:r>
      <w:r>
        <w:rPr>
          <w:rFonts w:hint="eastAsia" w:ascii="宋体" w:hAnsi="宋体"/>
        </w:rPr>
        <w:t>：</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1  钢支撑具有自重轻、安装和拆除方便、施工速度快、可以重复利用（环保、绿色）且安装后能立即发挥支撑作用的优点；缺点是节点构造和安装相对比较复杂、施工质量和水平要求较高。适用于对撑、角撑等平面形状简单的基坑。</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钢筋混凝土支撑具有刚度大、整体性好、布置灵活、适应于不同形状的基坑而且不会因节点松动而引起基坑位移、施工质量容易得到保证。缺点是现场制作和养护时间较长、拆除工程量大、支撑材料不能重复利用。</w:t>
      </w:r>
    </w:p>
    <w:p>
      <w:pPr>
        <w:pStyle w:val="82"/>
        <w:spacing w:line="360" w:lineRule="auto"/>
        <w:ind w:firstLine="480" w:firstLineChars="200"/>
      </w:pPr>
      <w:r>
        <w:t>4  围檩的选型与设置：（1）钢围檩可采用H型钢、工字钢、槽钢或其组合截面等，钢筋混凝土围檩强度等级不应低于C25；围檩可采用立柱支承或与围护结构连接牢靠，但均需保证围檩的受力均衡、稳定，具体连接构造应根据围檩和支撑的自重等因素由计算确定；（2）连接构件的规格与布置应根据围檩和支撑的自重等因素由计算确定，支架与混凝土围护结构的连接可采用植筋、锚栓等形式，具体可参照《混凝土结构后锚固技术规程》JGJ145相关要求进行设计、施工与验收。吊筋与混凝土围护结构的连接应牢固；（3）围檩的分段预制长度不宜小于支撑间距的2倍，钢围檩拼装节点的强度宜满足等强连接；（4）混凝土围檩的纵向受力钢筋直径不宜小于16mm，间距不应大于200mm。箍筋直径不应小于8mm，间距不应大于250mm；钢筋混凝土支撑的纵向钢筋在混凝土围檩内的锚固长度不宜小于30d；围檩的水平挠度宜小于其计算跨度的1/1000~1/1500；（5）剪力传递构件采用抗剪墩时，其规格、数量、焊缝、位置应根据相关规范要求进</w:t>
      </w:r>
      <w:r>
        <w:rPr>
          <w:rFonts w:hint="eastAsia"/>
          <w:lang w:eastAsia="zh-CN"/>
        </w:rPr>
        <w:t>行</w:t>
      </w:r>
      <w:r>
        <w:t>设计；地下连续墙墙体与围檩之间需要传递剪力时，可在墙体上沿围檩长度方向预留按计算确定的剪力槽或受剪钢筋等；（6）围檩与围护结构间空隙宜用强度等级不低于C25的细石混凝土或M25的</w:t>
      </w:r>
      <w:r>
        <w:rPr>
          <w:rFonts w:hint="eastAsia"/>
          <w:lang w:eastAsia="zh-CN"/>
        </w:rPr>
        <w:t>水泥</w:t>
      </w:r>
      <w:r>
        <w:t>砂浆充填密实。</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rPr>
        <w:t>5  立柱的选型与设置：（1）基坑开挖面以上部分宜采用格构式钢柱、钢管或H型钢，基坑开挖面以下部分宜采用钢筋混凝土灌注桩；（2）立柱下混凝土灌注桩直径不</w:t>
      </w:r>
      <w:r>
        <w:rPr>
          <w:rFonts w:hint="eastAsia" w:ascii="Times New Roman" w:hAnsi="Times New Roman" w:cs="Times New Roman"/>
          <w:color w:val="auto"/>
        </w:rPr>
        <w:t>宜</w:t>
      </w:r>
      <w:r>
        <w:rPr>
          <w:rFonts w:ascii="Times New Roman" w:hAnsi="Times New Roman" w:cs="Times New Roman"/>
          <w:color w:val="auto"/>
        </w:rPr>
        <w:t>小于600mm，其上部钢立柱在桩内的埋入长度应不小于钢立柱长边</w:t>
      </w:r>
      <w:r>
        <w:rPr>
          <w:rFonts w:hint="eastAsia" w:ascii="Times New Roman" w:hAnsi="Times New Roman" w:cs="Times New Roman"/>
          <w:color w:val="auto"/>
        </w:rPr>
        <w:t>或直径</w:t>
      </w:r>
      <w:r>
        <w:rPr>
          <w:rFonts w:ascii="Times New Roman" w:hAnsi="Times New Roman" w:cs="Times New Roman"/>
          <w:color w:val="auto"/>
        </w:rPr>
        <w:t>的4倍，并宜与桩内钢筋焊接；（3）立柱与水平支撑连接铰接件在竖向和水平方向的连接力应大于支撑轴力的1/50；立柱纵向联系梁可对称设置于立柱两侧，与立柱焊接，当采用钢牛腿连接时，钢牛腿的强度和稳定应由计算确定；（4）立柱除满足本规程外，设计、计算及构造尚应符合《建筑桩基技术规范》(JGJ94)的有关规定。</w:t>
      </w:r>
    </w:p>
    <w:p>
      <w:pPr>
        <w:spacing w:line="360" w:lineRule="auto"/>
        <w:rPr>
          <w:rFonts w:hAnsi="宋体"/>
          <w:sz w:val="24"/>
        </w:rPr>
      </w:pPr>
      <w:r>
        <w:rPr>
          <w:b/>
          <w:sz w:val="24"/>
        </w:rPr>
        <w:t xml:space="preserve">5.7.2  </w:t>
      </w:r>
      <w:r>
        <w:rPr>
          <w:rFonts w:hAnsi="宋体"/>
          <w:sz w:val="24"/>
        </w:rPr>
        <w:t>内支撑支护结构的设计计算与验算</w:t>
      </w:r>
    </w:p>
    <w:p>
      <w:pPr>
        <w:pStyle w:val="74"/>
        <w:spacing w:line="360" w:lineRule="auto"/>
        <w:ind w:firstLine="480" w:firstLineChars="200"/>
        <w:rPr>
          <w:rFonts w:hAnsi="宋体" w:cs="Times New Roman"/>
          <w:color w:val="auto"/>
        </w:rPr>
      </w:pPr>
      <w:r>
        <w:rPr>
          <w:rFonts w:hint="eastAsia" w:ascii="Times New Roman" w:hAnsi="宋体" w:cs="Times New Roman"/>
          <w:color w:val="auto"/>
        </w:rPr>
        <w:t xml:space="preserve">1  </w:t>
      </w:r>
      <w:r>
        <w:rPr>
          <w:rFonts w:hAnsi="宋体"/>
          <w:color w:val="auto"/>
        </w:rPr>
        <w:t>稳定性</w:t>
      </w:r>
      <w:r>
        <w:rPr>
          <w:rFonts w:hint="eastAsia" w:hAnsi="宋体"/>
          <w:color w:val="auto"/>
        </w:rPr>
        <w:t>和</w:t>
      </w:r>
      <w:r>
        <w:rPr>
          <w:rFonts w:hAnsi="宋体"/>
          <w:color w:val="auto"/>
        </w:rPr>
        <w:t>变形控制设计</w:t>
      </w:r>
      <w:r>
        <w:rPr>
          <w:rFonts w:hint="eastAsia" w:hAnsi="宋体"/>
          <w:color w:val="auto"/>
        </w:rPr>
        <w:t>：</w:t>
      </w:r>
      <w:r>
        <w:rPr>
          <w:rFonts w:ascii="Times New Roman" w:hAnsi="宋体" w:cs="Times New Roman"/>
          <w:color w:val="auto"/>
        </w:rPr>
        <w:t>（</w:t>
      </w:r>
      <w:r>
        <w:rPr>
          <w:rFonts w:ascii="Times New Roman" w:hAnsi="Times New Roman" w:cs="Times New Roman"/>
          <w:color w:val="auto"/>
        </w:rPr>
        <w:t>1</w:t>
      </w:r>
      <w:r>
        <w:rPr>
          <w:rFonts w:ascii="Times New Roman" w:hAnsi="宋体" w:cs="Times New Roman"/>
          <w:color w:val="auto"/>
        </w:rPr>
        <w:t>）按稳定性控制设计只要求基坑围护体系满足稳定性要求，允许产生较大的变形；（</w:t>
      </w:r>
      <w:r>
        <w:rPr>
          <w:rFonts w:ascii="Times New Roman" w:hAnsi="Times New Roman" w:cs="Times New Roman"/>
          <w:color w:val="auto"/>
        </w:rPr>
        <w:t>2</w:t>
      </w:r>
      <w:r>
        <w:rPr>
          <w:rFonts w:ascii="Times New Roman" w:hAnsi="宋体" w:cs="Times New Roman"/>
          <w:color w:val="auto"/>
        </w:rPr>
        <w:t>）按变形控制设计时，基坑变形不是越小越好，应以基坑变形不影响周围道路、地下管线、建筑</w:t>
      </w:r>
      <w:r>
        <w:rPr>
          <w:rFonts w:hAnsi="宋体" w:cs="Times New Roman"/>
          <w:color w:val="auto"/>
        </w:rPr>
        <w:t>物的正常使用为准，确定合理变形值。</w:t>
      </w:r>
    </w:p>
    <w:p>
      <w:pPr>
        <w:pStyle w:val="74"/>
        <w:spacing w:line="360" w:lineRule="auto"/>
        <w:ind w:firstLine="480" w:firstLineChars="200"/>
        <w:rPr>
          <w:rFonts w:hAnsi="宋体" w:cs="Times New Roman"/>
          <w:color w:val="auto"/>
        </w:rPr>
      </w:pPr>
      <w:r>
        <w:rPr>
          <w:rFonts w:ascii="Times New Roman" w:hAnsi="Times New Roman" w:cs="Times New Roman"/>
          <w:color w:val="auto"/>
        </w:rPr>
        <w:t xml:space="preserve">3  </w:t>
      </w:r>
      <w:r>
        <w:rPr>
          <w:rFonts w:hAnsi="宋体" w:cs="Times New Roman"/>
          <w:color w:val="auto"/>
        </w:rPr>
        <w:t>内支撑设计时，应考虑因地质条件的复杂性和基坑开挖</w:t>
      </w:r>
      <w:r>
        <w:rPr>
          <w:rFonts w:hint="eastAsia" w:hAnsi="宋体" w:cs="Times New Roman"/>
          <w:color w:val="auto"/>
        </w:rPr>
        <w:t>工况</w:t>
      </w:r>
      <w:r>
        <w:rPr>
          <w:rFonts w:hAnsi="宋体" w:cs="Times New Roman"/>
          <w:color w:val="auto"/>
        </w:rPr>
        <w:t>变化而出现的</w:t>
      </w:r>
      <w:r>
        <w:rPr>
          <w:rFonts w:hint="eastAsia" w:hAnsi="宋体" w:cs="Times New Roman"/>
          <w:color w:val="auto"/>
        </w:rPr>
        <w:t>最不利</w:t>
      </w:r>
      <w:r>
        <w:rPr>
          <w:rFonts w:hAnsi="宋体" w:cs="Times New Roman"/>
          <w:color w:val="auto"/>
        </w:rPr>
        <w:t>状况，并应在设计上采取必要的防范措施</w:t>
      </w:r>
      <w:r>
        <w:rPr>
          <w:rFonts w:hint="eastAsia" w:hAnsi="宋体" w:cs="Times New Roman"/>
          <w:color w:val="auto"/>
        </w:rPr>
        <w:t>。</w:t>
      </w:r>
    </w:p>
    <w:p>
      <w:pPr>
        <w:pStyle w:val="74"/>
        <w:spacing w:line="360" w:lineRule="auto"/>
        <w:ind w:firstLine="480" w:firstLineChars="200"/>
        <w:rPr>
          <w:rFonts w:hAnsi="宋体" w:cs="Times New Roman"/>
          <w:color w:val="auto"/>
          <w:kern w:val="2"/>
        </w:rPr>
      </w:pPr>
      <w:r>
        <w:rPr>
          <w:rFonts w:ascii="Times New Roman" w:hAnsi="Times New Roman" w:cs="Times New Roman"/>
          <w:color w:val="auto"/>
        </w:rPr>
        <w:t>6</w:t>
      </w:r>
      <w:r>
        <w:rPr>
          <w:rFonts w:hint="eastAsia" w:ascii="Times New Roman" w:hAnsi="Times New Roman" w:cs="Times New Roman"/>
          <w:color w:val="auto"/>
        </w:rPr>
        <w:t xml:space="preserve">  计算模型宜考虑以下因素：</w:t>
      </w:r>
      <w:r>
        <w:rPr>
          <w:rFonts w:ascii="Times New Roman" w:hAnsi="宋体" w:cs="Times New Roman"/>
          <w:color w:val="auto"/>
          <w:kern w:val="2"/>
        </w:rPr>
        <w:t>（</w:t>
      </w:r>
      <w:r>
        <w:rPr>
          <w:rFonts w:ascii="Times New Roman" w:hAnsi="Times New Roman" w:cs="Times New Roman"/>
          <w:color w:val="auto"/>
          <w:kern w:val="2"/>
        </w:rPr>
        <w:t>1</w:t>
      </w:r>
      <w:r>
        <w:rPr>
          <w:rFonts w:ascii="Times New Roman" w:hAnsi="宋体" w:cs="Times New Roman"/>
          <w:color w:val="auto"/>
          <w:kern w:val="2"/>
        </w:rPr>
        <w:t>）水平力主要包括由水、</w:t>
      </w:r>
      <w:r>
        <w:rPr>
          <w:rFonts w:hint="eastAsia" w:ascii="Times New Roman" w:hAnsi="宋体" w:cs="Times New Roman"/>
          <w:color w:val="auto"/>
          <w:kern w:val="2"/>
        </w:rPr>
        <w:t>岩</w:t>
      </w:r>
      <w:r>
        <w:rPr>
          <w:rFonts w:ascii="Times New Roman" w:hAnsi="宋体" w:cs="Times New Roman"/>
          <w:color w:val="auto"/>
          <w:kern w:val="2"/>
        </w:rPr>
        <w:t>土压力和坑外地面荷载引起的侧压力、支撑预加压力、</w:t>
      </w:r>
      <w:r>
        <w:rPr>
          <w:rFonts w:ascii="Times New Roman" w:hAnsi="宋体" w:cs="Times New Roman"/>
          <w:color w:val="auto"/>
        </w:rPr>
        <w:t>温度变化等引起的内力</w:t>
      </w:r>
      <w:r>
        <w:rPr>
          <w:rFonts w:ascii="Times New Roman" w:hAnsi="宋体" w:cs="Times New Roman"/>
          <w:color w:val="auto"/>
          <w:kern w:val="2"/>
        </w:rPr>
        <w:t>，这些影响由支护结构的静力计算确定；作用在支撑结构上的竖向荷载包括支撑结构的自重和作用在支撑结构上的施工荷载；（</w:t>
      </w:r>
      <w:r>
        <w:rPr>
          <w:rFonts w:hint="eastAsia" w:ascii="Times New Roman" w:hAnsi="Times New Roman" w:cs="Times New Roman"/>
          <w:color w:val="auto"/>
          <w:kern w:val="2"/>
        </w:rPr>
        <w:t>2</w:t>
      </w:r>
      <w:r>
        <w:rPr>
          <w:rFonts w:ascii="Times New Roman" w:hAnsi="宋体" w:cs="Times New Roman"/>
          <w:color w:val="auto"/>
          <w:kern w:val="2"/>
        </w:rPr>
        <w:t>）按多跨连续梁计算时</w:t>
      </w:r>
      <w:r>
        <w:rPr>
          <w:rFonts w:hint="eastAsia" w:ascii="Times New Roman" w:hAnsi="宋体" w:cs="Times New Roman"/>
          <w:color w:val="auto"/>
          <w:kern w:val="2"/>
        </w:rPr>
        <w:t>，</w:t>
      </w:r>
      <w:r>
        <w:rPr>
          <w:rFonts w:ascii="Times New Roman" w:hAnsi="宋体" w:cs="Times New Roman"/>
          <w:color w:val="auto"/>
          <w:kern w:val="2"/>
        </w:rPr>
        <w:t>计算跨度取相邻水平支撑之间的中心距离；当支撑与</w:t>
      </w:r>
      <w:r>
        <w:rPr>
          <w:rFonts w:ascii="Times New Roman" w:hAnsi="宋体" w:cs="Times New Roman"/>
          <w:color w:val="auto"/>
        </w:rPr>
        <w:t>围檩</w:t>
      </w:r>
      <w:r>
        <w:rPr>
          <w:rFonts w:ascii="Times New Roman" w:hAnsi="宋体" w:cs="Times New Roman"/>
          <w:color w:val="auto"/>
          <w:kern w:val="2"/>
        </w:rPr>
        <w:t>斜交时，水平反力应取沿</w:t>
      </w:r>
      <w:r>
        <w:rPr>
          <w:rFonts w:ascii="Times New Roman" w:hAnsi="宋体" w:cs="Times New Roman"/>
          <w:color w:val="auto"/>
        </w:rPr>
        <w:t>围檩</w:t>
      </w:r>
      <w:r>
        <w:rPr>
          <w:rFonts w:ascii="Times New Roman" w:hAnsi="宋体" w:cs="Times New Roman"/>
          <w:color w:val="auto"/>
          <w:kern w:val="2"/>
        </w:rPr>
        <w:t>长度方向水平反力及垂直方向水平反力的合力；其计算跨度取相邻立柱中心距。</w:t>
      </w:r>
    </w:p>
    <w:p>
      <w:pPr>
        <w:pStyle w:val="74"/>
        <w:spacing w:line="360" w:lineRule="auto"/>
        <w:ind w:firstLine="480" w:firstLineChars="200"/>
        <w:rPr>
          <w:rFonts w:ascii="Times New Roman" w:hAnsi="Times New Roman" w:cs="Times New Roman"/>
          <w:color w:val="auto"/>
        </w:rPr>
      </w:pPr>
      <w:r>
        <w:rPr>
          <w:rFonts w:ascii="Times New Roman" w:hAnsi="Times New Roman" w:cs="Times New Roman"/>
          <w:color w:val="auto"/>
          <w:kern w:val="2"/>
        </w:rPr>
        <w:t>7  水平支撑体系的计算</w:t>
      </w:r>
      <w:r>
        <w:rPr>
          <w:rFonts w:hint="eastAsia" w:ascii="Times New Roman" w:hAnsi="Times New Roman" w:cs="Times New Roman"/>
          <w:color w:val="auto"/>
          <w:kern w:val="2"/>
        </w:rPr>
        <w:t>：</w:t>
      </w:r>
      <w:r>
        <w:rPr>
          <w:rFonts w:hint="eastAsia" w:hAnsi="宋体"/>
          <w:color w:val="auto"/>
        </w:rPr>
        <w:t>（</w:t>
      </w:r>
      <w:r>
        <w:rPr>
          <w:rFonts w:ascii="Times New Roman" w:hAnsi="Times New Roman" w:cs="Times New Roman"/>
          <w:color w:val="auto"/>
        </w:rPr>
        <w:t>1</w:t>
      </w:r>
      <w:r>
        <w:rPr>
          <w:rFonts w:ascii="Times New Roman" w:hAnsi="宋体" w:cs="Times New Roman"/>
          <w:color w:val="auto"/>
        </w:rPr>
        <w:t>）水平支撑系统平面内的内力和变形计算一般采用平面模型进行分析计算</w:t>
      </w:r>
      <w:r>
        <w:rPr>
          <w:rFonts w:hint="eastAsia" w:ascii="Times New Roman" w:hAnsi="宋体" w:cs="Times New Roman"/>
          <w:color w:val="auto"/>
        </w:rPr>
        <w:t>，</w:t>
      </w:r>
      <w:r>
        <w:rPr>
          <w:rFonts w:ascii="Times New Roman" w:hAnsi="宋体" w:cs="Times New Roman"/>
          <w:color w:val="auto"/>
        </w:rPr>
        <w:t>即将支撑体系从整个支护结构体系中截离出来，此时内支撑（包括围檩和支撑杆件）形成一自身平衡的封闭体系，该体系在土压力作用下的受力特性可采用杆系有限元计算分析；（</w:t>
      </w:r>
      <w:r>
        <w:rPr>
          <w:rFonts w:ascii="Times New Roman" w:hAnsi="Times New Roman" w:cs="Times New Roman"/>
          <w:color w:val="auto"/>
        </w:rPr>
        <w:t>2</w:t>
      </w:r>
      <w:r>
        <w:rPr>
          <w:rFonts w:ascii="Times New Roman" w:hAnsi="宋体" w:cs="Times New Roman"/>
          <w:color w:val="auto"/>
        </w:rPr>
        <w:t>）围檩</w:t>
      </w:r>
      <w:r>
        <w:rPr>
          <w:rFonts w:hint="eastAsia" w:ascii="Times New Roman" w:hAnsi="Times New Roman" w:cs="Times New Roman"/>
          <w:color w:val="auto"/>
        </w:rPr>
        <w:t>-</w:t>
      </w:r>
      <w:r>
        <w:rPr>
          <w:rFonts w:ascii="Times New Roman" w:hAnsi="宋体" w:cs="Times New Roman"/>
          <w:color w:val="auto"/>
        </w:rPr>
        <w:t>支撑体系</w:t>
      </w:r>
      <w:r>
        <w:rPr>
          <w:rFonts w:hint="eastAsia" w:ascii="Times New Roman" w:hAnsi="宋体" w:cs="Times New Roman"/>
          <w:color w:val="auto"/>
        </w:rPr>
        <w:t>应</w:t>
      </w:r>
      <w:r>
        <w:rPr>
          <w:rFonts w:ascii="Times New Roman" w:hAnsi="宋体" w:cs="Times New Roman"/>
          <w:color w:val="auto"/>
        </w:rPr>
        <w:t>对整体稳定性、承载力及</w:t>
      </w:r>
      <w:r>
        <w:rPr>
          <w:rFonts w:hint="eastAsia" w:ascii="Times New Roman" w:hAnsi="宋体" w:cs="Times New Roman"/>
          <w:color w:val="auto"/>
        </w:rPr>
        <w:t>围护结构的变形协调</w:t>
      </w:r>
      <w:r>
        <w:rPr>
          <w:rFonts w:ascii="Times New Roman" w:hAnsi="宋体" w:cs="Times New Roman"/>
          <w:color w:val="auto"/>
        </w:rPr>
        <w:t>进行分析和计算。围檩、支撑等不在同一平面内的空间斜撑体系应进行专项的分析和计算。</w:t>
      </w:r>
    </w:p>
    <w:p>
      <w:pPr>
        <w:pStyle w:val="74"/>
        <w:spacing w:line="360" w:lineRule="auto"/>
        <w:rPr>
          <w:b/>
          <w:color w:val="auto"/>
        </w:rPr>
      </w:pPr>
      <w:r>
        <w:rPr>
          <w:rFonts w:ascii="Times New Roman" w:hAnsi="Times New Roman" w:cs="Times New Roman"/>
          <w:b/>
          <w:color w:val="auto"/>
        </w:rPr>
        <w:t>5.7.3</w:t>
      </w:r>
      <w:r>
        <w:rPr>
          <w:rFonts w:hint="eastAsia" w:ascii="Times New Roman" w:hAnsi="Times New Roman" w:cs="Times New Roman"/>
          <w:b/>
          <w:color w:val="auto"/>
        </w:rPr>
        <w:t xml:space="preserve">  </w:t>
      </w:r>
      <w:r>
        <w:rPr>
          <w:rFonts w:hint="eastAsia" w:ascii="Times New Roman" w:hAnsi="Times New Roman" w:cs="Times New Roman"/>
          <w:color w:val="auto"/>
        </w:rPr>
        <w:t>2</w:t>
      </w:r>
      <w:r>
        <w:rPr>
          <w:rFonts w:hint="eastAsia" w:ascii="Times New Roman" w:hAnsi="Times New Roman" w:cs="Times New Roman"/>
          <w:b/>
          <w:color w:val="auto"/>
        </w:rPr>
        <w:t xml:space="preserve">  </w:t>
      </w:r>
      <w:r>
        <w:rPr>
          <w:rFonts w:hint="eastAsia" w:ascii="Times New Roman" w:hAnsi="Times New Roman" w:cs="Times New Roman"/>
          <w:color w:val="auto"/>
        </w:rPr>
        <w:t>2）</w:t>
      </w:r>
      <w:r>
        <w:rPr>
          <w:rFonts w:hAnsi="宋体"/>
          <w:color w:val="auto"/>
        </w:rPr>
        <w:t>支撑构件的变形应符合下列规定：支撑构件的变形可根据构件刚度按结构力学的方法计算；支撑在竖向平面内的挠度宜小于其计算跨度的</w:t>
      </w:r>
      <w:r>
        <w:rPr>
          <w:color w:val="auto"/>
        </w:rPr>
        <w:t>1/600-1/800</w:t>
      </w:r>
      <w:r>
        <w:rPr>
          <w:rFonts w:hAnsi="宋体"/>
          <w:color w:val="auto"/>
        </w:rPr>
        <w:t>；围檩、边桁架及主支撑构件的水平挠度宜小于其计算跨度的</w:t>
      </w:r>
      <w:r>
        <w:rPr>
          <w:color w:val="auto"/>
        </w:rPr>
        <w:t>1/1000-1/1500</w:t>
      </w:r>
      <w:r>
        <w:rPr>
          <w:rFonts w:hAnsi="宋体"/>
          <w:color w:val="auto"/>
        </w:rPr>
        <w:t>。</w:t>
      </w:r>
      <w:r>
        <w:rPr>
          <w:rFonts w:hint="eastAsia" w:hAnsi="宋体"/>
          <w:color w:val="auto"/>
        </w:rPr>
        <w:t>3）</w:t>
      </w:r>
      <w:r>
        <w:rPr>
          <w:rFonts w:hAnsi="宋体"/>
          <w:color w:val="auto"/>
        </w:rPr>
        <w:t>围檩应进行截面抗弯强度验算和截面抗剪强度验算。</w:t>
      </w:r>
      <w:r>
        <w:rPr>
          <w:rFonts w:hint="eastAsia" w:hAnsi="宋体"/>
          <w:color w:val="auto"/>
        </w:rPr>
        <w:t>4）</w:t>
      </w:r>
      <w:r>
        <w:rPr>
          <w:rFonts w:hAnsi="宋体"/>
          <w:color w:val="auto"/>
        </w:rPr>
        <w:t>支撑构件稳定性验算时，应验算各构件平面内及平面外稳定性。采用板式支撑时，板厚应不小于</w:t>
      </w:r>
      <w:r>
        <w:rPr>
          <w:color w:val="auto"/>
        </w:rPr>
        <w:t>200mm</w:t>
      </w:r>
      <w:r>
        <w:rPr>
          <w:rFonts w:hAnsi="宋体"/>
          <w:color w:val="auto"/>
        </w:rPr>
        <w:t>；杆系支撑长细比钢支撑不宜大于</w:t>
      </w:r>
      <w:r>
        <w:rPr>
          <w:color w:val="auto"/>
        </w:rPr>
        <w:t>150</w:t>
      </w:r>
      <w:r>
        <w:rPr>
          <w:rFonts w:hAnsi="宋体"/>
          <w:color w:val="auto"/>
        </w:rPr>
        <w:t>，钢筋混凝土支撑不宜大于</w:t>
      </w:r>
      <w:r>
        <w:rPr>
          <w:color w:val="auto"/>
        </w:rPr>
        <w:t>70</w:t>
      </w:r>
      <w:r>
        <w:rPr>
          <w:rFonts w:hAnsi="宋体"/>
          <w:color w:val="auto"/>
        </w:rPr>
        <w:t>；实腹式支撑杆件长度不宜大于</w:t>
      </w:r>
      <w:r>
        <w:rPr>
          <w:color w:val="auto"/>
        </w:rPr>
        <w:t>12m</w:t>
      </w:r>
      <w:r>
        <w:rPr>
          <w:rFonts w:hAnsi="宋体"/>
          <w:color w:val="auto"/>
        </w:rPr>
        <w:t>，否则应加立柱。</w:t>
      </w:r>
    </w:p>
    <w:p>
      <w:pPr>
        <w:pStyle w:val="74"/>
        <w:spacing w:line="360" w:lineRule="auto"/>
        <w:rPr>
          <w:rFonts w:ascii="Times New Roman" w:hAnsi="Times New Roman" w:cs="Times New Roman"/>
          <w:color w:val="auto"/>
        </w:rPr>
      </w:pPr>
      <w:r>
        <w:rPr>
          <w:rFonts w:ascii="Times New Roman" w:hAnsi="Times New Roman" w:cs="Times New Roman"/>
          <w:b/>
          <w:color w:val="auto"/>
        </w:rPr>
        <w:t xml:space="preserve">5.7.5  </w:t>
      </w:r>
      <w:r>
        <w:rPr>
          <w:rFonts w:hint="eastAsia" w:ascii="Times New Roman" w:hAnsi="Times New Roman" w:cs="Times New Roman"/>
          <w:color w:val="auto"/>
        </w:rPr>
        <w:t>2</w:t>
      </w:r>
      <w:r>
        <w:rPr>
          <w:rFonts w:hint="eastAsia" w:ascii="Times New Roman" w:hAnsi="Times New Roman" w:cs="Times New Roman"/>
          <w:b/>
          <w:color w:val="auto"/>
        </w:rPr>
        <w:t xml:space="preserve">  </w:t>
      </w:r>
      <w:r>
        <w:rPr>
          <w:rFonts w:ascii="Times New Roman" w:hAnsi="Times New Roman" w:cs="Times New Roman"/>
          <w:color w:val="auto"/>
        </w:rPr>
        <w:t>2）立柱截面承载力计算应符合下列规定：立柱应按偏心受压构件计算，开挖面以下立柱的竖向和水平承载力可按单桩承载力验算；立柱截面上的弯矩应包括竖向荷载对立柱截面形心的偏心弯矩、支撑轴向力的1/50作为横向水平力对立柱产生的弯矩</w:t>
      </w:r>
      <w:r>
        <w:rPr>
          <w:rFonts w:hint="eastAsia" w:ascii="Times New Roman" w:hAnsi="Times New Roman" w:cs="Times New Roman"/>
          <w:color w:val="auto"/>
        </w:rPr>
        <w:t>。</w:t>
      </w:r>
      <w:r>
        <w:rPr>
          <w:rFonts w:ascii="Times New Roman" w:hAnsi="Times New Roman" w:cs="Times New Roman"/>
          <w:color w:val="auto"/>
        </w:rPr>
        <w:t>土方开挖时，作用在立柱上的不平衡单向土压力引起的弯矩；立柱受压计算长度取竖向相邻水平支撑中心距，最下一层支撑以下的立柱取该层支撑中心线至开挖面以下5倍立柱直径（或边长）处的距离；</w:t>
      </w:r>
    </w:p>
    <w:p>
      <w:pPr>
        <w:spacing w:line="360" w:lineRule="auto"/>
        <w:ind w:firstLine="480" w:firstLineChars="200"/>
        <w:rPr>
          <w:b/>
          <w:sz w:val="24"/>
        </w:rPr>
      </w:pPr>
      <w:r>
        <w:rPr>
          <w:sz w:val="24"/>
        </w:rPr>
        <w:t>立柱受压计算长度宜按下列规定确定：相邻两层水平支撑间的立柱受压计算长度宜取两层水平支撑中心距；立柱在基坑底以下未入岩时，底层立柱受压计算长度宜取底层高度加5倍立柱直径或边长；立柱在基坑底以下部分进入岩层时，底层立柱受压计算长度宜取最下层支撑至基岩面的高度；立柱在基坑底以下全部入岩时，底层立柱受压计算长度宜取底层高度；</w:t>
      </w:r>
      <w:r>
        <w:rPr>
          <w:rFonts w:hint="eastAsia"/>
          <w:sz w:val="24"/>
        </w:rPr>
        <w:t>支承桩</w:t>
      </w:r>
      <w:r>
        <w:rPr>
          <w:sz w:val="24"/>
        </w:rPr>
        <w:t>应满足抗压和抗拔的要求，并应考虑基坑回弹的影响。</w:t>
      </w:r>
    </w:p>
    <w:p>
      <w:pPr>
        <w:spacing w:line="360" w:lineRule="auto"/>
        <w:jc w:val="left"/>
        <w:rPr>
          <w:sz w:val="24"/>
        </w:rPr>
      </w:pPr>
      <w:r>
        <w:rPr>
          <w:b/>
          <w:sz w:val="24"/>
        </w:rPr>
        <w:t>5.7.6</w:t>
      </w:r>
      <w:r>
        <w:rPr>
          <w:rFonts w:hint="eastAsia"/>
          <w:b/>
          <w:sz w:val="24"/>
        </w:rPr>
        <w:t xml:space="preserve">  </w:t>
      </w:r>
      <w:r>
        <w:rPr>
          <w:rFonts w:hAnsi="宋体"/>
          <w:sz w:val="24"/>
        </w:rPr>
        <w:t>当基坑形状具有较强的空间效应时，比如拱形、圆形情况或者基坑角部区域、或有相邻基坑相互影响、或相邻地铁、轻轨等构筑物，围护体还将同时承受部分坑外水平力，此时应采用能考虑空间效应的计算模型，空间弹性地基梁法的求解可采用</w:t>
      </w:r>
      <w:r>
        <w:rPr>
          <w:rFonts w:hint="eastAsia" w:hAnsi="宋体"/>
          <w:sz w:val="24"/>
        </w:rPr>
        <w:t>有</w:t>
      </w:r>
      <w:r>
        <w:rPr>
          <w:rFonts w:hAnsi="宋体"/>
          <w:sz w:val="24"/>
        </w:rPr>
        <w:t>限元</w:t>
      </w:r>
      <w:r>
        <w:rPr>
          <w:rFonts w:hint="eastAsia" w:hAnsi="宋体"/>
          <w:sz w:val="24"/>
        </w:rPr>
        <w:t>法</w:t>
      </w:r>
      <w:r>
        <w:rPr>
          <w:rFonts w:hAnsi="宋体"/>
          <w:sz w:val="24"/>
        </w:rPr>
        <w:t>，建</w:t>
      </w:r>
      <w:r>
        <w:rPr>
          <w:rFonts w:hint="eastAsia" w:hAnsi="宋体"/>
          <w:sz w:val="24"/>
        </w:rPr>
        <w:t>立</w:t>
      </w:r>
      <w:r>
        <w:rPr>
          <w:rFonts w:hAnsi="宋体"/>
          <w:sz w:val="24"/>
        </w:rPr>
        <w:t>考虑围护结构、水平支撑体系和竖向支承系统共同作用的三维有限元模型，模型需要综合考虑支撑的分布、开挖的顺序，用有限元</w:t>
      </w:r>
      <w:r>
        <w:rPr>
          <w:rFonts w:hint="eastAsia" w:hAnsi="宋体"/>
          <w:sz w:val="24"/>
        </w:rPr>
        <w:t>法</w:t>
      </w:r>
      <w:r>
        <w:rPr>
          <w:rFonts w:hAnsi="宋体"/>
          <w:sz w:val="24"/>
        </w:rPr>
        <w:t>分步求解。</w:t>
      </w:r>
    </w:p>
    <w:p>
      <w:pPr>
        <w:spacing w:line="360" w:lineRule="auto"/>
        <w:rPr>
          <w:sz w:val="24"/>
        </w:rPr>
      </w:pPr>
      <w:r>
        <w:rPr>
          <w:rFonts w:hint="eastAsia"/>
          <w:b/>
          <w:sz w:val="24"/>
        </w:rPr>
        <w:t xml:space="preserve">5.7.7  </w:t>
      </w:r>
      <w:r>
        <w:rPr>
          <w:sz w:val="24"/>
        </w:rPr>
        <w:t>换撑的设计大体上可分成两个部分的设计，一为基坑围</w:t>
      </w:r>
      <w:r>
        <w:rPr>
          <w:rFonts w:hint="eastAsia"/>
          <w:sz w:val="24"/>
        </w:rPr>
        <w:t>护结构</w:t>
      </w:r>
      <w:r>
        <w:rPr>
          <w:sz w:val="24"/>
        </w:rPr>
        <w:t>与地下结构外墙之间的换撑设计；二为地下结构内部结构开口、后浇带等水平结构不连续位置的换撑设计。</w:t>
      </w:r>
    </w:p>
    <w:p>
      <w:pPr>
        <w:spacing w:line="360" w:lineRule="auto"/>
        <w:ind w:firstLine="480" w:firstLineChars="200"/>
        <w:rPr>
          <w:sz w:val="24"/>
        </w:rPr>
      </w:pPr>
      <w:r>
        <w:rPr>
          <w:sz w:val="24"/>
        </w:rPr>
        <w:t>当采用临时围护</w:t>
      </w:r>
      <w:r>
        <w:rPr>
          <w:rFonts w:hint="eastAsia"/>
          <w:sz w:val="24"/>
        </w:rPr>
        <w:t>结构</w:t>
      </w:r>
      <w:r>
        <w:rPr>
          <w:sz w:val="24"/>
        </w:rPr>
        <w:t>时，由于围护</w:t>
      </w:r>
      <w:r>
        <w:rPr>
          <w:rFonts w:hint="eastAsia"/>
          <w:sz w:val="24"/>
        </w:rPr>
        <w:t>结构</w:t>
      </w:r>
      <w:r>
        <w:rPr>
          <w:sz w:val="24"/>
        </w:rPr>
        <w:t>与结构外墙之间通常会留设施工作业面，地下结构施工阶段需对该施工空间进行换撑处理，该区域的换撑标高应分别对应地下各层结构平面标高，以利于水平力的传递。</w:t>
      </w:r>
    </w:p>
    <w:p>
      <w:pPr>
        <w:spacing w:line="360" w:lineRule="auto"/>
        <w:ind w:firstLine="480" w:firstLineChars="200"/>
        <w:rPr>
          <w:sz w:val="24"/>
        </w:rPr>
      </w:pPr>
      <w:r>
        <w:rPr>
          <w:sz w:val="24"/>
        </w:rPr>
        <w:t>（1）围护</w:t>
      </w:r>
      <w:r>
        <w:rPr>
          <w:rFonts w:hint="eastAsia"/>
          <w:sz w:val="24"/>
        </w:rPr>
        <w:t>结构</w:t>
      </w:r>
      <w:r>
        <w:rPr>
          <w:sz w:val="24"/>
        </w:rPr>
        <w:t>与基础底板间换撑</w:t>
      </w:r>
    </w:p>
    <w:p>
      <w:pPr>
        <w:spacing w:line="360" w:lineRule="auto"/>
        <w:ind w:firstLine="480" w:firstLineChars="200"/>
        <w:rPr>
          <w:sz w:val="24"/>
        </w:rPr>
      </w:pPr>
      <w:r>
        <w:rPr>
          <w:sz w:val="24"/>
        </w:rPr>
        <w:t>基坑开挖至基底便进入地下结构施工阶段，基础底板浇筑形成之后需拆除最下一道支撑，围护</w:t>
      </w:r>
      <w:r>
        <w:rPr>
          <w:rFonts w:hint="eastAsia"/>
          <w:sz w:val="24"/>
        </w:rPr>
        <w:t>结构</w:t>
      </w:r>
      <w:r>
        <w:rPr>
          <w:sz w:val="24"/>
        </w:rPr>
        <w:t>将形成从基底至上一道支撑较大的暴露跨度，如基础底板未对其有效支撑作用，围护</w:t>
      </w:r>
      <w:r>
        <w:rPr>
          <w:rFonts w:hint="eastAsia"/>
          <w:sz w:val="24"/>
        </w:rPr>
        <w:t>结构</w:t>
      </w:r>
      <w:r>
        <w:rPr>
          <w:sz w:val="24"/>
        </w:rPr>
        <w:t>将发生较大的变形甚至引发安全问题，因此基础底板施工时应同时完成基坑周边基础底板与围护结构之间的换撑施工。</w:t>
      </w:r>
    </w:p>
    <w:p>
      <w:pPr>
        <w:spacing w:line="360" w:lineRule="auto"/>
        <w:ind w:firstLine="480" w:firstLineChars="200"/>
        <w:rPr>
          <w:sz w:val="24"/>
        </w:rPr>
      </w:pPr>
      <w:r>
        <w:rPr>
          <w:sz w:val="24"/>
        </w:rPr>
        <w:t>基础底板周边的换撑板带通常采用混凝土进行充填处理。换撑板带的厚度</w:t>
      </w:r>
      <w:r>
        <w:rPr>
          <w:rFonts w:hint="eastAsia"/>
          <w:sz w:val="24"/>
        </w:rPr>
        <w:t>需</w:t>
      </w:r>
      <w:r>
        <w:rPr>
          <w:sz w:val="24"/>
        </w:rPr>
        <w:t>满足换撑传力要求。</w:t>
      </w:r>
    </w:p>
    <w:p>
      <w:pPr>
        <w:spacing w:line="360" w:lineRule="auto"/>
        <w:ind w:firstLine="480" w:firstLineChars="200"/>
        <w:rPr>
          <w:sz w:val="24"/>
        </w:rPr>
      </w:pPr>
      <w:r>
        <w:rPr>
          <w:sz w:val="24"/>
        </w:rPr>
        <w:t>（2）围护</w:t>
      </w:r>
      <w:r>
        <w:rPr>
          <w:rFonts w:hint="eastAsia"/>
          <w:sz w:val="24"/>
        </w:rPr>
        <w:t>结构</w:t>
      </w:r>
      <w:r>
        <w:rPr>
          <w:sz w:val="24"/>
        </w:rPr>
        <w:t>与地下各层结构间换撑</w:t>
      </w:r>
    </w:p>
    <w:p>
      <w:pPr>
        <w:spacing w:line="360" w:lineRule="auto"/>
        <w:ind w:firstLine="480" w:firstLineChars="200"/>
        <w:rPr>
          <w:sz w:val="24"/>
        </w:rPr>
      </w:pPr>
      <w:r>
        <w:rPr>
          <w:sz w:val="24"/>
        </w:rPr>
        <w:t>支撑的拆除需</w:t>
      </w:r>
      <w:r>
        <w:rPr>
          <w:rFonts w:hint="eastAsia"/>
          <w:sz w:val="24"/>
        </w:rPr>
        <w:t>在地下主体结构及</w:t>
      </w:r>
      <w:r>
        <w:rPr>
          <w:sz w:val="24"/>
        </w:rPr>
        <w:t>换撑</w:t>
      </w:r>
      <w:r>
        <w:rPr>
          <w:rFonts w:hint="eastAsia"/>
          <w:sz w:val="24"/>
        </w:rPr>
        <w:t>板带强度</w:t>
      </w:r>
      <w:r>
        <w:rPr>
          <w:sz w:val="24"/>
        </w:rPr>
        <w:t>达到设计</w:t>
      </w:r>
      <w:r>
        <w:rPr>
          <w:rFonts w:hint="eastAsia"/>
          <w:sz w:val="24"/>
        </w:rPr>
        <w:t>要求</w:t>
      </w:r>
      <w:r>
        <w:rPr>
          <w:sz w:val="24"/>
        </w:rPr>
        <w:t>方可进行。</w:t>
      </w:r>
    </w:p>
    <w:p>
      <w:pPr>
        <w:spacing w:line="360" w:lineRule="auto"/>
        <w:ind w:firstLine="480" w:firstLineChars="200"/>
        <w:rPr>
          <w:sz w:val="24"/>
        </w:rPr>
      </w:pPr>
      <w:r>
        <w:rPr>
          <w:sz w:val="24"/>
        </w:rPr>
        <w:t>地下结构由下往上顺做施工过程中，将经历临时支撑的逐层拆除，围护结构外侧的水土压力将逐步转移至刚施工完毕的地下结构上，</w:t>
      </w:r>
      <w:r>
        <w:rPr>
          <w:rFonts w:hint="eastAsia"/>
          <w:sz w:val="24"/>
        </w:rPr>
        <w:t>应做好</w:t>
      </w:r>
      <w:r>
        <w:rPr>
          <w:sz w:val="24"/>
        </w:rPr>
        <w:t>施工后浇带、楼梯坡道或设备吊装口等结构开口、局部高差、错层较大等结构不连续位置的水平传力设计。</w:t>
      </w:r>
    </w:p>
    <w:p>
      <w:pPr>
        <w:pStyle w:val="74"/>
        <w:spacing w:line="360" w:lineRule="auto"/>
        <w:rPr>
          <w:rFonts w:ascii="Times New Roman" w:hAnsi="Times New Roman" w:cs="Times New Roman"/>
          <w:color w:val="auto"/>
        </w:rPr>
      </w:pPr>
      <w:r>
        <w:rPr>
          <w:rFonts w:hint="eastAsia" w:ascii="Times New Roman" w:hAnsi="Times New Roman" w:cs="Times New Roman"/>
          <w:b/>
          <w:color w:val="auto"/>
        </w:rPr>
        <w:t xml:space="preserve">5.7.8  </w:t>
      </w:r>
      <w:r>
        <w:rPr>
          <w:rFonts w:hint="eastAsia" w:ascii="Times New Roman" w:hAnsi="Times New Roman" w:cs="Times New Roman"/>
          <w:color w:val="auto"/>
        </w:rPr>
        <w:t>内支撑构造要求：</w:t>
      </w:r>
      <w:r>
        <w:rPr>
          <w:rFonts w:ascii="Times New Roman" w:hAnsi="宋体" w:cs="Times New Roman"/>
          <w:color w:val="auto"/>
        </w:rPr>
        <w:t>（</w:t>
      </w:r>
      <w:r>
        <w:rPr>
          <w:rFonts w:ascii="Times New Roman" w:hAnsi="Times New Roman" w:cs="Times New Roman"/>
          <w:color w:val="auto"/>
        </w:rPr>
        <w:t>1</w:t>
      </w:r>
      <w:r>
        <w:rPr>
          <w:rFonts w:ascii="Times New Roman" w:hAnsi="宋体" w:cs="Times New Roman"/>
          <w:color w:val="auto"/>
        </w:rPr>
        <w:t>）</w:t>
      </w:r>
      <w:r>
        <w:rPr>
          <w:rFonts w:hint="eastAsia" w:ascii="Times New Roman" w:hAnsi="宋体" w:cs="Times New Roman"/>
          <w:color w:val="auto"/>
        </w:rPr>
        <w:t>钢支撑</w:t>
      </w:r>
      <w:r>
        <w:rPr>
          <w:rFonts w:ascii="Times New Roman" w:hAnsi="宋体" w:cs="Times New Roman"/>
          <w:color w:val="auto"/>
        </w:rPr>
        <w:t>两支点间的水平支撑的安装节点不宜多于两个；纵横向水平支撑若不在同一标高交汇，连接构造的承载力应满足平面内稳定的要求。（</w:t>
      </w:r>
      <w:r>
        <w:rPr>
          <w:rFonts w:ascii="Times New Roman" w:hAnsi="Times New Roman" w:cs="Times New Roman"/>
          <w:color w:val="auto"/>
        </w:rPr>
        <w:t>2</w:t>
      </w:r>
      <w:r>
        <w:rPr>
          <w:rFonts w:ascii="Times New Roman" w:hAnsi="宋体" w:cs="Times New Roman"/>
          <w:color w:val="auto"/>
        </w:rPr>
        <w:t>）钢结构各构件的连接宜优先采用螺栓连接。支撑和</w:t>
      </w:r>
      <w:r>
        <w:rPr>
          <w:rFonts w:hint="eastAsia" w:ascii="Times New Roman" w:hAnsi="宋体" w:cs="Times New Roman"/>
          <w:color w:val="auto"/>
        </w:rPr>
        <w:t>围</w:t>
      </w:r>
      <w:r>
        <w:rPr>
          <w:rFonts w:ascii="Times New Roman" w:hAnsi="宋体" w:cs="Times New Roman"/>
          <w:color w:val="auto"/>
        </w:rPr>
        <w:t>檩连接部位的翼缘和腹板均应加焊加劲板，加劲板的厚度不宜小于</w:t>
      </w:r>
      <w:r>
        <w:rPr>
          <w:rFonts w:ascii="Times New Roman" w:hAnsi="Times New Roman" w:cs="Times New Roman"/>
          <w:color w:val="auto"/>
        </w:rPr>
        <w:t>10mm</w:t>
      </w:r>
      <w:r>
        <w:rPr>
          <w:rFonts w:ascii="Times New Roman" w:hAnsi="宋体" w:cs="Times New Roman"/>
          <w:color w:val="auto"/>
        </w:rPr>
        <w:t>。（</w:t>
      </w:r>
      <w:r>
        <w:rPr>
          <w:rFonts w:hint="eastAsia" w:ascii="Times New Roman" w:hAnsi="Times New Roman" w:cs="Times New Roman"/>
          <w:color w:val="auto"/>
        </w:rPr>
        <w:t>3</w:t>
      </w:r>
      <w:r>
        <w:rPr>
          <w:rFonts w:ascii="Times New Roman" w:hAnsi="宋体" w:cs="Times New Roman"/>
          <w:color w:val="auto"/>
        </w:rPr>
        <w:t>）钢支撑与钢</w:t>
      </w:r>
      <w:r>
        <w:rPr>
          <w:rFonts w:hint="eastAsia" w:ascii="Times New Roman" w:hAnsi="宋体" w:cs="Times New Roman"/>
          <w:color w:val="auto"/>
        </w:rPr>
        <w:t>围</w:t>
      </w:r>
      <w:r>
        <w:rPr>
          <w:rFonts w:ascii="Times New Roman" w:hAnsi="宋体" w:cs="Times New Roman"/>
          <w:color w:val="auto"/>
        </w:rPr>
        <w:t>檩的连接节点处加劲板的厚度不</w:t>
      </w:r>
      <w:r>
        <w:rPr>
          <w:rFonts w:hint="eastAsia" w:ascii="Times New Roman" w:hAnsi="宋体" w:cs="Times New Roman"/>
          <w:color w:val="auto"/>
        </w:rPr>
        <w:t>宜</w:t>
      </w:r>
      <w:r>
        <w:rPr>
          <w:rFonts w:ascii="Times New Roman" w:hAnsi="宋体" w:cs="Times New Roman"/>
          <w:color w:val="auto"/>
        </w:rPr>
        <w:t>小于</w:t>
      </w:r>
      <w:r>
        <w:rPr>
          <w:rFonts w:ascii="Times New Roman" w:hAnsi="Times New Roman" w:cs="Times New Roman"/>
          <w:color w:val="auto"/>
        </w:rPr>
        <w:t>12mm</w:t>
      </w:r>
      <w:r>
        <w:rPr>
          <w:rFonts w:ascii="Times New Roman" w:hAnsi="宋体" w:cs="Times New Roman"/>
          <w:color w:val="auto"/>
        </w:rPr>
        <w:t>，焊缝高度不小于</w:t>
      </w:r>
      <w:r>
        <w:rPr>
          <w:rFonts w:ascii="Times New Roman" w:hAnsi="Times New Roman" w:cs="Times New Roman"/>
          <w:color w:val="auto"/>
        </w:rPr>
        <w:t>8mm</w:t>
      </w:r>
      <w:r>
        <w:rPr>
          <w:rFonts w:ascii="Times New Roman" w:hAnsi="宋体" w:cs="Times New Roman"/>
          <w:color w:val="auto"/>
        </w:rPr>
        <w:t>。</w:t>
      </w:r>
    </w:p>
    <w:p>
      <w:pPr>
        <w:spacing w:line="360" w:lineRule="auto"/>
        <w:rPr>
          <w:kern w:val="0"/>
          <w:sz w:val="24"/>
        </w:rPr>
      </w:pPr>
      <w:r>
        <w:rPr>
          <w:rFonts w:hint="eastAsia"/>
          <w:b/>
          <w:sz w:val="24"/>
        </w:rPr>
        <w:t>5.7.9</w:t>
      </w:r>
      <w:r>
        <w:rPr>
          <w:rFonts w:hint="eastAsia"/>
          <w:sz w:val="24"/>
        </w:rPr>
        <w:t xml:space="preserve">  </w:t>
      </w:r>
      <w:r>
        <w:rPr>
          <w:rFonts w:hAnsi="宋体"/>
          <w:kern w:val="0"/>
          <w:sz w:val="24"/>
        </w:rPr>
        <w:t>内支撑施工控制主要从施工顺序、土方开挖方式及顺序、换撑及拆撑等方面进行控制；应从支撑轴力、深层位移、周边建筑沉降、坑底隆起等监测信息作出判断，及时调整施工顺序、施工工艺或者进行加固处理，防止工程事故的发生。</w:t>
      </w:r>
    </w:p>
    <w:p>
      <w:pPr>
        <w:spacing w:line="360" w:lineRule="auto"/>
        <w:ind w:firstLine="480" w:firstLineChars="200"/>
        <w:jc w:val="left"/>
        <w:rPr>
          <w:sz w:val="24"/>
        </w:rPr>
      </w:pPr>
      <w:r>
        <w:rPr>
          <w:sz w:val="24"/>
        </w:rPr>
        <w:t>拆撑</w:t>
      </w:r>
      <w:r>
        <w:rPr>
          <w:rFonts w:hint="eastAsia"/>
          <w:sz w:val="24"/>
        </w:rPr>
        <w:t>方法通常</w:t>
      </w:r>
      <w:r>
        <w:rPr>
          <w:sz w:val="24"/>
        </w:rPr>
        <w:t>有</w:t>
      </w:r>
      <w:r>
        <w:rPr>
          <w:rFonts w:hint="eastAsia"/>
          <w:sz w:val="24"/>
        </w:rPr>
        <w:t>：</w:t>
      </w:r>
      <w:r>
        <w:rPr>
          <w:sz w:val="24"/>
        </w:rPr>
        <w:t>小</w:t>
      </w:r>
      <w:r>
        <w:rPr>
          <w:rFonts w:hint="eastAsia"/>
          <w:sz w:val="24"/>
        </w:rPr>
        <w:t>型</w:t>
      </w:r>
      <w:r>
        <w:rPr>
          <w:sz w:val="24"/>
        </w:rPr>
        <w:t>凿</w:t>
      </w:r>
      <w:r>
        <w:rPr>
          <w:rFonts w:hint="eastAsia"/>
          <w:sz w:val="24"/>
        </w:rPr>
        <w:t>岩</w:t>
      </w:r>
      <w:r>
        <w:rPr>
          <w:sz w:val="24"/>
        </w:rPr>
        <w:t>机地下室楼板上凿除、钢锯锯断吊走、空压机风动机械凿除、静态爆破四种，根据工程具体情况进行选择或组合使用；拆撑作业需征得主体设计单位的同意</w:t>
      </w:r>
      <w:r>
        <w:rPr>
          <w:rFonts w:hint="eastAsia"/>
          <w:sz w:val="24"/>
        </w:rPr>
        <w:t>。</w:t>
      </w:r>
    </w:p>
    <w:p>
      <w:pPr>
        <w:spacing w:line="360" w:lineRule="auto"/>
        <w:jc w:val="center"/>
        <w:outlineLvl w:val="3"/>
        <w:rPr>
          <w:b/>
          <w:sz w:val="24"/>
        </w:rPr>
      </w:pPr>
      <w:bookmarkStart w:id="177" w:name="_Toc45197187"/>
      <w:r>
        <w:rPr>
          <w:b/>
          <w:sz w:val="24"/>
        </w:rPr>
        <w:t>5.9  型钢水泥土搅拌墙</w:t>
      </w:r>
      <w:bookmarkEnd w:id="177"/>
    </w:p>
    <w:p>
      <w:pPr>
        <w:spacing w:line="360" w:lineRule="auto"/>
        <w:rPr>
          <w:sz w:val="24"/>
        </w:rPr>
      </w:pPr>
      <w:r>
        <w:rPr>
          <w:rFonts w:hint="eastAsia"/>
          <w:b/>
          <w:sz w:val="24"/>
        </w:rPr>
        <w:t xml:space="preserve">5.9.1  </w:t>
      </w:r>
      <w:r>
        <w:rPr>
          <w:sz w:val="24"/>
        </w:rPr>
        <w:t>型钢水泥土搅拌墙的</w:t>
      </w:r>
      <w:r>
        <w:rPr>
          <w:rFonts w:hint="eastAsia"/>
          <w:sz w:val="24"/>
        </w:rPr>
        <w:t>适宜性</w:t>
      </w:r>
      <w:r>
        <w:rPr>
          <w:sz w:val="24"/>
        </w:rPr>
        <w:t>主要由</w:t>
      </w:r>
      <w:r>
        <w:rPr>
          <w:rFonts w:hint="eastAsia"/>
          <w:sz w:val="24"/>
        </w:rPr>
        <w:t>基坑周边的环境条件复杂程度及变形控制要求确定。</w:t>
      </w:r>
    </w:p>
    <w:p>
      <w:pPr>
        <w:spacing w:line="360" w:lineRule="auto"/>
        <w:ind w:firstLine="480" w:firstLineChars="200"/>
        <w:rPr>
          <w:iCs/>
          <w:sz w:val="24"/>
        </w:rPr>
      </w:pPr>
      <w:r>
        <w:rPr>
          <w:sz w:val="24"/>
        </w:rPr>
        <w:t>1</w:t>
      </w:r>
      <w:r>
        <w:rPr>
          <w:b/>
          <w:sz w:val="24"/>
        </w:rPr>
        <w:t xml:space="preserve">  </w:t>
      </w:r>
      <w:r>
        <w:rPr>
          <w:iCs/>
          <w:sz w:val="24"/>
        </w:rPr>
        <w:t>型钢水泥土搅拌墙中的搅拌桩一般采用三轴水泥土搅拌桩，也可采用更为先进的TRD工法搅拌桩或者CSM工法桩。</w:t>
      </w:r>
    </w:p>
    <w:p>
      <w:pPr>
        <w:spacing w:line="360" w:lineRule="auto"/>
        <w:ind w:firstLine="480" w:firstLineChars="200"/>
        <w:rPr>
          <w:sz w:val="24"/>
        </w:rPr>
      </w:pPr>
      <w:r>
        <w:rPr>
          <w:iCs/>
          <w:sz w:val="24"/>
        </w:rPr>
        <w:t xml:space="preserve">2  </w:t>
      </w:r>
      <w:r>
        <w:rPr>
          <w:rFonts w:hint="eastAsia"/>
          <w:iCs/>
          <w:sz w:val="24"/>
        </w:rPr>
        <w:t>泥炭及</w:t>
      </w:r>
      <w:r>
        <w:rPr>
          <w:rFonts w:hAnsi="宋体"/>
          <w:iCs/>
          <w:sz w:val="24"/>
        </w:rPr>
        <w:t>泥炭质土中</w:t>
      </w:r>
      <w:r>
        <w:rPr>
          <w:rFonts w:hint="eastAsia" w:hAnsi="宋体"/>
          <w:iCs/>
          <w:sz w:val="24"/>
        </w:rPr>
        <w:t>宜</w:t>
      </w:r>
      <w:r>
        <w:rPr>
          <w:rFonts w:hAnsi="宋体"/>
          <w:iCs/>
          <w:sz w:val="24"/>
        </w:rPr>
        <w:t>通过</w:t>
      </w:r>
      <w:r>
        <w:rPr>
          <w:rFonts w:hint="eastAsia" w:hAnsi="宋体"/>
          <w:iCs/>
          <w:sz w:val="24"/>
        </w:rPr>
        <w:t>成桩工艺</w:t>
      </w:r>
      <w:r>
        <w:rPr>
          <w:rFonts w:hAnsi="宋体"/>
          <w:iCs/>
          <w:sz w:val="24"/>
        </w:rPr>
        <w:t>试验确定水泥土搅拌桩的适</w:t>
      </w:r>
      <w:r>
        <w:rPr>
          <w:rFonts w:hint="eastAsia" w:hAnsi="宋体"/>
          <w:iCs/>
          <w:sz w:val="24"/>
        </w:rPr>
        <w:t>宜</w:t>
      </w:r>
      <w:r>
        <w:rPr>
          <w:rFonts w:hAnsi="宋体"/>
          <w:iCs/>
          <w:sz w:val="24"/>
        </w:rPr>
        <w:t>性</w:t>
      </w:r>
      <w:r>
        <w:rPr>
          <w:rFonts w:hAnsi="宋体"/>
          <w:sz w:val="24"/>
        </w:rPr>
        <w:t>。</w:t>
      </w:r>
    </w:p>
    <w:p>
      <w:pPr>
        <w:spacing w:line="360" w:lineRule="auto"/>
        <w:ind w:firstLine="480" w:firstLineChars="200"/>
        <w:rPr>
          <w:sz w:val="24"/>
        </w:rPr>
      </w:pPr>
      <w:r>
        <w:rPr>
          <w:sz w:val="24"/>
        </w:rPr>
        <w:t xml:space="preserve">3  </w:t>
      </w:r>
      <w:r>
        <w:rPr>
          <w:rFonts w:hAnsi="宋体"/>
          <w:iCs/>
          <w:sz w:val="24"/>
        </w:rPr>
        <w:t>在地下室施工完成后，可以将型钢从水泥土搅拌桩中拔出，达到回收和再次利用的目的。</w:t>
      </w:r>
    </w:p>
    <w:p>
      <w:pPr>
        <w:tabs>
          <w:tab w:val="left" w:pos="2406"/>
        </w:tabs>
        <w:spacing w:line="360" w:lineRule="auto"/>
        <w:jc w:val="left"/>
        <w:rPr>
          <w:rFonts w:eastAsia="黑体"/>
          <w:b/>
          <w:szCs w:val="21"/>
        </w:rPr>
      </w:pPr>
      <w:r>
        <w:rPr>
          <w:rFonts w:hint="eastAsia"/>
          <w:b/>
          <w:sz w:val="24"/>
        </w:rPr>
        <w:t>5.9.3</w:t>
      </w:r>
      <w:r>
        <w:rPr>
          <w:rFonts w:hint="eastAsia"/>
          <w:sz w:val="24"/>
        </w:rPr>
        <w:t xml:space="preserve">  </w:t>
      </w:r>
      <w:r>
        <w:rPr>
          <w:rFonts w:ascii="宋体" w:hAnsi="宋体"/>
          <w:iCs/>
          <w:sz w:val="24"/>
        </w:rPr>
        <w:t>型钢水泥土搅拌墙的加筋区和非加筋区承担着同样的水平压力，当型钢间距增大到一定程度，该交界面有可能在挡墙达到承载力之前发生破坏，因此应该对型钢水泥土搅拌桩中型钢与水泥土搅拌桩的交界面进行局部承载力验算，确定合理的型钢间距。</w:t>
      </w:r>
    </w:p>
    <w:p>
      <w:pPr>
        <w:spacing w:line="360" w:lineRule="auto"/>
        <w:rPr>
          <w:sz w:val="24"/>
        </w:rPr>
      </w:pPr>
      <w:r>
        <w:rPr>
          <w:rFonts w:hint="eastAsia"/>
          <w:b/>
          <w:sz w:val="24"/>
        </w:rPr>
        <w:t>5.9.4</w:t>
      </w:r>
      <w:r>
        <w:rPr>
          <w:rFonts w:hint="eastAsia"/>
          <w:sz w:val="24"/>
        </w:rPr>
        <w:t xml:space="preserve">  </w:t>
      </w:r>
      <w:r>
        <w:rPr>
          <w:rFonts w:ascii="宋体" w:hAnsi="宋体"/>
          <w:iCs/>
          <w:sz w:val="24"/>
        </w:rPr>
        <w:t>型钢水泥土墙中的搅拌桩不仅起到基坑的</w:t>
      </w:r>
      <w:r>
        <w:rPr>
          <w:rFonts w:hint="eastAsia" w:ascii="宋体" w:hAnsi="宋体"/>
          <w:iCs/>
          <w:sz w:val="24"/>
        </w:rPr>
        <w:t>截</w:t>
      </w:r>
      <w:r>
        <w:rPr>
          <w:rFonts w:ascii="宋体" w:hAnsi="宋体"/>
          <w:iCs/>
          <w:sz w:val="24"/>
        </w:rPr>
        <w:t>水帷幕作用，同时还承担着对型钢的包裹作用，相同荷载作用下，水泥土与型钢</w:t>
      </w:r>
      <w:r>
        <w:rPr>
          <w:rFonts w:hint="eastAsia" w:ascii="宋体" w:hAnsi="宋体"/>
          <w:iCs/>
          <w:sz w:val="24"/>
        </w:rPr>
        <w:t>复合</w:t>
      </w:r>
      <w:r>
        <w:rPr>
          <w:rFonts w:ascii="宋体" w:hAnsi="宋体"/>
          <w:iCs/>
          <w:sz w:val="24"/>
        </w:rPr>
        <w:t>体的抗弯刚度比相应型钢的刚度要大</w:t>
      </w:r>
      <w:r>
        <w:rPr>
          <w:iCs/>
          <w:sz w:val="24"/>
        </w:rPr>
        <w:t>20%</w:t>
      </w:r>
      <w:r>
        <w:rPr>
          <w:rFonts w:ascii="宋体" w:hAnsi="宋体"/>
          <w:iCs/>
          <w:sz w:val="24"/>
        </w:rPr>
        <w:t>，挠度相应减小。但目前试验数据及工程经验还很有限，实际工程中不推荐考虑水泥土的刚度贡献进行设计，水泥土搅拌桩的刚度贡献只作为安全储备加以考虑。</w:t>
      </w:r>
    </w:p>
    <w:p>
      <w:pPr>
        <w:spacing w:line="360" w:lineRule="auto"/>
        <w:jc w:val="left"/>
        <w:rPr>
          <w:iCs/>
          <w:sz w:val="24"/>
        </w:rPr>
      </w:pPr>
      <w:r>
        <w:rPr>
          <w:rFonts w:hint="eastAsia"/>
          <w:b/>
          <w:sz w:val="24"/>
        </w:rPr>
        <w:t xml:space="preserve">5.9.5  </w:t>
      </w:r>
      <w:r>
        <w:rPr>
          <w:rFonts w:ascii="宋体" w:hAnsi="宋体"/>
          <w:iCs/>
          <w:sz w:val="24"/>
        </w:rPr>
        <w:t>影响型钢拔出的主要因素有两点：一是型钢与水泥土之间的摩擦阻力；</w:t>
      </w:r>
      <w:r>
        <w:rPr>
          <w:rFonts w:hint="eastAsia" w:ascii="宋体" w:hAnsi="宋体"/>
          <w:iCs/>
          <w:sz w:val="24"/>
        </w:rPr>
        <w:t>二</w:t>
      </w:r>
      <w:r>
        <w:rPr>
          <w:rFonts w:ascii="宋体" w:hAnsi="宋体"/>
          <w:iCs/>
          <w:sz w:val="24"/>
        </w:rPr>
        <w:t>是由于基坑开挖造成的型钢水泥土搅拌桩墙变形致使型钢产生弯曲，从而在拔出时产生变形阻力，型钢拔动后主要由弯曲阻力控制。对于摩擦阻力可通过在型钢表面涂抹减摩材料来降低型钢与水泥土之间的摩阻力。</w:t>
      </w:r>
    </w:p>
    <w:p>
      <w:pPr>
        <w:spacing w:line="360" w:lineRule="auto"/>
        <w:ind w:firstLine="480" w:firstLineChars="200"/>
        <w:jc w:val="left"/>
        <w:rPr>
          <w:iCs/>
          <w:sz w:val="24"/>
        </w:rPr>
      </w:pPr>
      <w:r>
        <w:rPr>
          <w:rFonts w:hAnsi="宋体"/>
          <w:iCs/>
          <w:sz w:val="24"/>
        </w:rPr>
        <w:t>（</w:t>
      </w:r>
      <w:r>
        <w:rPr>
          <w:iCs/>
          <w:sz w:val="24"/>
        </w:rPr>
        <w:t>1</w:t>
      </w:r>
      <w:r>
        <w:rPr>
          <w:rFonts w:hAnsi="宋体"/>
          <w:iCs/>
          <w:sz w:val="24"/>
        </w:rPr>
        <w:t>）自重</w:t>
      </w:r>
      <w:r>
        <w:rPr>
          <w:iCs/>
          <w:sz w:val="24"/>
        </w:rPr>
        <w:t>G</w:t>
      </w:r>
      <w:r>
        <w:rPr>
          <w:rFonts w:hAnsi="宋体"/>
          <w:iCs/>
          <w:sz w:val="24"/>
        </w:rPr>
        <w:t>在起拔力中所占比重相当小，可以忽略，因此式</w:t>
      </w:r>
      <w:r>
        <w:rPr>
          <w:rFonts w:hint="eastAsia" w:hAnsi="宋体"/>
          <w:iCs/>
          <w:sz w:val="24"/>
        </w:rPr>
        <w:t>（5.9.5）</w:t>
      </w:r>
      <w:r>
        <w:rPr>
          <w:rFonts w:hAnsi="宋体"/>
          <w:iCs/>
          <w:sz w:val="24"/>
        </w:rPr>
        <w:t>简化为：</w:t>
      </w:r>
    </w:p>
    <w:p>
      <w:pPr>
        <w:spacing w:line="360" w:lineRule="auto"/>
        <w:jc w:val="center"/>
        <w:rPr>
          <w:i/>
          <w:iCs/>
          <w:sz w:val="24"/>
        </w:rPr>
      </w:pPr>
      <w:r>
        <w:rPr>
          <w:i/>
          <w:position w:val="-14"/>
          <w:sz w:val="24"/>
        </w:rPr>
        <w:object>
          <v:shape id="_x0000_i1121" o:spt="75" type="#_x0000_t75" style="height:19.9pt;width:84.25pt;" o:ole="t" filled="f" coordsize="21600,21600">
            <v:path/>
            <v:fill on="f" focussize="0,0"/>
            <v:stroke/>
            <v:imagedata r:id="rId239" o:title=""/>
            <o:lock v:ext="edit" aspectratio="t"/>
            <w10:wrap type="none"/>
            <w10:anchorlock/>
          </v:shape>
          <o:OLEObject Type="Embed" ProgID="Equation.DSMT4" ShapeID="_x0000_i1121" DrawAspect="Content" ObjectID="_1468075821" r:id="rId238">
            <o:LockedField>false</o:LockedField>
          </o:OLEObject>
        </w:object>
      </w:r>
    </w:p>
    <w:p>
      <w:pPr>
        <w:spacing w:line="360" w:lineRule="auto"/>
        <w:jc w:val="left"/>
        <w:rPr>
          <w:iCs/>
          <w:sz w:val="24"/>
        </w:rPr>
      </w:pPr>
      <w:r>
        <w:rPr>
          <w:rFonts w:hAnsi="宋体"/>
          <w:iCs/>
          <w:sz w:val="24"/>
        </w:rPr>
        <w:t>式中：</w:t>
      </w:r>
      <w:r>
        <w:rPr>
          <w:i/>
          <w:iCs/>
          <w:sz w:val="24"/>
        </w:rPr>
        <w:t>μ</w:t>
      </w:r>
      <w:r>
        <w:rPr>
          <w:i/>
          <w:sz w:val="24"/>
          <w:vertAlign w:val="subscript"/>
        </w:rPr>
        <w:t>f</w:t>
      </w:r>
      <w:r>
        <w:rPr>
          <w:iCs/>
          <w:sz w:val="24"/>
        </w:rPr>
        <w:t>——H</w:t>
      </w:r>
      <w:r>
        <w:rPr>
          <w:rFonts w:hAnsi="宋体"/>
          <w:iCs/>
          <w:sz w:val="24"/>
        </w:rPr>
        <w:t>型钢与水泥土之间的单位面积静摩阻力，平均取</w:t>
      </w:r>
      <w:r>
        <w:rPr>
          <w:iCs/>
          <w:sz w:val="24"/>
        </w:rPr>
        <w:t>0.04MPa</w:t>
      </w:r>
      <w:r>
        <w:rPr>
          <w:rFonts w:hAnsi="宋体"/>
          <w:iCs/>
          <w:sz w:val="24"/>
        </w:rPr>
        <w:t>；</w:t>
      </w:r>
    </w:p>
    <w:p>
      <w:pPr>
        <w:spacing w:line="360" w:lineRule="auto"/>
        <w:ind w:firstLine="600" w:firstLineChars="250"/>
        <w:jc w:val="left"/>
        <w:rPr>
          <w:iCs/>
          <w:sz w:val="24"/>
        </w:rPr>
      </w:pPr>
      <w:r>
        <w:rPr>
          <w:i/>
          <w:iCs/>
          <w:sz w:val="24"/>
        </w:rPr>
        <w:t>S</w:t>
      </w:r>
      <w:r>
        <w:rPr>
          <w:i/>
          <w:iCs/>
          <w:sz w:val="24"/>
          <w:vertAlign w:val="subscript"/>
        </w:rPr>
        <w:t>H</w:t>
      </w:r>
      <w:r>
        <w:rPr>
          <w:iCs/>
          <w:sz w:val="24"/>
        </w:rPr>
        <w:t>——H</w:t>
      </w:r>
      <w:r>
        <w:rPr>
          <w:rFonts w:hAnsi="宋体"/>
          <w:iCs/>
          <w:sz w:val="24"/>
        </w:rPr>
        <w:t>型钢与水泥土之间的接触面积。</w:t>
      </w:r>
    </w:p>
    <w:p>
      <w:pPr>
        <w:spacing w:line="360" w:lineRule="auto"/>
        <w:ind w:firstLine="480" w:firstLineChars="200"/>
        <w:jc w:val="left"/>
        <w:rPr>
          <w:iCs/>
          <w:sz w:val="24"/>
        </w:rPr>
      </w:pPr>
      <w:r>
        <w:rPr>
          <w:rFonts w:hAnsi="宋体"/>
          <w:iCs/>
          <w:sz w:val="24"/>
        </w:rPr>
        <w:t>（</w:t>
      </w:r>
      <w:r>
        <w:rPr>
          <w:rFonts w:hint="eastAsia"/>
          <w:iCs/>
          <w:sz w:val="24"/>
        </w:rPr>
        <w:t>2</w:t>
      </w:r>
      <w:r>
        <w:rPr>
          <w:rFonts w:hAnsi="宋体"/>
          <w:iCs/>
          <w:sz w:val="24"/>
        </w:rPr>
        <w:t>）为保证型钢回收后的重复利用，要求型钢在起拔过程中处于弹性状态，取其屈服强度</w:t>
      </w:r>
      <w:r>
        <w:rPr>
          <w:iCs/>
          <w:sz w:val="24"/>
        </w:rPr>
        <w:t>σ</w:t>
      </w:r>
      <w:r>
        <w:rPr>
          <w:iCs/>
          <w:sz w:val="24"/>
          <w:vertAlign w:val="subscript"/>
        </w:rPr>
        <w:t>s</w:t>
      </w:r>
      <w:r>
        <w:rPr>
          <w:rFonts w:hAnsi="宋体"/>
          <w:iCs/>
          <w:sz w:val="24"/>
        </w:rPr>
        <w:t>的</w:t>
      </w:r>
      <w:r>
        <w:rPr>
          <w:iCs/>
          <w:sz w:val="24"/>
        </w:rPr>
        <w:t>70</w:t>
      </w:r>
      <w:r>
        <w:rPr>
          <w:rFonts w:hAnsi="宋体"/>
          <w:iCs/>
          <w:sz w:val="24"/>
        </w:rPr>
        <w:t>％作为允许应力，故型钢的</w:t>
      </w:r>
      <w:r>
        <w:rPr>
          <w:rFonts w:hint="eastAsia" w:hAnsi="宋体"/>
          <w:iCs/>
          <w:sz w:val="24"/>
        </w:rPr>
        <w:t>起拔力允许值</w:t>
      </w:r>
      <w:r>
        <w:rPr>
          <w:rFonts w:hAnsi="宋体"/>
          <w:iCs/>
          <w:sz w:val="24"/>
        </w:rPr>
        <w:t>为：</w:t>
      </w:r>
    </w:p>
    <w:p>
      <w:pPr>
        <w:spacing w:line="360" w:lineRule="auto"/>
        <w:jc w:val="center"/>
        <w:rPr>
          <w:i/>
          <w:iCs/>
          <w:sz w:val="24"/>
        </w:rPr>
      </w:pPr>
      <w:r>
        <w:rPr>
          <w:i/>
          <w:iCs/>
          <w:position w:val="-12"/>
          <w:sz w:val="24"/>
        </w:rPr>
        <w:object>
          <v:shape id="_x0000_i1122" o:spt="75" type="#_x0000_t75" style="height:19.15pt;width:73.9pt;" o:ole="t" filled="f" coordsize="21600,21600">
            <v:path/>
            <v:fill on="f" focussize="0,0"/>
            <v:stroke/>
            <v:imagedata r:id="rId241" o:title=""/>
            <o:lock v:ext="edit" aspectratio="t"/>
            <w10:wrap type="none"/>
            <w10:anchorlock/>
          </v:shape>
          <o:OLEObject Type="Embed" ProgID="Equation.DSMT4" ShapeID="_x0000_i1122" DrawAspect="Content" ObjectID="_1468075822" r:id="rId240">
            <o:LockedField>false</o:LockedField>
          </o:OLEObject>
        </w:object>
      </w:r>
    </w:p>
    <w:p>
      <w:pPr>
        <w:spacing w:line="360" w:lineRule="auto"/>
        <w:jc w:val="left"/>
        <w:rPr>
          <w:iCs/>
          <w:sz w:val="24"/>
        </w:rPr>
      </w:pPr>
      <w:r>
        <w:rPr>
          <w:rFonts w:hAnsi="宋体"/>
          <w:iCs/>
          <w:sz w:val="24"/>
        </w:rPr>
        <w:t>式中：</w:t>
      </w:r>
      <w:r>
        <w:rPr>
          <w:i/>
          <w:iCs/>
          <w:sz w:val="24"/>
        </w:rPr>
        <w:t>A</w:t>
      </w:r>
      <w:r>
        <w:rPr>
          <w:i/>
          <w:iCs/>
          <w:sz w:val="24"/>
          <w:vertAlign w:val="subscript"/>
        </w:rPr>
        <w:t>H</w:t>
      </w:r>
      <w:r>
        <w:rPr>
          <w:iCs/>
          <w:sz w:val="24"/>
        </w:rPr>
        <w:t>——H</w:t>
      </w:r>
      <w:r>
        <w:rPr>
          <w:rFonts w:hAnsi="宋体"/>
          <w:iCs/>
          <w:sz w:val="24"/>
        </w:rPr>
        <w:t>型钢的截面面积。</w:t>
      </w:r>
    </w:p>
    <w:p>
      <w:pPr>
        <w:spacing w:line="360" w:lineRule="auto"/>
        <w:ind w:firstLine="480" w:firstLineChars="200"/>
        <w:jc w:val="left"/>
        <w:rPr>
          <w:iCs/>
          <w:sz w:val="24"/>
        </w:rPr>
      </w:pPr>
      <w:r>
        <w:rPr>
          <w:rFonts w:hAnsi="宋体"/>
          <w:iCs/>
          <w:sz w:val="24"/>
        </w:rPr>
        <w:t>（</w:t>
      </w:r>
      <w:r>
        <w:rPr>
          <w:rFonts w:hint="eastAsia"/>
          <w:iCs/>
          <w:sz w:val="24"/>
        </w:rPr>
        <w:t>3</w:t>
      </w:r>
      <w:r>
        <w:rPr>
          <w:rFonts w:hAnsi="宋体"/>
          <w:iCs/>
          <w:sz w:val="24"/>
        </w:rPr>
        <w:t>）起拔力则必须满足下式：</w:t>
      </w:r>
    </w:p>
    <w:p>
      <w:pPr>
        <w:spacing w:line="360" w:lineRule="auto"/>
        <w:jc w:val="center"/>
        <w:rPr>
          <w:i/>
          <w:iCs/>
          <w:sz w:val="24"/>
        </w:rPr>
      </w:pPr>
      <w:r>
        <w:rPr>
          <w:i/>
          <w:position w:val="-10"/>
          <w:sz w:val="24"/>
        </w:rPr>
        <w:object>
          <v:shape id="_x0000_i1123" o:spt="75" type="#_x0000_t75" style="height:16.45pt;width:45.95pt;" o:ole="t" filled="f" coordsize="21600,21600">
            <v:path/>
            <v:fill on="f" focussize="0,0"/>
            <v:stroke/>
            <v:imagedata r:id="rId243" o:title=""/>
            <o:lock v:ext="edit" aspectratio="t"/>
            <w10:wrap type="none"/>
            <w10:anchorlock/>
          </v:shape>
          <o:OLEObject Type="Embed" ProgID="Equation.DSMT4" ShapeID="_x0000_i1123" DrawAspect="Content" ObjectID="_1468075823" r:id="rId242">
            <o:LockedField>false</o:LockedField>
          </o:OLEObject>
        </w:object>
      </w:r>
    </w:p>
    <w:p>
      <w:pPr>
        <w:spacing w:line="360" w:lineRule="auto"/>
        <w:rPr>
          <w:b/>
          <w:sz w:val="24"/>
        </w:rPr>
      </w:pPr>
      <w:r>
        <w:rPr>
          <w:rFonts w:hint="eastAsia"/>
          <w:b/>
          <w:sz w:val="24"/>
        </w:rPr>
        <w:t xml:space="preserve">5.9.6  </w:t>
      </w:r>
      <w:r>
        <w:rPr>
          <w:sz w:val="24"/>
        </w:rPr>
        <w:t>型钢水泥土</w:t>
      </w:r>
      <w:r>
        <w:rPr>
          <w:rFonts w:hint="eastAsia"/>
          <w:sz w:val="24"/>
        </w:rPr>
        <w:t>搅拌</w:t>
      </w:r>
      <w:r>
        <w:rPr>
          <w:sz w:val="24"/>
        </w:rPr>
        <w:t>墙的构造要求：</w:t>
      </w:r>
    </w:p>
    <w:p>
      <w:pPr>
        <w:spacing w:line="360" w:lineRule="auto"/>
        <w:ind w:firstLine="480" w:firstLineChars="200"/>
        <w:jc w:val="left"/>
        <w:rPr>
          <w:iCs/>
          <w:sz w:val="24"/>
        </w:rPr>
      </w:pPr>
      <w:r>
        <w:rPr>
          <w:rFonts w:hint="eastAsia"/>
          <w:sz w:val="24"/>
        </w:rPr>
        <w:t xml:space="preserve">2  </w:t>
      </w:r>
      <w:r>
        <w:rPr>
          <w:rFonts w:ascii="宋体" w:hAnsi="宋体"/>
          <w:iCs/>
          <w:sz w:val="24"/>
        </w:rPr>
        <w:t>冠梁与型钢的接触处需采用不易压缩的硬质材料作隔离材料，防止隔离材料在围护体系受力后产生较大的压缩变形。</w:t>
      </w:r>
    </w:p>
    <w:p>
      <w:pPr>
        <w:spacing w:line="360" w:lineRule="auto"/>
        <w:ind w:firstLine="480" w:firstLineChars="200"/>
        <w:jc w:val="left"/>
        <w:rPr>
          <w:sz w:val="24"/>
        </w:rPr>
      </w:pPr>
      <w:r>
        <w:rPr>
          <w:rFonts w:hint="eastAsia"/>
          <w:sz w:val="24"/>
        </w:rPr>
        <w:t>4  钢</w:t>
      </w:r>
      <w:r>
        <w:rPr>
          <w:rFonts w:ascii="宋体" w:hAnsi="宋体"/>
          <w:iCs/>
          <w:sz w:val="24"/>
        </w:rPr>
        <w:t>围檩应在拼接方式上予以加强，如附加缀板</w:t>
      </w:r>
      <w:r>
        <w:rPr>
          <w:rFonts w:hint="eastAsia" w:ascii="宋体" w:hAnsi="宋体"/>
          <w:iCs/>
          <w:sz w:val="24"/>
        </w:rPr>
        <w:t>、</w:t>
      </w:r>
      <w:r>
        <w:rPr>
          <w:rFonts w:ascii="宋体" w:hAnsi="宋体"/>
          <w:iCs/>
          <w:sz w:val="24"/>
        </w:rPr>
        <w:t>设置加劲肋板等。同时应尽量减少钢围檩的接头数量，拼接位置也应尽量放在围檩受力较小的部位</w:t>
      </w:r>
      <w:r>
        <w:rPr>
          <w:rFonts w:hint="eastAsia" w:ascii="宋体" w:hAnsi="宋体"/>
          <w:iCs/>
          <w:sz w:val="24"/>
        </w:rPr>
        <w:t>。</w:t>
      </w:r>
    </w:p>
    <w:p>
      <w:pPr>
        <w:spacing w:line="360" w:lineRule="auto"/>
        <w:rPr>
          <w:rFonts w:ascii="宋体" w:hAnsi="宋体"/>
          <w:sz w:val="24"/>
        </w:rPr>
      </w:pPr>
      <w:r>
        <w:rPr>
          <w:rFonts w:hint="eastAsia"/>
          <w:b/>
          <w:sz w:val="24"/>
        </w:rPr>
        <w:t>5.9.7</w:t>
      </w:r>
      <w:r>
        <w:rPr>
          <w:rFonts w:hint="eastAsia"/>
          <w:sz w:val="24"/>
        </w:rPr>
        <w:t xml:space="preserve">  </w:t>
      </w:r>
      <w:r>
        <w:rPr>
          <w:rFonts w:ascii="宋体" w:hAnsi="宋体"/>
          <w:sz w:val="24"/>
        </w:rPr>
        <w:t>型钢水泥土</w:t>
      </w:r>
      <w:r>
        <w:rPr>
          <w:rFonts w:hint="eastAsia" w:ascii="宋体" w:hAnsi="宋体"/>
          <w:sz w:val="24"/>
        </w:rPr>
        <w:t>搅拌</w:t>
      </w:r>
      <w:r>
        <w:rPr>
          <w:rFonts w:ascii="宋体" w:hAnsi="宋体"/>
          <w:sz w:val="24"/>
        </w:rPr>
        <w:t>墙施工控制要点：</w:t>
      </w:r>
    </w:p>
    <w:p>
      <w:pPr>
        <w:spacing w:line="360" w:lineRule="auto"/>
        <w:ind w:firstLine="480" w:firstLineChars="200"/>
        <w:rPr>
          <w:iCs/>
          <w:sz w:val="24"/>
        </w:rPr>
      </w:pPr>
      <w:r>
        <w:rPr>
          <w:sz w:val="24"/>
        </w:rPr>
        <w:t xml:space="preserve">1  </w:t>
      </w:r>
      <w:r>
        <w:rPr>
          <w:rFonts w:hAnsi="宋体"/>
          <w:iCs/>
          <w:sz w:val="24"/>
        </w:rPr>
        <w:t>包括浆液的水灰比、下沉（提升）速度、浆泵的压送能力、每米桩长或每幅桩的注浆量。在基坑开挖过程中，必须注意对型钢水泥土搅拌墙结构中的水泥土搅拌桩的保护，尤其是禁止对型钢间的水泥土搅拌桩</w:t>
      </w:r>
      <w:r>
        <w:rPr>
          <w:rFonts w:hint="eastAsia" w:hAnsi="宋体"/>
          <w:iCs/>
          <w:sz w:val="24"/>
        </w:rPr>
        <w:t>的</w:t>
      </w:r>
      <w:r>
        <w:rPr>
          <w:rFonts w:hAnsi="宋体"/>
          <w:iCs/>
          <w:sz w:val="24"/>
        </w:rPr>
        <w:t>损害，以确保水泥土搅拌桩对型钢的有效约束。</w:t>
      </w:r>
    </w:p>
    <w:p>
      <w:pPr>
        <w:spacing w:line="360" w:lineRule="auto"/>
        <w:ind w:firstLine="480" w:firstLineChars="200"/>
        <w:rPr>
          <w:sz w:val="24"/>
        </w:rPr>
      </w:pPr>
      <w:r>
        <w:rPr>
          <w:iCs/>
          <w:sz w:val="24"/>
        </w:rPr>
        <w:t xml:space="preserve">8  </w:t>
      </w:r>
      <w:r>
        <w:rPr>
          <w:rFonts w:hAnsi="宋体"/>
          <w:iCs/>
          <w:sz w:val="24"/>
        </w:rPr>
        <w:t>型钢拔除回收时，应根据环境保护要求采用跳拔，限制日拔出型钢数量等措施，并及时对型钢拔出后形成的空隙注浆充填。</w:t>
      </w:r>
    </w:p>
    <w:p>
      <w:pPr>
        <w:spacing w:line="360" w:lineRule="auto"/>
        <w:jc w:val="center"/>
        <w:outlineLvl w:val="3"/>
        <w:rPr>
          <w:b/>
          <w:sz w:val="24"/>
        </w:rPr>
      </w:pPr>
      <w:bookmarkStart w:id="178" w:name="_Toc45197188"/>
      <w:r>
        <w:rPr>
          <w:b/>
          <w:sz w:val="24"/>
        </w:rPr>
        <w:t>5.</w:t>
      </w:r>
      <w:r>
        <w:rPr>
          <w:rFonts w:hint="eastAsia"/>
          <w:b/>
          <w:sz w:val="24"/>
        </w:rPr>
        <w:t xml:space="preserve">10  </w:t>
      </w:r>
      <w:r>
        <w:rPr>
          <w:b/>
          <w:sz w:val="24"/>
        </w:rPr>
        <w:t>钢板桩支护</w:t>
      </w:r>
      <w:bookmarkEnd w:id="178"/>
    </w:p>
    <w:p>
      <w:pPr>
        <w:spacing w:line="360" w:lineRule="auto"/>
        <w:rPr>
          <w:kern w:val="0"/>
          <w:sz w:val="24"/>
        </w:rPr>
      </w:pPr>
      <w:r>
        <w:rPr>
          <w:b/>
          <w:iCs/>
          <w:sz w:val="24"/>
        </w:rPr>
        <w:t xml:space="preserve">5.10.1 </w:t>
      </w:r>
      <w:r>
        <w:rPr>
          <w:iCs/>
          <w:sz w:val="24"/>
        </w:rPr>
        <w:t xml:space="preserve"> </w:t>
      </w:r>
      <w:r>
        <w:rPr>
          <w:rFonts w:hAnsi="宋体"/>
          <w:kern w:val="0"/>
          <w:sz w:val="24"/>
        </w:rPr>
        <w:t>钢板桩的平面布置可采用直线形、折线形和多边形等形状。钢板桩单元段的形状，应根据整体平面布置、受力特点、地质条件和施工要求等因素确定。</w:t>
      </w:r>
    </w:p>
    <w:p>
      <w:pPr>
        <w:spacing w:line="360" w:lineRule="auto"/>
        <w:ind w:firstLine="480" w:firstLineChars="200"/>
        <w:rPr>
          <w:kern w:val="0"/>
          <w:sz w:val="24"/>
        </w:rPr>
      </w:pPr>
      <w:r>
        <w:rPr>
          <w:rFonts w:hAnsi="宋体"/>
          <w:kern w:val="0"/>
          <w:sz w:val="24"/>
        </w:rPr>
        <w:t>根据目前的工</w:t>
      </w:r>
      <w:r>
        <w:rPr>
          <w:rFonts w:hint="eastAsia" w:hAnsi="宋体"/>
          <w:kern w:val="0"/>
          <w:sz w:val="24"/>
        </w:rPr>
        <w:t>程</w:t>
      </w:r>
      <w:r>
        <w:rPr>
          <w:rFonts w:hAnsi="宋体"/>
          <w:kern w:val="0"/>
          <w:sz w:val="24"/>
        </w:rPr>
        <w:t>经验，钢板桩</w:t>
      </w:r>
      <w:r>
        <w:rPr>
          <w:rFonts w:hint="eastAsia" w:hAnsi="宋体"/>
          <w:kern w:val="0"/>
          <w:sz w:val="24"/>
        </w:rPr>
        <w:t>悬臂</w:t>
      </w:r>
      <w:r>
        <w:rPr>
          <w:rFonts w:hAnsi="宋体"/>
          <w:kern w:val="0"/>
          <w:sz w:val="24"/>
        </w:rPr>
        <w:t>支护一般适用于开挖深度不大于</w:t>
      </w:r>
      <w:r>
        <w:rPr>
          <w:kern w:val="0"/>
          <w:sz w:val="24"/>
        </w:rPr>
        <w:t>6m</w:t>
      </w:r>
      <w:r>
        <w:rPr>
          <w:rFonts w:hAnsi="宋体"/>
          <w:kern w:val="0"/>
          <w:sz w:val="24"/>
        </w:rPr>
        <w:t>、周边环境保护要求不高的基坑工程，邻近对变形敏感建筑物的基坑工程不宜采用。</w:t>
      </w:r>
    </w:p>
    <w:p>
      <w:pPr>
        <w:pStyle w:val="74"/>
        <w:spacing w:line="360" w:lineRule="auto"/>
        <w:rPr>
          <w:rFonts w:ascii="Times New Roman" w:hAnsi="Times New Roman" w:cs="Times New Roman"/>
          <w:color w:val="auto"/>
        </w:rPr>
      </w:pPr>
      <w:r>
        <w:rPr>
          <w:rFonts w:ascii="Times New Roman" w:hAnsi="Times New Roman" w:cs="Times New Roman"/>
          <w:b/>
          <w:iCs/>
          <w:color w:val="auto"/>
          <w:kern w:val="2"/>
        </w:rPr>
        <w:t>5.10.</w:t>
      </w:r>
      <w:r>
        <w:rPr>
          <w:rFonts w:hint="eastAsia" w:ascii="Times New Roman" w:hAnsi="Times New Roman" w:cs="Times New Roman"/>
          <w:b/>
          <w:iCs/>
          <w:color w:val="auto"/>
          <w:kern w:val="2"/>
        </w:rPr>
        <w:t>2</w:t>
      </w:r>
      <w:r>
        <w:rPr>
          <w:b/>
          <w:iCs/>
          <w:color w:val="auto"/>
        </w:rPr>
        <w:t xml:space="preserve"> </w:t>
      </w:r>
      <w:r>
        <w:rPr>
          <w:iCs/>
          <w:color w:val="auto"/>
        </w:rPr>
        <w:t xml:space="preserve"> </w:t>
      </w:r>
      <w:r>
        <w:rPr>
          <w:rFonts w:ascii="Times New Roman" w:hAnsi="Times New Roman" w:cs="Times New Roman"/>
          <w:iCs/>
          <w:color w:val="auto"/>
        </w:rPr>
        <w:t xml:space="preserve">7  </w:t>
      </w:r>
      <w:r>
        <w:rPr>
          <w:rFonts w:ascii="Times New Roman" w:hAnsi="Times New Roman" w:cs="Times New Roman"/>
          <w:color w:val="auto"/>
        </w:rPr>
        <w:t>钢材的强度设计值（N /mm²），如采用国产钢板桩，按</w:t>
      </w:r>
      <w:r>
        <w:rPr>
          <w:rFonts w:hint="eastAsia" w:ascii="Times New Roman" w:hAnsi="Times New Roman" w:cs="Times New Roman"/>
          <w:color w:val="auto"/>
        </w:rPr>
        <w:t>云南省工程建设地方</w:t>
      </w:r>
      <w:r>
        <w:rPr>
          <w:rFonts w:ascii="Times New Roman" w:hAnsi="Times New Roman" w:cs="Times New Roman"/>
          <w:color w:val="auto"/>
        </w:rPr>
        <w:t>标准《</w:t>
      </w:r>
      <w:r>
        <w:rPr>
          <w:rFonts w:hint="eastAsia" w:ascii="Times New Roman" w:hAnsi="Times New Roman" w:cs="Times New Roman"/>
          <w:color w:val="auto"/>
        </w:rPr>
        <w:t>建筑基坑钢板桩支护技术规程</w:t>
      </w:r>
      <w:r>
        <w:rPr>
          <w:rFonts w:ascii="Times New Roman" w:hAnsi="Times New Roman" w:cs="Times New Roman"/>
          <w:color w:val="auto"/>
        </w:rPr>
        <w:t>》</w:t>
      </w:r>
      <w:r>
        <w:rPr>
          <w:rFonts w:hint="eastAsia" w:ascii="Times New Roman" w:hAnsi="Times New Roman" w:cs="Times New Roman"/>
          <w:color w:val="auto"/>
        </w:rPr>
        <w:t>DBJ53/T-74</w:t>
      </w:r>
      <w:r>
        <w:rPr>
          <w:rFonts w:ascii="Times New Roman" w:hAnsi="Times New Roman" w:cs="Times New Roman"/>
          <w:color w:val="auto"/>
        </w:rPr>
        <w:t>中规定采用。</w:t>
      </w:r>
    </w:p>
    <w:p>
      <w:pPr>
        <w:spacing w:line="360" w:lineRule="auto"/>
        <w:rPr>
          <w:sz w:val="24"/>
        </w:rPr>
      </w:pPr>
      <w:r>
        <w:rPr>
          <w:b/>
          <w:sz w:val="24"/>
        </w:rPr>
        <w:t>5.10.3</w:t>
      </w:r>
      <w:r>
        <w:rPr>
          <w:rFonts w:hint="eastAsia"/>
          <w:b/>
          <w:sz w:val="24"/>
        </w:rPr>
        <w:t xml:space="preserve">  </w:t>
      </w:r>
      <w:r>
        <w:rPr>
          <w:rFonts w:hint="eastAsia"/>
          <w:sz w:val="24"/>
        </w:rPr>
        <w:t>7 为增强钢板桩的止水效果，可以采取焊接、设置防水垫圈或止水带等，也可在钢板桩施打过程中用沥青类密封剂、水溶性膨胀型密封剂等填充物填塞接缝。</w:t>
      </w:r>
    </w:p>
    <w:p>
      <w:pPr>
        <w:spacing w:line="360" w:lineRule="auto"/>
        <w:jc w:val="left"/>
        <w:rPr>
          <w:rFonts w:cs="宋体"/>
          <w:kern w:val="0"/>
          <w:sz w:val="24"/>
        </w:rPr>
      </w:pPr>
      <w:r>
        <w:rPr>
          <w:b/>
          <w:sz w:val="24"/>
        </w:rPr>
        <w:t>5.10.4</w:t>
      </w:r>
      <w:r>
        <w:rPr>
          <w:rFonts w:hint="eastAsia"/>
          <w:b/>
          <w:sz w:val="24"/>
        </w:rPr>
        <w:t xml:space="preserve">  </w:t>
      </w:r>
      <w:r>
        <w:rPr>
          <w:rFonts w:hint="eastAsia" w:cs="宋体"/>
          <w:kern w:val="0"/>
          <w:sz w:val="24"/>
        </w:rPr>
        <w:t>在距周边建筑物较近的场地内采用锤击或振动下沉钢板桩时，必须采取安全措施，并对相邻建筑物进行监控。</w:t>
      </w:r>
    </w:p>
    <w:p>
      <w:pPr>
        <w:spacing w:line="360" w:lineRule="auto"/>
        <w:ind w:firstLine="480" w:firstLineChars="200"/>
        <w:jc w:val="left"/>
        <w:rPr>
          <w:kern w:val="0"/>
          <w:sz w:val="24"/>
        </w:rPr>
      </w:pPr>
      <w:r>
        <w:rPr>
          <w:kern w:val="0"/>
          <w:sz w:val="24"/>
        </w:rPr>
        <w:t>导向装置应满足下列要求：</w:t>
      </w:r>
      <w:r>
        <w:rPr>
          <w:rFonts w:hint="eastAsia"/>
          <w:kern w:val="0"/>
          <w:sz w:val="24"/>
        </w:rPr>
        <w:t>（1）</w:t>
      </w:r>
      <w:r>
        <w:rPr>
          <w:kern w:val="0"/>
          <w:sz w:val="24"/>
        </w:rPr>
        <w:t>宜采用夹紧式导向架（即双面围檩支架），在平行于钢板桩墙定位轴线的两边，每隔2m~4m打入一根导桩，并在导桩与钢板之间附上导梁；也可使用制成框架结构的整体式导向架。</w:t>
      </w:r>
      <w:r>
        <w:rPr>
          <w:rFonts w:hint="eastAsia"/>
          <w:kern w:val="0"/>
          <w:sz w:val="24"/>
        </w:rPr>
        <w:t>（2）</w:t>
      </w:r>
      <w:r>
        <w:rPr>
          <w:kern w:val="0"/>
          <w:sz w:val="24"/>
        </w:rPr>
        <w:t>导向架和导梁宜用H型钢，其尺寸（截面高）</w:t>
      </w:r>
      <w:r>
        <w:rPr>
          <w:rFonts w:hint="eastAsia"/>
          <w:kern w:val="0"/>
          <w:sz w:val="24"/>
        </w:rPr>
        <w:t>宜</w:t>
      </w:r>
      <w:r>
        <w:rPr>
          <w:kern w:val="0"/>
          <w:sz w:val="24"/>
        </w:rPr>
        <w:t>为250 mm ~300mm。</w:t>
      </w:r>
      <w:r>
        <w:rPr>
          <w:rFonts w:hint="eastAsia"/>
          <w:kern w:val="0"/>
          <w:sz w:val="24"/>
        </w:rPr>
        <w:t>（3）</w:t>
      </w:r>
      <w:r>
        <w:rPr>
          <w:kern w:val="0"/>
          <w:sz w:val="24"/>
        </w:rPr>
        <w:t>根据现场条件，可采用单边式导向架（即单面围檩支架）。但当打入的</w:t>
      </w:r>
      <w:r>
        <w:rPr>
          <w:rFonts w:hint="eastAsia"/>
          <w:kern w:val="0"/>
          <w:sz w:val="24"/>
        </w:rPr>
        <w:t>钢</w:t>
      </w:r>
      <w:r>
        <w:rPr>
          <w:kern w:val="0"/>
          <w:sz w:val="24"/>
        </w:rPr>
        <w:t>板桩截面较大、桩长较长时，宜采用夹紧式导向架。</w:t>
      </w:r>
      <w:r>
        <w:rPr>
          <w:rFonts w:hint="eastAsia"/>
          <w:kern w:val="0"/>
          <w:sz w:val="24"/>
        </w:rPr>
        <w:t>（4）</w:t>
      </w:r>
      <w:r>
        <w:rPr>
          <w:kern w:val="0"/>
          <w:sz w:val="24"/>
        </w:rPr>
        <w:t>夹紧式导向架两侧导梁的间距应为钢板桩墙截面加2cm ~5cm。</w:t>
      </w:r>
      <w:r>
        <w:rPr>
          <w:rFonts w:hint="eastAsia"/>
          <w:kern w:val="0"/>
          <w:sz w:val="24"/>
        </w:rPr>
        <w:t>（5）</w:t>
      </w:r>
      <w:r>
        <w:rPr>
          <w:kern w:val="0"/>
          <w:sz w:val="24"/>
        </w:rPr>
        <w:t>导梁的位置应比</w:t>
      </w:r>
      <w:r>
        <w:rPr>
          <w:rFonts w:hint="eastAsia"/>
          <w:kern w:val="0"/>
          <w:sz w:val="24"/>
        </w:rPr>
        <w:t>钢</w:t>
      </w:r>
      <w:r>
        <w:rPr>
          <w:kern w:val="0"/>
          <w:sz w:val="24"/>
        </w:rPr>
        <w:t>板桩桩顶低30cm ~50cm，确保桩锤不会碰到导梁。</w:t>
      </w:r>
      <w:r>
        <w:rPr>
          <w:rFonts w:hint="eastAsia"/>
          <w:kern w:val="0"/>
          <w:sz w:val="24"/>
        </w:rPr>
        <w:t>（6）</w:t>
      </w:r>
      <w:r>
        <w:rPr>
          <w:kern w:val="0"/>
          <w:sz w:val="24"/>
        </w:rPr>
        <w:t>钢板桩有止水要求时，宜采用双层导向架。</w:t>
      </w:r>
    </w:p>
    <w:p>
      <w:pPr>
        <w:spacing w:line="360" w:lineRule="auto"/>
        <w:ind w:firstLine="480" w:firstLineChars="200"/>
        <w:jc w:val="left"/>
        <w:rPr>
          <w:rFonts w:cs="宋体"/>
          <w:kern w:val="0"/>
          <w:sz w:val="24"/>
        </w:rPr>
      </w:pPr>
      <w:r>
        <w:rPr>
          <w:rFonts w:hint="eastAsia" w:cs="宋体"/>
          <w:kern w:val="0"/>
          <w:sz w:val="24"/>
        </w:rPr>
        <w:t>封闭式钢板桩墙拔桩顺序宜与打桩顺序相反，也可间隔拔除，必要时</w:t>
      </w:r>
      <w:r>
        <w:rPr>
          <w:rFonts w:hAnsi="宋体"/>
          <w:iCs/>
          <w:sz w:val="24"/>
        </w:rPr>
        <w:t>对拔出后形成的空隙注浆充填。</w:t>
      </w:r>
    </w:p>
    <w:p>
      <w:pPr>
        <w:spacing w:line="360" w:lineRule="auto"/>
        <w:jc w:val="center"/>
        <w:outlineLvl w:val="3"/>
        <w:rPr>
          <w:b/>
          <w:sz w:val="24"/>
        </w:rPr>
      </w:pPr>
      <w:bookmarkStart w:id="179" w:name="_Toc45197189"/>
      <w:r>
        <w:rPr>
          <w:b/>
          <w:sz w:val="24"/>
        </w:rPr>
        <w:t>5.11  地下连续墙</w:t>
      </w:r>
      <w:bookmarkEnd w:id="179"/>
    </w:p>
    <w:p>
      <w:pPr>
        <w:autoSpaceDE w:val="0"/>
        <w:autoSpaceDN w:val="0"/>
        <w:adjustRightInd w:val="0"/>
        <w:spacing w:line="440" w:lineRule="exact"/>
        <w:jc w:val="left"/>
        <w:rPr>
          <w:rFonts w:ascii="Calibri" w:hAnsi="Calibri"/>
          <w:sz w:val="24"/>
        </w:rPr>
      </w:pPr>
      <w:r>
        <w:rPr>
          <w:rFonts w:hint="eastAsia"/>
          <w:b/>
          <w:sz w:val="24"/>
        </w:rPr>
        <w:t xml:space="preserve">5.11.1  </w:t>
      </w:r>
      <w:r>
        <w:rPr>
          <w:rFonts w:ascii="Calibri" w:hAnsi="Calibri"/>
          <w:sz w:val="24"/>
        </w:rPr>
        <w:t>具有结构刚度大、整体性、抗渗性和耐久性好的特点</w:t>
      </w:r>
      <w:r>
        <w:rPr>
          <w:rFonts w:hint="eastAsia" w:ascii="Calibri" w:hAnsi="Calibri"/>
          <w:sz w:val="24"/>
        </w:rPr>
        <w:t>，</w:t>
      </w:r>
      <w:r>
        <w:rPr>
          <w:rFonts w:ascii="Calibri" w:hAnsi="Calibri"/>
          <w:sz w:val="24"/>
        </w:rPr>
        <w:t>能适应各种复杂的施工环境和</w:t>
      </w:r>
      <w:r>
        <w:rPr>
          <w:rFonts w:hint="eastAsia" w:ascii="Calibri" w:hAnsi="Calibri"/>
          <w:sz w:val="24"/>
        </w:rPr>
        <w:t>的基坑工程。</w:t>
      </w:r>
    </w:p>
    <w:p>
      <w:pPr>
        <w:spacing w:line="360" w:lineRule="auto"/>
        <w:rPr>
          <w:sz w:val="24"/>
        </w:rPr>
      </w:pPr>
      <w:r>
        <w:rPr>
          <w:rFonts w:hint="eastAsia"/>
          <w:b/>
          <w:sz w:val="24"/>
        </w:rPr>
        <w:t xml:space="preserve">5.11.2  </w:t>
      </w:r>
      <w:r>
        <w:rPr>
          <w:rFonts w:hint="eastAsia" w:hAnsi="Calibri"/>
          <w:sz w:val="24"/>
        </w:rPr>
        <w:t>地下连续墙</w:t>
      </w:r>
      <w:r>
        <w:rPr>
          <w:rFonts w:hAnsi="Calibri"/>
          <w:sz w:val="24"/>
        </w:rPr>
        <w:t>作为混凝土受弯构件，可直接按国家标准《混凝土结构设计规范》</w:t>
      </w:r>
      <w:r>
        <w:rPr>
          <w:sz w:val="24"/>
        </w:rPr>
        <w:t>GB 50010</w:t>
      </w:r>
      <w:r>
        <w:rPr>
          <w:rFonts w:hAnsi="Calibri"/>
          <w:sz w:val="24"/>
        </w:rPr>
        <w:t>的有关规定进行截面与配筋设计，但因为支护结构与永久性结构的内力设计值</w:t>
      </w:r>
      <w:r>
        <w:rPr>
          <w:rFonts w:hint="eastAsia" w:hAnsi="Calibri"/>
          <w:sz w:val="24"/>
        </w:rPr>
        <w:t>组合</w:t>
      </w:r>
      <w:r>
        <w:rPr>
          <w:rFonts w:hAnsi="Calibri"/>
          <w:sz w:val="24"/>
        </w:rPr>
        <w:t>值规定不同，荷载分项系数不同，因此内力应按本规程的有关规定取值。</w:t>
      </w:r>
    </w:p>
    <w:p>
      <w:pPr>
        <w:spacing w:line="360" w:lineRule="auto"/>
        <w:rPr>
          <w:sz w:val="24"/>
        </w:rPr>
      </w:pPr>
      <w:r>
        <w:rPr>
          <w:rFonts w:hint="eastAsia"/>
          <w:b/>
          <w:sz w:val="24"/>
        </w:rPr>
        <w:t xml:space="preserve">5.11.4  </w:t>
      </w:r>
      <w:r>
        <w:rPr>
          <w:rFonts w:hAnsi="Calibri"/>
          <w:sz w:val="24"/>
        </w:rPr>
        <w:t>地下连续墙的厚度，由支撑（锚杆）或主体结构物水平构件的间距、防渗要求等计算确定，同时还要考虑成槽机械的规格。目前按现有施工设备能力，现浇地下连续墙最大墙厚可达</w:t>
      </w:r>
      <w:r>
        <w:rPr>
          <w:sz w:val="24"/>
        </w:rPr>
        <w:t>1500mm</w:t>
      </w:r>
      <w:r>
        <w:rPr>
          <w:rFonts w:hAnsi="Calibri"/>
          <w:sz w:val="24"/>
        </w:rPr>
        <w:t>，采用特制挖槽机械的薄层地下连续墙，最小墙厚仅</w:t>
      </w:r>
      <w:r>
        <w:rPr>
          <w:sz w:val="24"/>
        </w:rPr>
        <w:t>450mm</w:t>
      </w:r>
      <w:r>
        <w:rPr>
          <w:rFonts w:hAnsi="Calibri"/>
          <w:sz w:val="24"/>
        </w:rPr>
        <w:t>。常用成槽机的规格为</w:t>
      </w:r>
      <w:r>
        <w:rPr>
          <w:sz w:val="24"/>
        </w:rPr>
        <w:t>600mm</w:t>
      </w:r>
      <w:r>
        <w:rPr>
          <w:rFonts w:hAnsi="Calibri"/>
          <w:sz w:val="24"/>
        </w:rPr>
        <w:t>、</w:t>
      </w:r>
      <w:r>
        <w:rPr>
          <w:sz w:val="24"/>
        </w:rPr>
        <w:t>800mm</w:t>
      </w:r>
      <w:r>
        <w:rPr>
          <w:rFonts w:hAnsi="Calibri"/>
          <w:sz w:val="24"/>
        </w:rPr>
        <w:t>、</w:t>
      </w:r>
      <w:r>
        <w:rPr>
          <w:sz w:val="24"/>
        </w:rPr>
        <w:t>1000mm</w:t>
      </w:r>
      <w:r>
        <w:rPr>
          <w:rFonts w:hAnsi="Calibri"/>
          <w:sz w:val="24"/>
        </w:rPr>
        <w:t>或</w:t>
      </w:r>
      <w:r>
        <w:rPr>
          <w:sz w:val="24"/>
        </w:rPr>
        <w:t>1200mm</w:t>
      </w:r>
      <w:r>
        <w:rPr>
          <w:rFonts w:hAnsi="Calibri"/>
          <w:sz w:val="24"/>
        </w:rPr>
        <w:t>墙厚。</w:t>
      </w:r>
    </w:p>
    <w:p>
      <w:pPr>
        <w:autoSpaceDE w:val="0"/>
        <w:autoSpaceDN w:val="0"/>
        <w:adjustRightInd w:val="0"/>
        <w:spacing w:line="440" w:lineRule="exact"/>
        <w:jc w:val="left"/>
        <w:rPr>
          <w:rFonts w:ascii="Calibri" w:hAnsi="Calibri"/>
          <w:sz w:val="24"/>
        </w:rPr>
      </w:pPr>
      <w:r>
        <w:rPr>
          <w:rFonts w:hint="eastAsia"/>
          <w:b/>
          <w:sz w:val="24"/>
        </w:rPr>
        <w:t xml:space="preserve">5.11.6  </w:t>
      </w:r>
      <w:r>
        <w:rPr>
          <w:rFonts w:hAnsi="Calibri"/>
          <w:sz w:val="24"/>
        </w:rPr>
        <w:t>槽段接头是地下连续墙的重要部件，工程中常用的施工接头如图</w:t>
      </w:r>
      <w:r>
        <w:rPr>
          <w:sz w:val="24"/>
        </w:rPr>
        <w:t>1</w:t>
      </w:r>
      <w:r>
        <w:rPr>
          <w:rFonts w:hAnsi="Calibri"/>
          <w:sz w:val="24"/>
        </w:rPr>
        <w:t>、</w:t>
      </w:r>
      <w:r>
        <w:rPr>
          <w:sz w:val="24"/>
        </w:rPr>
        <w:t>2</w:t>
      </w:r>
      <w:r>
        <w:rPr>
          <w:rFonts w:hAnsi="Calibri"/>
          <w:sz w:val="24"/>
        </w:rPr>
        <w:t>所示：</w:t>
      </w:r>
      <w:r>
        <w:rPr>
          <w:sz w:val="24"/>
        </w:rPr>
        <w:t xml:space="preserve"> </w:t>
      </w:r>
    </w:p>
    <w:p>
      <w:pPr>
        <w:spacing w:after="120" w:line="360" w:lineRule="auto"/>
        <w:rPr>
          <w:i/>
          <w:sz w:val="24"/>
        </w:rPr>
      </w:pPr>
      <w:r>
        <w:rPr>
          <w:i/>
          <w:sz w:val="24"/>
        </w:rPr>
        <w:drawing>
          <wp:inline distT="0" distB="0" distL="0" distR="0">
            <wp:extent cx="5280660" cy="101346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a:xfrm>
                      <a:off x="0" y="0"/>
                      <a:ext cx="5280660" cy="1013460"/>
                    </a:xfrm>
                    <a:prstGeom prst="rect">
                      <a:avLst/>
                    </a:prstGeom>
                    <a:noFill/>
                    <a:ln>
                      <a:noFill/>
                    </a:ln>
                  </pic:spPr>
                </pic:pic>
              </a:graphicData>
            </a:graphic>
          </wp:inline>
        </w:drawing>
      </w:r>
    </w:p>
    <w:p>
      <w:pPr>
        <w:autoSpaceDE w:val="0"/>
        <w:autoSpaceDN w:val="0"/>
        <w:adjustRightInd w:val="0"/>
        <w:ind w:firstLine="840" w:firstLineChars="350"/>
        <w:jc w:val="left"/>
        <w:rPr>
          <w:sz w:val="24"/>
        </w:rPr>
      </w:pPr>
      <w:r>
        <w:rPr>
          <w:sz w:val="24"/>
        </w:rPr>
        <w:t>(a)</w:t>
      </w:r>
      <w:r>
        <w:rPr>
          <w:rFonts w:hAnsi="Calibri"/>
          <w:sz w:val="24"/>
        </w:rPr>
        <w:t>圆形锁口管接头</w:t>
      </w:r>
      <w:r>
        <w:rPr>
          <w:sz w:val="24"/>
        </w:rPr>
        <w:t xml:space="preserve"> </w:t>
      </w:r>
      <w:r>
        <w:rPr>
          <w:rFonts w:hint="eastAsia" w:ascii="Calibri" w:hAnsi="Calibri"/>
          <w:sz w:val="24"/>
        </w:rPr>
        <w:t xml:space="preserve">  </w:t>
      </w:r>
      <w:r>
        <w:rPr>
          <w:rFonts w:hint="eastAsia"/>
          <w:sz w:val="24"/>
        </w:rPr>
        <w:t xml:space="preserve">    </w:t>
      </w:r>
      <w:r>
        <w:rPr>
          <w:rFonts w:hint="eastAsia" w:ascii="黑体" w:hAnsi="黑体" w:eastAsia="黑体" w:cs="宋体"/>
          <w:kern w:val="0"/>
          <w:sz w:val="24"/>
        </w:rPr>
        <w:t xml:space="preserve">                  </w:t>
      </w:r>
      <w:r>
        <w:rPr>
          <w:rFonts w:hint="eastAsia" w:ascii="Calibri" w:hAnsi="Calibri"/>
          <w:sz w:val="24"/>
        </w:rPr>
        <w:t xml:space="preserve">   </w:t>
      </w:r>
      <w:r>
        <w:rPr>
          <w:sz w:val="24"/>
        </w:rPr>
        <w:t>(b)</w:t>
      </w:r>
      <w:r>
        <w:rPr>
          <w:rFonts w:hAnsi="Calibri"/>
          <w:sz w:val="24"/>
        </w:rPr>
        <w:t>波形管接头</w:t>
      </w:r>
    </w:p>
    <w:p>
      <w:pPr>
        <w:spacing w:after="120" w:line="360" w:lineRule="auto"/>
        <w:rPr>
          <w:i/>
          <w:sz w:val="24"/>
        </w:rPr>
      </w:pPr>
      <w:r>
        <w:rPr>
          <w:i/>
          <w:sz w:val="24"/>
        </w:rPr>
        <w:drawing>
          <wp:inline distT="0" distB="0" distL="0" distR="0">
            <wp:extent cx="5273040" cy="11125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a:xfrm>
                      <a:off x="0" y="0"/>
                      <a:ext cx="5273040" cy="1112520"/>
                    </a:xfrm>
                    <a:prstGeom prst="rect">
                      <a:avLst/>
                    </a:prstGeom>
                    <a:noFill/>
                    <a:ln>
                      <a:noFill/>
                    </a:ln>
                  </pic:spPr>
                </pic:pic>
              </a:graphicData>
            </a:graphic>
          </wp:inline>
        </w:drawing>
      </w:r>
    </w:p>
    <w:p>
      <w:pPr>
        <w:autoSpaceDE w:val="0"/>
        <w:autoSpaceDN w:val="0"/>
        <w:adjustRightInd w:val="0"/>
        <w:spacing w:line="360" w:lineRule="auto"/>
        <w:ind w:firstLine="840" w:firstLineChars="350"/>
        <w:jc w:val="left"/>
        <w:rPr>
          <w:sz w:val="24"/>
        </w:rPr>
      </w:pPr>
      <w:r>
        <w:rPr>
          <w:sz w:val="24"/>
        </w:rPr>
        <w:t>(c)</w:t>
      </w:r>
      <w:r>
        <w:rPr>
          <w:rFonts w:hAnsi="Calibri"/>
          <w:sz w:val="24"/>
        </w:rPr>
        <w:t>楔形接头</w:t>
      </w:r>
      <w:r>
        <w:rPr>
          <w:rFonts w:hint="eastAsia" w:ascii="Calibri" w:hAnsi="Calibri"/>
          <w:sz w:val="24"/>
        </w:rPr>
        <w:t xml:space="preserve">   </w:t>
      </w:r>
      <w:r>
        <w:rPr>
          <w:rFonts w:hint="eastAsia"/>
          <w:sz w:val="24"/>
        </w:rPr>
        <w:t xml:space="preserve">                         </w:t>
      </w:r>
      <w:r>
        <w:rPr>
          <w:rFonts w:hint="eastAsia" w:ascii="Calibri" w:hAnsi="Calibri"/>
          <w:sz w:val="24"/>
        </w:rPr>
        <w:t xml:space="preserve">  </w:t>
      </w:r>
      <w:r>
        <w:rPr>
          <w:sz w:val="24"/>
        </w:rPr>
        <w:t>(d)</w:t>
      </w:r>
      <w:r>
        <w:rPr>
          <w:rFonts w:hAnsi="Calibri"/>
          <w:sz w:val="24"/>
        </w:rPr>
        <w:t>工字形型钢接头</w:t>
      </w:r>
    </w:p>
    <w:p>
      <w:pPr>
        <w:autoSpaceDE w:val="0"/>
        <w:autoSpaceDN w:val="0"/>
        <w:adjustRightInd w:val="0"/>
        <w:spacing w:line="360" w:lineRule="auto"/>
        <w:jc w:val="center"/>
        <w:rPr>
          <w:rFonts w:cs="宋体" w:asciiTheme="minorEastAsia" w:hAnsiTheme="minorEastAsia"/>
          <w:b/>
          <w:kern w:val="0"/>
          <w:sz w:val="24"/>
        </w:rPr>
      </w:pPr>
      <w:r>
        <w:rPr>
          <w:rFonts w:hint="eastAsia" w:cs="宋体" w:asciiTheme="minorEastAsia" w:hAnsiTheme="minorEastAsia"/>
          <w:b/>
          <w:kern w:val="0"/>
          <w:sz w:val="24"/>
        </w:rPr>
        <w:t>图</w:t>
      </w:r>
      <w:r>
        <w:rPr>
          <w:rFonts w:cs="宋体" w:asciiTheme="minorEastAsia" w:hAnsiTheme="minorEastAsia"/>
          <w:b/>
          <w:kern w:val="0"/>
          <w:sz w:val="24"/>
        </w:rPr>
        <w:t xml:space="preserve">1 </w:t>
      </w:r>
      <w:r>
        <w:rPr>
          <w:rFonts w:hint="eastAsia" w:cs="宋体" w:asciiTheme="minorEastAsia" w:hAnsiTheme="minorEastAsia"/>
          <w:b/>
          <w:kern w:val="0"/>
          <w:sz w:val="24"/>
        </w:rPr>
        <w:t>地下连续墙柔性接头</w:t>
      </w:r>
    </w:p>
    <w:p>
      <w:pPr>
        <w:spacing w:line="360" w:lineRule="auto"/>
        <w:jc w:val="center"/>
        <w:rPr>
          <w:sz w:val="24"/>
        </w:rPr>
      </w:pPr>
      <w:r>
        <w:rPr>
          <w:sz w:val="24"/>
        </w:rPr>
        <w:t>1—</w:t>
      </w:r>
      <w:r>
        <w:rPr>
          <w:rFonts w:hAnsiTheme="minorEastAsia"/>
          <w:sz w:val="24"/>
        </w:rPr>
        <w:t>先行槽段；</w:t>
      </w:r>
      <w:r>
        <w:rPr>
          <w:sz w:val="24"/>
        </w:rPr>
        <w:t>2—</w:t>
      </w:r>
      <w:r>
        <w:rPr>
          <w:rFonts w:hAnsiTheme="minorEastAsia"/>
          <w:sz w:val="24"/>
        </w:rPr>
        <w:t>后续槽段；</w:t>
      </w:r>
      <w:r>
        <w:rPr>
          <w:sz w:val="24"/>
        </w:rPr>
        <w:t>3—</w:t>
      </w:r>
      <w:r>
        <w:rPr>
          <w:rFonts w:hAnsiTheme="minorEastAsia"/>
          <w:sz w:val="24"/>
        </w:rPr>
        <w:t>圆形锁扣管；</w:t>
      </w:r>
      <w:r>
        <w:rPr>
          <w:sz w:val="24"/>
        </w:rPr>
        <w:t>4—</w:t>
      </w:r>
      <w:r>
        <w:rPr>
          <w:rFonts w:hAnsiTheme="minorEastAsia"/>
          <w:sz w:val="24"/>
        </w:rPr>
        <w:t>波形管；</w:t>
      </w:r>
      <w:r>
        <w:rPr>
          <w:sz w:val="24"/>
        </w:rPr>
        <w:t>5—</w:t>
      </w:r>
      <w:r>
        <w:rPr>
          <w:rFonts w:hAnsiTheme="minorEastAsia"/>
          <w:sz w:val="24"/>
        </w:rPr>
        <w:t>水平钢筋；</w:t>
      </w:r>
    </w:p>
    <w:p>
      <w:pPr>
        <w:spacing w:line="360" w:lineRule="auto"/>
        <w:jc w:val="center"/>
        <w:rPr>
          <w:rFonts w:ascii="黑体" w:hAnsi="黑体" w:eastAsia="黑体"/>
          <w:i/>
          <w:sz w:val="24"/>
        </w:rPr>
      </w:pPr>
      <w:r>
        <w:rPr>
          <w:sz w:val="24"/>
        </w:rPr>
        <w:t>6—</w:t>
      </w:r>
      <w:r>
        <w:rPr>
          <w:rFonts w:hAnsiTheme="minorEastAsia"/>
          <w:sz w:val="24"/>
        </w:rPr>
        <w:t>端头纵筋；</w:t>
      </w:r>
      <w:r>
        <w:rPr>
          <w:sz w:val="24"/>
        </w:rPr>
        <w:t>7—</w:t>
      </w:r>
      <w:r>
        <w:rPr>
          <w:rFonts w:hAnsiTheme="minorEastAsia"/>
          <w:sz w:val="24"/>
        </w:rPr>
        <w:t>工字钢接头；</w:t>
      </w:r>
      <w:r>
        <w:rPr>
          <w:sz w:val="24"/>
        </w:rPr>
        <w:t>8—</w:t>
      </w:r>
      <w:r>
        <w:rPr>
          <w:rFonts w:hAnsiTheme="minorEastAsia"/>
          <w:sz w:val="24"/>
        </w:rPr>
        <w:t>地下连续墙钢筋；</w:t>
      </w:r>
      <w:r>
        <w:rPr>
          <w:sz w:val="24"/>
        </w:rPr>
        <w:t>9—</w:t>
      </w:r>
      <w:r>
        <w:rPr>
          <w:rFonts w:hAnsiTheme="minorEastAsia"/>
          <w:sz w:val="24"/>
        </w:rPr>
        <w:t>止桨板</w:t>
      </w:r>
      <w:r>
        <w:rPr>
          <w:rFonts w:ascii="Calibri" w:hAnsi="Calibri"/>
          <w:i/>
          <w:sz w:val="24"/>
        </w:rPr>
        <w:tab/>
      </w:r>
      <w:r>
        <w:rPr>
          <w:rFonts w:ascii="黑体" w:hAnsi="黑体" w:eastAsia="黑体"/>
          <w:i/>
          <w:sz w:val="24"/>
        </w:rPr>
        <w:drawing>
          <wp:inline distT="0" distB="0" distL="0" distR="0">
            <wp:extent cx="5257800" cy="15621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246" cstate="print">
                      <a:extLst>
                        <a:ext uri="{28A0092B-C50C-407E-A947-70E740481C1C}">
                          <a14:useLocalDpi xmlns:a14="http://schemas.microsoft.com/office/drawing/2010/main" val="0"/>
                        </a:ext>
                      </a:extLst>
                    </a:blip>
                    <a:srcRect r="397" b="3529"/>
                    <a:stretch>
                      <a:fillRect/>
                    </a:stretch>
                  </pic:blipFill>
                  <pic:spPr>
                    <a:xfrm>
                      <a:off x="0" y="0"/>
                      <a:ext cx="5257800" cy="1562100"/>
                    </a:xfrm>
                    <a:prstGeom prst="rect">
                      <a:avLst/>
                    </a:prstGeom>
                    <a:noFill/>
                    <a:ln>
                      <a:noFill/>
                    </a:ln>
                  </pic:spPr>
                </pic:pic>
              </a:graphicData>
            </a:graphic>
          </wp:inline>
        </w:drawing>
      </w:r>
    </w:p>
    <w:p>
      <w:pPr>
        <w:autoSpaceDE w:val="0"/>
        <w:autoSpaceDN w:val="0"/>
        <w:adjustRightInd w:val="0"/>
        <w:spacing w:line="360" w:lineRule="auto"/>
        <w:jc w:val="center"/>
        <w:rPr>
          <w:b/>
          <w:kern w:val="0"/>
          <w:sz w:val="24"/>
        </w:rPr>
      </w:pPr>
      <w:r>
        <w:rPr>
          <w:rFonts w:hAnsiTheme="minorEastAsia"/>
          <w:b/>
          <w:kern w:val="0"/>
          <w:sz w:val="24"/>
        </w:rPr>
        <w:t>图</w:t>
      </w:r>
      <w:r>
        <w:rPr>
          <w:b/>
          <w:kern w:val="0"/>
          <w:sz w:val="24"/>
        </w:rPr>
        <w:t xml:space="preserve">2 </w:t>
      </w:r>
      <w:r>
        <w:rPr>
          <w:rFonts w:hAnsiTheme="minorEastAsia"/>
          <w:b/>
          <w:kern w:val="0"/>
          <w:sz w:val="24"/>
        </w:rPr>
        <w:t>地下连续墙刚性接头</w:t>
      </w:r>
    </w:p>
    <w:p>
      <w:pPr>
        <w:spacing w:line="360" w:lineRule="auto"/>
        <w:jc w:val="center"/>
        <w:rPr>
          <w:rFonts w:hAnsiTheme="minorEastAsia"/>
          <w:sz w:val="24"/>
        </w:rPr>
      </w:pPr>
      <w:r>
        <w:rPr>
          <w:sz w:val="24"/>
        </w:rPr>
        <w:t>1—</w:t>
      </w:r>
      <w:r>
        <w:rPr>
          <w:rFonts w:hAnsiTheme="minorEastAsia"/>
          <w:sz w:val="24"/>
        </w:rPr>
        <w:t>先行槽段；</w:t>
      </w:r>
      <w:r>
        <w:rPr>
          <w:sz w:val="24"/>
        </w:rPr>
        <w:t>2—</w:t>
      </w:r>
      <w:r>
        <w:rPr>
          <w:rFonts w:hAnsiTheme="minorEastAsia"/>
          <w:sz w:val="24"/>
        </w:rPr>
        <w:t>后续槽段；</w:t>
      </w:r>
      <w:r>
        <w:rPr>
          <w:sz w:val="24"/>
        </w:rPr>
        <w:t>3—</w:t>
      </w:r>
      <w:r>
        <w:rPr>
          <w:rFonts w:hAnsiTheme="minorEastAsia"/>
          <w:sz w:val="24"/>
        </w:rPr>
        <w:t>十字钢板；</w:t>
      </w:r>
      <w:r>
        <w:rPr>
          <w:sz w:val="24"/>
        </w:rPr>
        <w:t>4—</w:t>
      </w:r>
      <w:r>
        <w:rPr>
          <w:rFonts w:hAnsiTheme="minorEastAsia"/>
          <w:sz w:val="24"/>
        </w:rPr>
        <w:t>止桨片；</w:t>
      </w:r>
      <w:r>
        <w:rPr>
          <w:sz w:val="24"/>
        </w:rPr>
        <w:t>5—</w:t>
      </w:r>
      <w:r>
        <w:rPr>
          <w:rFonts w:hAnsiTheme="minorEastAsia"/>
          <w:sz w:val="24"/>
        </w:rPr>
        <w:t>加强筋；</w:t>
      </w:r>
      <w:r>
        <w:rPr>
          <w:sz w:val="24"/>
        </w:rPr>
        <w:t>6—</w:t>
      </w:r>
      <w:r>
        <w:rPr>
          <w:rFonts w:hAnsiTheme="minorEastAsia"/>
          <w:sz w:val="24"/>
        </w:rPr>
        <w:t>隔板</w:t>
      </w:r>
    </w:p>
    <w:p>
      <w:pPr>
        <w:spacing w:line="360" w:lineRule="auto"/>
        <w:jc w:val="center"/>
        <w:rPr>
          <w:sz w:val="24"/>
        </w:rPr>
      </w:pPr>
    </w:p>
    <w:p>
      <w:pPr>
        <w:spacing w:line="360" w:lineRule="auto"/>
        <w:jc w:val="center"/>
        <w:outlineLvl w:val="3"/>
        <w:rPr>
          <w:b/>
          <w:sz w:val="24"/>
        </w:rPr>
      </w:pPr>
      <w:bookmarkStart w:id="180" w:name="_Toc45197190"/>
      <w:r>
        <w:rPr>
          <w:b/>
          <w:sz w:val="24"/>
        </w:rPr>
        <w:t>5.12  坡率法</w:t>
      </w:r>
      <w:bookmarkEnd w:id="180"/>
    </w:p>
    <w:p>
      <w:pPr>
        <w:spacing w:line="360" w:lineRule="auto"/>
        <w:jc w:val="left"/>
        <w:rPr>
          <w:sz w:val="24"/>
        </w:rPr>
      </w:pPr>
      <w:r>
        <w:rPr>
          <w:b/>
          <w:sz w:val="24"/>
        </w:rPr>
        <w:t>5.12.1</w:t>
      </w:r>
      <w:r>
        <w:rPr>
          <w:rFonts w:hint="eastAsia"/>
          <w:sz w:val="24"/>
        </w:rPr>
        <w:t xml:space="preserve">  1 </w:t>
      </w:r>
      <w:r>
        <w:rPr>
          <w:rFonts w:hAnsi="Calibri"/>
          <w:sz w:val="24"/>
        </w:rPr>
        <w:t>坡率法是基坑开挖施工中最为简单和经济的方法，对有条件的场地宜优先考虑选用。适用条件</w:t>
      </w:r>
      <w:r>
        <w:rPr>
          <w:rFonts w:hint="eastAsia" w:hAnsi="Calibri"/>
          <w:sz w:val="24"/>
        </w:rPr>
        <w:t>：</w:t>
      </w:r>
      <w:r>
        <w:rPr>
          <w:rFonts w:hAnsi="Calibri"/>
          <w:sz w:val="24"/>
        </w:rPr>
        <w:t>首先是施工场地开阔，周边环境条件简单，具备放坡条件；其次是地下水位较深，土质较好。</w:t>
      </w:r>
    </w:p>
    <w:p>
      <w:pPr>
        <w:spacing w:line="360" w:lineRule="auto"/>
        <w:ind w:firstLine="480" w:firstLineChars="200"/>
        <w:jc w:val="left"/>
        <w:rPr>
          <w:sz w:val="24"/>
        </w:rPr>
      </w:pPr>
      <w:r>
        <w:rPr>
          <w:rFonts w:hint="eastAsia"/>
          <w:sz w:val="24"/>
        </w:rPr>
        <w:t>2</w:t>
      </w:r>
      <w:r>
        <w:rPr>
          <w:rFonts w:hint="eastAsia" w:hAnsi="Calibri"/>
          <w:sz w:val="24"/>
        </w:rPr>
        <w:t xml:space="preserve"> </w:t>
      </w:r>
      <w:r>
        <w:rPr>
          <w:rFonts w:hAnsi="Calibri"/>
          <w:sz w:val="24"/>
        </w:rPr>
        <w:t>当场地地下水位较高</w:t>
      </w:r>
      <w:r>
        <w:rPr>
          <w:rFonts w:hint="eastAsia" w:hAnsi="Calibri"/>
          <w:sz w:val="24"/>
        </w:rPr>
        <w:t>且</w:t>
      </w:r>
      <w:r>
        <w:rPr>
          <w:rFonts w:hAnsi="Calibri"/>
          <w:sz w:val="24"/>
        </w:rPr>
        <w:t>有强透水层时，应采取可靠的降水、</w:t>
      </w:r>
      <w:r>
        <w:rPr>
          <w:rFonts w:hint="eastAsia" w:hAnsi="Calibri"/>
          <w:sz w:val="24"/>
        </w:rPr>
        <w:t>截</w:t>
      </w:r>
      <w:r>
        <w:rPr>
          <w:rFonts w:hAnsi="Calibri"/>
          <w:sz w:val="24"/>
        </w:rPr>
        <w:t>水措施后，再放坡开挖，确保基坑边坡安全。</w:t>
      </w:r>
    </w:p>
    <w:p>
      <w:pPr>
        <w:spacing w:line="360" w:lineRule="auto"/>
        <w:ind w:firstLine="480" w:firstLineChars="200"/>
        <w:jc w:val="left"/>
        <w:rPr>
          <w:sz w:val="24"/>
        </w:rPr>
      </w:pPr>
      <w:r>
        <w:rPr>
          <w:rFonts w:hint="eastAsia"/>
          <w:sz w:val="24"/>
        </w:rPr>
        <w:t>4</w:t>
      </w:r>
      <w:r>
        <w:rPr>
          <w:rFonts w:hint="eastAsia" w:hAnsi="Calibri"/>
          <w:sz w:val="24"/>
        </w:rPr>
        <w:t xml:space="preserve"> </w:t>
      </w:r>
      <w:r>
        <w:rPr>
          <w:rFonts w:hAnsi="Calibri"/>
          <w:sz w:val="24"/>
        </w:rPr>
        <w:t>场地土质稍差，基坑开挖对周边环境有一定影响，单纯的坡率法设计、施工不能满足要求时，可与支挡式结构、土钉墙联合使用。</w:t>
      </w:r>
    </w:p>
    <w:p>
      <w:pPr>
        <w:spacing w:line="360" w:lineRule="auto"/>
        <w:jc w:val="left"/>
        <w:rPr>
          <w:sz w:val="24"/>
        </w:rPr>
      </w:pPr>
      <w:r>
        <w:rPr>
          <w:b/>
          <w:sz w:val="24"/>
        </w:rPr>
        <w:t>5.12.2</w:t>
      </w:r>
      <w:r>
        <w:rPr>
          <w:rFonts w:hint="eastAsia"/>
          <w:sz w:val="24"/>
        </w:rPr>
        <w:t xml:space="preserve">  4 </w:t>
      </w:r>
      <w:r>
        <w:rPr>
          <w:sz w:val="24"/>
        </w:rPr>
        <w:t>缺乏经验时，可参照</w:t>
      </w:r>
      <w:r>
        <w:rPr>
          <w:rFonts w:hint="eastAsia"/>
          <w:sz w:val="24"/>
        </w:rPr>
        <w:t>表</w:t>
      </w:r>
      <w:r>
        <w:rPr>
          <w:sz w:val="24"/>
        </w:rPr>
        <w:t>5.12.2-1、5.12.2-2确定。</w:t>
      </w:r>
    </w:p>
    <w:p>
      <w:pPr>
        <w:spacing w:line="360" w:lineRule="auto"/>
        <w:ind w:firstLine="420"/>
        <w:jc w:val="center"/>
        <w:rPr>
          <w:rFonts w:eastAsia="黑体"/>
          <w:b/>
          <w:sz w:val="24"/>
        </w:rPr>
      </w:pPr>
      <w:r>
        <w:rPr>
          <w:rFonts w:eastAsia="黑体"/>
          <w:b/>
          <w:sz w:val="24"/>
        </w:rPr>
        <w:t>表5.12.2-1　土质基坑边坡坡率参考值</w:t>
      </w:r>
    </w:p>
    <w:tbl>
      <w:tblPr>
        <w:tblStyle w:val="26"/>
        <w:tblW w:w="8972" w:type="dxa"/>
        <w:jc w:val="center"/>
        <w:tblInd w:w="-59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77"/>
        <w:gridCol w:w="2268"/>
        <w:gridCol w:w="1843"/>
        <w:gridCol w:w="1984"/>
        <w:gridCol w:w="1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77" w:type="dxa"/>
            <w:vMerge w:val="restart"/>
            <w:vAlign w:val="center"/>
          </w:tcPr>
          <w:p>
            <w:pPr>
              <w:pStyle w:val="77"/>
              <w:ind w:firstLine="0" w:firstLineChars="0"/>
              <w:jc w:val="center"/>
              <w:rPr>
                <w:rFonts w:ascii="Times New Roman"/>
                <w:szCs w:val="21"/>
              </w:rPr>
            </w:pPr>
            <w:r>
              <w:rPr>
                <w:rFonts w:ascii="Times New Roman"/>
                <w:szCs w:val="21"/>
              </w:rPr>
              <w:t>土质类别</w:t>
            </w:r>
          </w:p>
        </w:tc>
        <w:tc>
          <w:tcPr>
            <w:tcW w:w="2268" w:type="dxa"/>
            <w:vMerge w:val="restart"/>
            <w:vAlign w:val="center"/>
          </w:tcPr>
          <w:p>
            <w:pPr>
              <w:pStyle w:val="77"/>
              <w:ind w:firstLine="0" w:firstLineChars="0"/>
              <w:jc w:val="center"/>
              <w:rPr>
                <w:rFonts w:ascii="Times New Roman"/>
                <w:szCs w:val="21"/>
              </w:rPr>
            </w:pPr>
            <w:r>
              <w:rPr>
                <w:rFonts w:ascii="Times New Roman"/>
                <w:szCs w:val="21"/>
              </w:rPr>
              <w:t>状态</w:t>
            </w:r>
          </w:p>
        </w:tc>
        <w:tc>
          <w:tcPr>
            <w:tcW w:w="3827" w:type="dxa"/>
            <w:gridSpan w:val="2"/>
            <w:vAlign w:val="center"/>
          </w:tcPr>
          <w:p>
            <w:pPr>
              <w:pStyle w:val="77"/>
              <w:ind w:firstLine="0" w:firstLineChars="0"/>
              <w:jc w:val="center"/>
              <w:rPr>
                <w:rFonts w:ascii="Times New Roman"/>
                <w:szCs w:val="21"/>
              </w:rPr>
            </w:pPr>
            <w:r>
              <w:rPr>
                <w:rFonts w:ascii="Times New Roman"/>
                <w:szCs w:val="21"/>
              </w:rPr>
              <w:t>坡率参考值（高宽比）</w:t>
            </w:r>
          </w:p>
        </w:tc>
        <w:tc>
          <w:tcPr>
            <w:tcW w:w="1700" w:type="dxa"/>
            <w:vMerge w:val="restart"/>
            <w:vAlign w:val="center"/>
          </w:tcPr>
          <w:p>
            <w:pPr>
              <w:pStyle w:val="77"/>
              <w:ind w:firstLine="0" w:firstLineChars="0"/>
              <w:jc w:val="center"/>
              <w:rPr>
                <w:rFonts w:ascii="Times New Roman"/>
                <w:szCs w:val="21"/>
              </w:rPr>
            </w:pPr>
            <w:r>
              <w:rPr>
                <w:rFonts w:ascii="Times New Roman"/>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177" w:type="dxa"/>
            <w:vMerge w:val="continue"/>
            <w:vAlign w:val="center"/>
          </w:tcPr>
          <w:p>
            <w:pPr>
              <w:pStyle w:val="77"/>
              <w:ind w:firstLine="0" w:firstLineChars="0"/>
              <w:jc w:val="center"/>
              <w:rPr>
                <w:rFonts w:ascii="Times New Roman"/>
                <w:szCs w:val="21"/>
              </w:rPr>
            </w:pPr>
          </w:p>
        </w:tc>
        <w:tc>
          <w:tcPr>
            <w:tcW w:w="2268" w:type="dxa"/>
            <w:vMerge w:val="continue"/>
            <w:vAlign w:val="center"/>
          </w:tcPr>
          <w:p>
            <w:pPr>
              <w:pStyle w:val="77"/>
              <w:ind w:firstLine="0" w:firstLineChars="0"/>
              <w:jc w:val="center"/>
              <w:rPr>
                <w:rFonts w:ascii="Times New Roman"/>
                <w:szCs w:val="21"/>
              </w:rPr>
            </w:pPr>
          </w:p>
        </w:tc>
        <w:tc>
          <w:tcPr>
            <w:tcW w:w="1843" w:type="dxa"/>
            <w:vAlign w:val="center"/>
          </w:tcPr>
          <w:p>
            <w:pPr>
              <w:pStyle w:val="77"/>
              <w:ind w:firstLine="0" w:firstLineChars="0"/>
              <w:jc w:val="center"/>
              <w:rPr>
                <w:rFonts w:ascii="Times New Roman"/>
                <w:szCs w:val="21"/>
              </w:rPr>
            </w:pPr>
            <w:r>
              <w:rPr>
                <w:rFonts w:ascii="Times New Roman"/>
                <w:szCs w:val="21"/>
              </w:rPr>
              <w:t>坡高5m以内</w:t>
            </w:r>
          </w:p>
        </w:tc>
        <w:tc>
          <w:tcPr>
            <w:tcW w:w="1984" w:type="dxa"/>
            <w:vAlign w:val="center"/>
          </w:tcPr>
          <w:p>
            <w:pPr>
              <w:pStyle w:val="77"/>
              <w:ind w:firstLine="0" w:firstLineChars="0"/>
              <w:jc w:val="center"/>
              <w:rPr>
                <w:rFonts w:ascii="Times New Roman"/>
                <w:szCs w:val="21"/>
              </w:rPr>
            </w:pPr>
            <w:r>
              <w:rPr>
                <w:rFonts w:ascii="Times New Roman"/>
                <w:szCs w:val="21"/>
              </w:rPr>
              <w:t>坡高5m～10m</w:t>
            </w:r>
          </w:p>
        </w:tc>
        <w:tc>
          <w:tcPr>
            <w:tcW w:w="1700" w:type="dxa"/>
            <w:vMerge w:val="continue"/>
            <w:tcBorders>
              <w:bottom w:val="nil"/>
            </w:tcBorders>
            <w:vAlign w:val="center"/>
          </w:tcPr>
          <w:p>
            <w:pPr>
              <w:pStyle w:val="77"/>
              <w:ind w:firstLine="0" w:firstLineChars="0"/>
              <w:jc w:val="center"/>
              <w:rPr>
                <w:rFonts w:ascii="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77" w:type="dxa"/>
            <w:vAlign w:val="center"/>
          </w:tcPr>
          <w:p>
            <w:pPr>
              <w:pStyle w:val="77"/>
              <w:ind w:firstLine="0" w:firstLineChars="0"/>
              <w:jc w:val="center"/>
              <w:rPr>
                <w:rFonts w:ascii="Times New Roman"/>
                <w:szCs w:val="21"/>
              </w:rPr>
            </w:pPr>
            <w:r>
              <w:rPr>
                <w:rFonts w:ascii="Times New Roman"/>
                <w:szCs w:val="21"/>
              </w:rPr>
              <w:t>填土</w:t>
            </w:r>
          </w:p>
        </w:tc>
        <w:tc>
          <w:tcPr>
            <w:tcW w:w="2268" w:type="dxa"/>
            <w:vAlign w:val="center"/>
          </w:tcPr>
          <w:p>
            <w:pPr>
              <w:pStyle w:val="77"/>
              <w:ind w:firstLine="0" w:firstLineChars="0"/>
              <w:jc w:val="center"/>
              <w:rPr>
                <w:rFonts w:ascii="Times New Roman"/>
                <w:szCs w:val="21"/>
              </w:rPr>
            </w:pPr>
            <w:r>
              <w:rPr>
                <w:rFonts w:hint="eastAsia" w:ascii="Times New Roman"/>
                <w:szCs w:val="21"/>
              </w:rPr>
              <w:t>松散至稍</w:t>
            </w:r>
            <w:r>
              <w:rPr>
                <w:rFonts w:ascii="Times New Roman"/>
                <w:szCs w:val="21"/>
              </w:rPr>
              <w:t>密</w:t>
            </w:r>
          </w:p>
        </w:tc>
        <w:tc>
          <w:tcPr>
            <w:tcW w:w="1843" w:type="dxa"/>
            <w:vAlign w:val="center"/>
          </w:tcPr>
          <w:p>
            <w:pPr>
              <w:pStyle w:val="77"/>
              <w:ind w:firstLine="0" w:firstLineChars="0"/>
              <w:jc w:val="center"/>
              <w:rPr>
                <w:rFonts w:ascii="Times New Roman"/>
                <w:szCs w:val="21"/>
              </w:rPr>
            </w:pPr>
            <w:r>
              <w:rPr>
                <w:rFonts w:ascii="Times New Roman"/>
                <w:szCs w:val="21"/>
              </w:rPr>
              <w:t>1:</w:t>
            </w:r>
            <w:r>
              <w:rPr>
                <w:rFonts w:hint="eastAsia" w:ascii="Times New Roman"/>
                <w:szCs w:val="21"/>
              </w:rPr>
              <w:t>1.00</w:t>
            </w:r>
            <w:r>
              <w:rPr>
                <w:rFonts w:ascii="Times New Roman"/>
                <w:szCs w:val="21"/>
              </w:rPr>
              <w:t>～1:1.</w:t>
            </w:r>
            <w:r>
              <w:rPr>
                <w:rFonts w:hint="eastAsia" w:ascii="Times New Roman"/>
                <w:szCs w:val="21"/>
              </w:rPr>
              <w:t>50</w:t>
            </w:r>
          </w:p>
        </w:tc>
        <w:tc>
          <w:tcPr>
            <w:tcW w:w="1984" w:type="dxa"/>
            <w:vAlign w:val="center"/>
          </w:tcPr>
          <w:p>
            <w:pPr>
              <w:pStyle w:val="77"/>
              <w:ind w:firstLine="0" w:firstLineChars="0"/>
              <w:jc w:val="center"/>
              <w:rPr>
                <w:rFonts w:ascii="Times New Roman"/>
                <w:szCs w:val="21"/>
              </w:rPr>
            </w:pPr>
            <w:r>
              <w:rPr>
                <w:rFonts w:ascii="Times New Roman"/>
                <w:szCs w:val="21"/>
              </w:rPr>
              <w:t>—</w:t>
            </w:r>
          </w:p>
        </w:tc>
        <w:tc>
          <w:tcPr>
            <w:tcW w:w="1700" w:type="dxa"/>
            <w:vMerge w:val="restart"/>
            <w:vAlign w:val="center"/>
          </w:tcPr>
          <w:p>
            <w:pPr>
              <w:pStyle w:val="77"/>
              <w:ind w:firstLine="0" w:firstLineChars="0"/>
              <w:rPr>
                <w:rFonts w:ascii="Times New Roman"/>
                <w:szCs w:val="21"/>
              </w:rPr>
            </w:pPr>
            <w:r>
              <w:rPr>
                <w:rFonts w:ascii="Times New Roman"/>
                <w:szCs w:val="21"/>
              </w:rPr>
              <w:t>1  有经验的地区应根据经验确定稳定坡度值</w:t>
            </w:r>
          </w:p>
          <w:p>
            <w:pPr>
              <w:pStyle w:val="77"/>
              <w:ind w:firstLine="0" w:firstLineChars="0"/>
              <w:rPr>
                <w:rFonts w:ascii="Times New Roman"/>
                <w:szCs w:val="21"/>
              </w:rPr>
            </w:pPr>
            <w:r>
              <w:rPr>
                <w:rFonts w:ascii="Times New Roman"/>
                <w:szCs w:val="21"/>
              </w:rPr>
              <w:t>2  在土质不均、有软弱夹层时, 对边坡稳定性应另做验算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38" w:hRule="atLeast"/>
          <w:jc w:val="center"/>
        </w:trPr>
        <w:tc>
          <w:tcPr>
            <w:tcW w:w="1177" w:type="dxa"/>
            <w:vMerge w:val="restart"/>
            <w:vAlign w:val="center"/>
          </w:tcPr>
          <w:p>
            <w:pPr>
              <w:pStyle w:val="77"/>
              <w:ind w:firstLine="0" w:firstLineChars="0"/>
              <w:jc w:val="center"/>
              <w:rPr>
                <w:rFonts w:ascii="Times New Roman"/>
                <w:szCs w:val="21"/>
              </w:rPr>
            </w:pPr>
            <w:r>
              <w:rPr>
                <w:rFonts w:ascii="Times New Roman"/>
                <w:szCs w:val="21"/>
              </w:rPr>
              <w:t>黏性土</w:t>
            </w:r>
          </w:p>
        </w:tc>
        <w:tc>
          <w:tcPr>
            <w:tcW w:w="2268" w:type="dxa"/>
            <w:vAlign w:val="center"/>
          </w:tcPr>
          <w:p>
            <w:pPr>
              <w:pStyle w:val="77"/>
              <w:ind w:firstLine="0" w:firstLineChars="0"/>
              <w:jc w:val="center"/>
              <w:rPr>
                <w:rFonts w:ascii="Times New Roman"/>
                <w:szCs w:val="21"/>
              </w:rPr>
            </w:pPr>
            <w:r>
              <w:rPr>
                <w:rFonts w:ascii="Times New Roman"/>
                <w:szCs w:val="21"/>
              </w:rPr>
              <w:t>坚硬</w:t>
            </w:r>
          </w:p>
        </w:tc>
        <w:tc>
          <w:tcPr>
            <w:tcW w:w="1843" w:type="dxa"/>
            <w:vAlign w:val="center"/>
          </w:tcPr>
          <w:p>
            <w:pPr>
              <w:pStyle w:val="77"/>
              <w:ind w:firstLine="0" w:firstLineChars="0"/>
              <w:jc w:val="center"/>
              <w:rPr>
                <w:rFonts w:ascii="Times New Roman"/>
                <w:szCs w:val="21"/>
              </w:rPr>
            </w:pPr>
            <w:r>
              <w:rPr>
                <w:rFonts w:ascii="Times New Roman"/>
                <w:szCs w:val="21"/>
              </w:rPr>
              <w:t>1:0.</w:t>
            </w:r>
            <w:r>
              <w:rPr>
                <w:rFonts w:hint="eastAsia" w:ascii="Times New Roman"/>
                <w:szCs w:val="21"/>
              </w:rPr>
              <w:t>50</w:t>
            </w:r>
            <w:r>
              <w:rPr>
                <w:rFonts w:ascii="Times New Roman"/>
                <w:szCs w:val="21"/>
              </w:rPr>
              <w:t>～1:</w:t>
            </w:r>
            <w:r>
              <w:rPr>
                <w:rFonts w:hint="eastAsia" w:ascii="Times New Roman"/>
                <w:szCs w:val="21"/>
              </w:rPr>
              <w:t>0.75</w:t>
            </w:r>
          </w:p>
        </w:tc>
        <w:tc>
          <w:tcPr>
            <w:tcW w:w="1984" w:type="dxa"/>
            <w:vAlign w:val="center"/>
          </w:tcPr>
          <w:p>
            <w:pPr>
              <w:pStyle w:val="77"/>
              <w:ind w:firstLine="0" w:firstLineChars="0"/>
              <w:jc w:val="center"/>
              <w:rPr>
                <w:rFonts w:ascii="Times New Roman"/>
                <w:szCs w:val="21"/>
              </w:rPr>
            </w:pPr>
            <w:r>
              <w:rPr>
                <w:rFonts w:ascii="Times New Roman"/>
                <w:szCs w:val="21"/>
              </w:rPr>
              <w:t>1:</w:t>
            </w:r>
            <w:r>
              <w:rPr>
                <w:rFonts w:hint="eastAsia" w:ascii="Times New Roman"/>
                <w:szCs w:val="21"/>
              </w:rPr>
              <w:t>0.75</w:t>
            </w:r>
            <w:r>
              <w:rPr>
                <w:rFonts w:ascii="Times New Roman"/>
                <w:szCs w:val="21"/>
              </w:rPr>
              <w:t>～1:1.</w:t>
            </w:r>
            <w:r>
              <w:rPr>
                <w:rFonts w:hint="eastAsia" w:ascii="Times New Roman"/>
                <w:szCs w:val="21"/>
              </w:rPr>
              <w:t>00</w:t>
            </w:r>
          </w:p>
        </w:tc>
        <w:tc>
          <w:tcPr>
            <w:tcW w:w="1700" w:type="dxa"/>
            <w:vMerge w:val="continue"/>
            <w:vAlign w:val="center"/>
          </w:tcPr>
          <w:p>
            <w:pPr>
              <w:ind w:firstLine="420"/>
              <w:jc w:val="center"/>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46" w:hRule="atLeast"/>
          <w:jc w:val="center"/>
        </w:trPr>
        <w:tc>
          <w:tcPr>
            <w:tcW w:w="1177" w:type="dxa"/>
            <w:vMerge w:val="continue"/>
            <w:vAlign w:val="center"/>
          </w:tcPr>
          <w:p>
            <w:pPr>
              <w:pStyle w:val="77"/>
              <w:ind w:firstLine="0" w:firstLineChars="0"/>
              <w:jc w:val="center"/>
              <w:rPr>
                <w:rFonts w:ascii="Times New Roman"/>
                <w:szCs w:val="21"/>
              </w:rPr>
            </w:pPr>
          </w:p>
        </w:tc>
        <w:tc>
          <w:tcPr>
            <w:tcW w:w="2268" w:type="dxa"/>
            <w:vAlign w:val="center"/>
          </w:tcPr>
          <w:p>
            <w:pPr>
              <w:pStyle w:val="77"/>
              <w:ind w:firstLine="0" w:firstLineChars="0"/>
              <w:jc w:val="center"/>
              <w:rPr>
                <w:rFonts w:ascii="Times New Roman"/>
                <w:szCs w:val="21"/>
              </w:rPr>
            </w:pPr>
            <w:r>
              <w:rPr>
                <w:rFonts w:ascii="Times New Roman"/>
                <w:szCs w:val="21"/>
              </w:rPr>
              <w:t>硬塑</w:t>
            </w:r>
          </w:p>
        </w:tc>
        <w:tc>
          <w:tcPr>
            <w:tcW w:w="1843" w:type="dxa"/>
            <w:vAlign w:val="center"/>
          </w:tcPr>
          <w:p>
            <w:pPr>
              <w:pStyle w:val="77"/>
              <w:ind w:firstLine="0" w:firstLineChars="0"/>
              <w:jc w:val="center"/>
              <w:rPr>
                <w:rFonts w:ascii="Times New Roman"/>
                <w:szCs w:val="21"/>
              </w:rPr>
            </w:pPr>
            <w:r>
              <w:rPr>
                <w:rFonts w:ascii="Times New Roman"/>
                <w:szCs w:val="21"/>
              </w:rPr>
              <w:t>1:</w:t>
            </w:r>
            <w:r>
              <w:rPr>
                <w:rFonts w:hint="eastAsia" w:ascii="Times New Roman"/>
                <w:szCs w:val="21"/>
              </w:rPr>
              <w:t>0.75</w:t>
            </w:r>
            <w:r>
              <w:rPr>
                <w:rFonts w:ascii="Times New Roman"/>
                <w:szCs w:val="21"/>
              </w:rPr>
              <w:t>～1:1.</w:t>
            </w:r>
            <w:r>
              <w:rPr>
                <w:rFonts w:hint="eastAsia" w:ascii="Times New Roman"/>
                <w:szCs w:val="21"/>
              </w:rPr>
              <w:t>00</w:t>
            </w:r>
          </w:p>
        </w:tc>
        <w:tc>
          <w:tcPr>
            <w:tcW w:w="1984" w:type="dxa"/>
            <w:vAlign w:val="center"/>
          </w:tcPr>
          <w:p>
            <w:pPr>
              <w:pStyle w:val="77"/>
              <w:ind w:firstLine="0" w:firstLineChars="0"/>
              <w:jc w:val="center"/>
              <w:rPr>
                <w:rFonts w:ascii="Times New Roman"/>
                <w:szCs w:val="21"/>
              </w:rPr>
            </w:pPr>
            <w:r>
              <w:rPr>
                <w:rFonts w:ascii="Times New Roman"/>
                <w:szCs w:val="21"/>
              </w:rPr>
              <w:t>1:1.</w:t>
            </w:r>
            <w:r>
              <w:rPr>
                <w:rFonts w:hint="eastAsia" w:ascii="Times New Roman"/>
                <w:szCs w:val="21"/>
              </w:rPr>
              <w:t>00</w:t>
            </w:r>
            <w:r>
              <w:rPr>
                <w:rFonts w:ascii="Times New Roman"/>
                <w:szCs w:val="21"/>
              </w:rPr>
              <w:t>～1:1.</w:t>
            </w:r>
            <w:r>
              <w:rPr>
                <w:rFonts w:hint="eastAsia" w:ascii="Times New Roman"/>
                <w:szCs w:val="21"/>
              </w:rPr>
              <w:t>25</w:t>
            </w:r>
          </w:p>
        </w:tc>
        <w:tc>
          <w:tcPr>
            <w:tcW w:w="1700" w:type="dxa"/>
            <w:vMerge w:val="continue"/>
            <w:vAlign w:val="center"/>
          </w:tcPr>
          <w:p>
            <w:pPr>
              <w:ind w:firstLine="420"/>
              <w:jc w:val="center"/>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54" w:hRule="atLeast"/>
          <w:jc w:val="center"/>
        </w:trPr>
        <w:tc>
          <w:tcPr>
            <w:tcW w:w="1177" w:type="dxa"/>
            <w:vMerge w:val="continue"/>
            <w:vAlign w:val="center"/>
          </w:tcPr>
          <w:p>
            <w:pPr>
              <w:pStyle w:val="77"/>
              <w:ind w:firstLine="0" w:firstLineChars="0"/>
              <w:jc w:val="center"/>
              <w:rPr>
                <w:rFonts w:ascii="Times New Roman"/>
                <w:szCs w:val="21"/>
              </w:rPr>
            </w:pPr>
          </w:p>
        </w:tc>
        <w:tc>
          <w:tcPr>
            <w:tcW w:w="2268" w:type="dxa"/>
            <w:vAlign w:val="center"/>
          </w:tcPr>
          <w:p>
            <w:pPr>
              <w:pStyle w:val="77"/>
              <w:ind w:firstLine="0" w:firstLineChars="0"/>
              <w:jc w:val="center"/>
              <w:rPr>
                <w:rFonts w:ascii="Times New Roman"/>
                <w:szCs w:val="21"/>
              </w:rPr>
            </w:pPr>
            <w:r>
              <w:rPr>
                <w:rFonts w:ascii="Times New Roman"/>
                <w:szCs w:val="21"/>
              </w:rPr>
              <w:t>可塑</w:t>
            </w:r>
          </w:p>
        </w:tc>
        <w:tc>
          <w:tcPr>
            <w:tcW w:w="1843" w:type="dxa"/>
            <w:vAlign w:val="center"/>
          </w:tcPr>
          <w:p>
            <w:pPr>
              <w:pStyle w:val="77"/>
              <w:ind w:firstLine="0" w:firstLineChars="0"/>
              <w:jc w:val="center"/>
              <w:rPr>
                <w:rFonts w:ascii="Times New Roman"/>
                <w:szCs w:val="21"/>
              </w:rPr>
            </w:pPr>
            <w:r>
              <w:rPr>
                <w:rFonts w:ascii="Times New Roman"/>
                <w:szCs w:val="21"/>
              </w:rPr>
              <w:t>1:1.</w:t>
            </w:r>
            <w:r>
              <w:rPr>
                <w:rFonts w:hint="eastAsia" w:ascii="Times New Roman"/>
                <w:szCs w:val="21"/>
              </w:rPr>
              <w:t>00</w:t>
            </w:r>
            <w:r>
              <w:rPr>
                <w:rFonts w:ascii="Times New Roman"/>
                <w:szCs w:val="21"/>
              </w:rPr>
              <w:t>～1:1.</w:t>
            </w:r>
            <w:r>
              <w:rPr>
                <w:rFonts w:hint="eastAsia" w:ascii="Times New Roman"/>
                <w:szCs w:val="21"/>
              </w:rPr>
              <w:t>2</w:t>
            </w:r>
            <w:r>
              <w:rPr>
                <w:rFonts w:ascii="Times New Roman"/>
                <w:szCs w:val="21"/>
              </w:rPr>
              <w:t>5</w:t>
            </w:r>
          </w:p>
        </w:tc>
        <w:tc>
          <w:tcPr>
            <w:tcW w:w="1984" w:type="dxa"/>
            <w:vAlign w:val="center"/>
          </w:tcPr>
          <w:p>
            <w:pPr>
              <w:pStyle w:val="77"/>
              <w:ind w:firstLine="630" w:firstLineChars="300"/>
              <w:rPr>
                <w:rFonts w:ascii="Times New Roman"/>
                <w:szCs w:val="21"/>
              </w:rPr>
            </w:pPr>
            <w:r>
              <w:rPr>
                <w:rFonts w:ascii="Times New Roman"/>
                <w:szCs w:val="21"/>
              </w:rPr>
              <w:t>—</w:t>
            </w:r>
          </w:p>
        </w:tc>
        <w:tc>
          <w:tcPr>
            <w:tcW w:w="1700" w:type="dxa"/>
            <w:vMerge w:val="continue"/>
            <w:vAlign w:val="center"/>
          </w:tcPr>
          <w:p>
            <w:pPr>
              <w:ind w:firstLine="420"/>
              <w:jc w:val="center"/>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jc w:val="center"/>
        </w:trPr>
        <w:tc>
          <w:tcPr>
            <w:tcW w:w="1177" w:type="dxa"/>
            <w:vAlign w:val="center"/>
          </w:tcPr>
          <w:p>
            <w:pPr>
              <w:pStyle w:val="77"/>
              <w:ind w:firstLine="0" w:firstLineChars="0"/>
              <w:jc w:val="center"/>
              <w:rPr>
                <w:rFonts w:ascii="Times New Roman"/>
                <w:szCs w:val="21"/>
              </w:rPr>
            </w:pPr>
            <w:r>
              <w:rPr>
                <w:rFonts w:ascii="Times New Roman"/>
                <w:szCs w:val="21"/>
              </w:rPr>
              <w:t>粉土</w:t>
            </w:r>
          </w:p>
        </w:tc>
        <w:tc>
          <w:tcPr>
            <w:tcW w:w="2268" w:type="dxa"/>
            <w:vAlign w:val="center"/>
          </w:tcPr>
          <w:p>
            <w:pPr>
              <w:pStyle w:val="77"/>
              <w:ind w:firstLine="0" w:firstLineChars="0"/>
              <w:jc w:val="center"/>
              <w:rPr>
                <w:rFonts w:ascii="Times New Roman"/>
                <w:szCs w:val="21"/>
              </w:rPr>
            </w:pPr>
            <w:r>
              <w:rPr>
                <w:rFonts w:hint="eastAsia" w:ascii="Times New Roman"/>
                <w:szCs w:val="21"/>
              </w:rPr>
              <w:t>稍密至</w:t>
            </w:r>
            <w:r>
              <w:rPr>
                <w:rFonts w:ascii="Times New Roman"/>
                <w:szCs w:val="21"/>
              </w:rPr>
              <w:t>中密</w:t>
            </w:r>
          </w:p>
          <w:p>
            <w:pPr>
              <w:pStyle w:val="77"/>
              <w:ind w:firstLine="0" w:firstLineChars="0"/>
              <w:jc w:val="center"/>
              <w:rPr>
                <w:rFonts w:ascii="Times New Roman"/>
                <w:szCs w:val="21"/>
              </w:rPr>
            </w:pPr>
            <w:r>
              <w:rPr>
                <w:rFonts w:hint="eastAsia" w:ascii="Times New Roman"/>
                <w:szCs w:val="21"/>
              </w:rPr>
              <w:t>（</w:t>
            </w:r>
            <w:r>
              <w:rPr>
                <w:rFonts w:ascii="Times New Roman"/>
                <w:szCs w:val="21"/>
              </w:rPr>
              <w:t>地下水位以上</w:t>
            </w:r>
            <w:r>
              <w:rPr>
                <w:rFonts w:hint="eastAsia" w:ascii="Times New Roman"/>
                <w:szCs w:val="21"/>
              </w:rPr>
              <w:t>）</w:t>
            </w:r>
          </w:p>
        </w:tc>
        <w:tc>
          <w:tcPr>
            <w:tcW w:w="1843" w:type="dxa"/>
            <w:vAlign w:val="center"/>
          </w:tcPr>
          <w:p>
            <w:pPr>
              <w:pStyle w:val="77"/>
              <w:ind w:firstLine="0" w:firstLineChars="0"/>
              <w:jc w:val="center"/>
              <w:rPr>
                <w:rFonts w:ascii="Times New Roman"/>
                <w:szCs w:val="21"/>
              </w:rPr>
            </w:pPr>
            <w:r>
              <w:rPr>
                <w:rFonts w:ascii="Times New Roman"/>
                <w:szCs w:val="21"/>
              </w:rPr>
              <w:t>1:1.00～1:1.25</w:t>
            </w:r>
          </w:p>
        </w:tc>
        <w:tc>
          <w:tcPr>
            <w:tcW w:w="1984" w:type="dxa"/>
            <w:vAlign w:val="center"/>
          </w:tcPr>
          <w:p>
            <w:pPr>
              <w:pStyle w:val="77"/>
              <w:ind w:firstLine="630" w:firstLineChars="300"/>
              <w:rPr>
                <w:rFonts w:ascii="Times New Roman"/>
                <w:szCs w:val="21"/>
              </w:rPr>
            </w:pPr>
            <w:r>
              <w:rPr>
                <w:rFonts w:ascii="Times New Roman"/>
                <w:szCs w:val="21"/>
              </w:rPr>
              <w:t>—</w:t>
            </w:r>
          </w:p>
        </w:tc>
        <w:tc>
          <w:tcPr>
            <w:tcW w:w="1700" w:type="dxa"/>
            <w:vMerge w:val="continue"/>
            <w:vAlign w:val="center"/>
          </w:tcPr>
          <w:p>
            <w:pPr>
              <w:ind w:firstLine="420"/>
              <w:jc w:val="center"/>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486" w:hRule="atLeast"/>
          <w:jc w:val="center"/>
        </w:trPr>
        <w:tc>
          <w:tcPr>
            <w:tcW w:w="1177" w:type="dxa"/>
            <w:vMerge w:val="restart"/>
            <w:vAlign w:val="center"/>
          </w:tcPr>
          <w:p>
            <w:pPr>
              <w:pStyle w:val="77"/>
              <w:ind w:firstLine="0" w:firstLineChars="0"/>
              <w:jc w:val="center"/>
              <w:rPr>
                <w:rFonts w:ascii="Times New Roman"/>
                <w:szCs w:val="21"/>
              </w:rPr>
            </w:pPr>
            <w:r>
              <w:rPr>
                <w:rFonts w:ascii="Times New Roman"/>
                <w:szCs w:val="21"/>
              </w:rPr>
              <w:t>碎石土</w:t>
            </w:r>
          </w:p>
        </w:tc>
        <w:tc>
          <w:tcPr>
            <w:tcW w:w="2268" w:type="dxa"/>
            <w:vAlign w:val="center"/>
          </w:tcPr>
          <w:p>
            <w:pPr>
              <w:pStyle w:val="77"/>
              <w:ind w:firstLine="0" w:firstLineChars="0"/>
              <w:jc w:val="center"/>
              <w:rPr>
                <w:rFonts w:ascii="Times New Roman"/>
                <w:szCs w:val="21"/>
              </w:rPr>
            </w:pPr>
            <w:r>
              <w:rPr>
                <w:rFonts w:ascii="Times New Roman"/>
                <w:szCs w:val="21"/>
              </w:rPr>
              <w:t>密实</w:t>
            </w:r>
          </w:p>
        </w:tc>
        <w:tc>
          <w:tcPr>
            <w:tcW w:w="1843" w:type="dxa"/>
            <w:vAlign w:val="center"/>
          </w:tcPr>
          <w:p>
            <w:pPr>
              <w:pStyle w:val="77"/>
              <w:ind w:firstLine="0" w:firstLineChars="0"/>
              <w:jc w:val="center"/>
              <w:rPr>
                <w:rFonts w:ascii="Times New Roman"/>
                <w:szCs w:val="21"/>
              </w:rPr>
            </w:pPr>
            <w:r>
              <w:rPr>
                <w:rFonts w:ascii="Times New Roman"/>
                <w:szCs w:val="21"/>
              </w:rPr>
              <w:t>1:0.35～1:0.50</w:t>
            </w:r>
          </w:p>
        </w:tc>
        <w:tc>
          <w:tcPr>
            <w:tcW w:w="1984" w:type="dxa"/>
            <w:vAlign w:val="center"/>
          </w:tcPr>
          <w:p>
            <w:pPr>
              <w:pStyle w:val="77"/>
              <w:ind w:firstLine="0" w:firstLineChars="0"/>
              <w:jc w:val="center"/>
              <w:rPr>
                <w:rFonts w:ascii="Times New Roman"/>
                <w:szCs w:val="21"/>
              </w:rPr>
            </w:pPr>
            <w:r>
              <w:rPr>
                <w:rFonts w:ascii="Times New Roman"/>
                <w:szCs w:val="21"/>
              </w:rPr>
              <w:t>1:0.50～1:0.75</w:t>
            </w:r>
          </w:p>
        </w:tc>
        <w:tc>
          <w:tcPr>
            <w:tcW w:w="1700" w:type="dxa"/>
            <w:vMerge w:val="continue"/>
            <w:vAlign w:val="center"/>
          </w:tcPr>
          <w:p>
            <w:pPr>
              <w:ind w:firstLine="420"/>
              <w:jc w:val="center"/>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36" w:hRule="atLeast"/>
          <w:jc w:val="center"/>
        </w:trPr>
        <w:tc>
          <w:tcPr>
            <w:tcW w:w="1177" w:type="dxa"/>
            <w:vMerge w:val="continue"/>
            <w:vAlign w:val="center"/>
          </w:tcPr>
          <w:p>
            <w:pPr>
              <w:pStyle w:val="77"/>
              <w:ind w:firstLine="0" w:firstLineChars="0"/>
              <w:jc w:val="center"/>
              <w:rPr>
                <w:rFonts w:ascii="Times New Roman"/>
                <w:szCs w:val="21"/>
              </w:rPr>
            </w:pPr>
          </w:p>
        </w:tc>
        <w:tc>
          <w:tcPr>
            <w:tcW w:w="2268" w:type="dxa"/>
            <w:vAlign w:val="center"/>
          </w:tcPr>
          <w:p>
            <w:pPr>
              <w:pStyle w:val="77"/>
              <w:ind w:firstLine="0" w:firstLineChars="0"/>
              <w:jc w:val="center"/>
              <w:rPr>
                <w:rFonts w:ascii="Times New Roman"/>
                <w:szCs w:val="21"/>
              </w:rPr>
            </w:pPr>
            <w:r>
              <w:rPr>
                <w:rFonts w:ascii="Times New Roman"/>
                <w:szCs w:val="21"/>
              </w:rPr>
              <w:t>中密</w:t>
            </w:r>
          </w:p>
        </w:tc>
        <w:tc>
          <w:tcPr>
            <w:tcW w:w="1843" w:type="dxa"/>
            <w:vAlign w:val="center"/>
          </w:tcPr>
          <w:p>
            <w:pPr>
              <w:pStyle w:val="77"/>
              <w:ind w:firstLine="0" w:firstLineChars="0"/>
              <w:jc w:val="center"/>
              <w:rPr>
                <w:rFonts w:ascii="Times New Roman"/>
                <w:szCs w:val="21"/>
              </w:rPr>
            </w:pPr>
            <w:r>
              <w:rPr>
                <w:rFonts w:ascii="Times New Roman"/>
                <w:szCs w:val="21"/>
              </w:rPr>
              <w:t>1:0.50～1:0.75</w:t>
            </w:r>
          </w:p>
        </w:tc>
        <w:tc>
          <w:tcPr>
            <w:tcW w:w="1984" w:type="dxa"/>
            <w:vAlign w:val="center"/>
          </w:tcPr>
          <w:p>
            <w:pPr>
              <w:pStyle w:val="77"/>
              <w:ind w:firstLine="0" w:firstLineChars="0"/>
              <w:jc w:val="center"/>
              <w:rPr>
                <w:rFonts w:ascii="Times New Roman"/>
                <w:szCs w:val="21"/>
              </w:rPr>
            </w:pPr>
            <w:r>
              <w:rPr>
                <w:rFonts w:ascii="Times New Roman"/>
                <w:szCs w:val="21"/>
              </w:rPr>
              <w:t>1:0.75～1:1.00</w:t>
            </w:r>
          </w:p>
        </w:tc>
        <w:tc>
          <w:tcPr>
            <w:tcW w:w="1700" w:type="dxa"/>
            <w:vMerge w:val="continue"/>
            <w:vAlign w:val="center"/>
          </w:tcPr>
          <w:p>
            <w:pPr>
              <w:ind w:firstLine="420"/>
              <w:jc w:val="center"/>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cantSplit/>
          <w:trHeight w:val="558" w:hRule="atLeast"/>
          <w:jc w:val="center"/>
        </w:trPr>
        <w:tc>
          <w:tcPr>
            <w:tcW w:w="1177" w:type="dxa"/>
            <w:vMerge w:val="continue"/>
            <w:vAlign w:val="center"/>
          </w:tcPr>
          <w:p>
            <w:pPr>
              <w:pStyle w:val="77"/>
              <w:ind w:firstLine="0" w:firstLineChars="0"/>
              <w:jc w:val="center"/>
              <w:rPr>
                <w:rFonts w:ascii="Times New Roman"/>
                <w:szCs w:val="21"/>
              </w:rPr>
            </w:pPr>
          </w:p>
        </w:tc>
        <w:tc>
          <w:tcPr>
            <w:tcW w:w="2268" w:type="dxa"/>
            <w:vAlign w:val="center"/>
          </w:tcPr>
          <w:p>
            <w:pPr>
              <w:pStyle w:val="77"/>
              <w:ind w:firstLine="0" w:firstLineChars="0"/>
              <w:jc w:val="center"/>
              <w:rPr>
                <w:rFonts w:ascii="Times New Roman"/>
                <w:szCs w:val="21"/>
              </w:rPr>
            </w:pPr>
            <w:r>
              <w:rPr>
                <w:rFonts w:ascii="Times New Roman"/>
                <w:szCs w:val="21"/>
              </w:rPr>
              <w:t>稍密</w:t>
            </w:r>
          </w:p>
        </w:tc>
        <w:tc>
          <w:tcPr>
            <w:tcW w:w="1843" w:type="dxa"/>
            <w:vAlign w:val="center"/>
          </w:tcPr>
          <w:p>
            <w:pPr>
              <w:pStyle w:val="77"/>
              <w:ind w:firstLine="0" w:firstLineChars="0"/>
              <w:jc w:val="center"/>
              <w:rPr>
                <w:rFonts w:ascii="Times New Roman"/>
                <w:szCs w:val="21"/>
              </w:rPr>
            </w:pPr>
            <w:r>
              <w:rPr>
                <w:rFonts w:ascii="Times New Roman"/>
                <w:szCs w:val="21"/>
              </w:rPr>
              <w:t>1:0.75～1:1.00</w:t>
            </w:r>
          </w:p>
        </w:tc>
        <w:tc>
          <w:tcPr>
            <w:tcW w:w="1984" w:type="dxa"/>
            <w:vAlign w:val="center"/>
          </w:tcPr>
          <w:p>
            <w:pPr>
              <w:pStyle w:val="77"/>
              <w:ind w:firstLine="0" w:firstLineChars="0"/>
              <w:jc w:val="center"/>
              <w:rPr>
                <w:rFonts w:ascii="Times New Roman"/>
                <w:szCs w:val="21"/>
              </w:rPr>
            </w:pPr>
            <w:r>
              <w:rPr>
                <w:rFonts w:ascii="Times New Roman"/>
                <w:szCs w:val="21"/>
              </w:rPr>
              <w:t>1:1.00～1:1.25</w:t>
            </w:r>
          </w:p>
        </w:tc>
        <w:tc>
          <w:tcPr>
            <w:tcW w:w="1700" w:type="dxa"/>
            <w:vMerge w:val="continue"/>
            <w:vAlign w:val="center"/>
          </w:tcPr>
          <w:p>
            <w:pPr>
              <w:ind w:firstLine="420"/>
              <w:jc w:val="center"/>
              <w:rPr>
                <w:position w:val="20"/>
                <w:szCs w:val="21"/>
              </w:rPr>
            </w:pPr>
          </w:p>
        </w:tc>
      </w:tr>
    </w:tbl>
    <w:p>
      <w:pPr>
        <w:spacing w:line="360" w:lineRule="auto"/>
        <w:rPr>
          <w:szCs w:val="21"/>
        </w:rPr>
      </w:pPr>
      <w:r>
        <w:rPr>
          <w:szCs w:val="21"/>
        </w:rPr>
        <w:t>注： 1  表中碎石土的充填物为坚硬或硬塑状态的黏性土；</w:t>
      </w:r>
    </w:p>
    <w:p>
      <w:pPr>
        <w:spacing w:line="360" w:lineRule="auto"/>
        <w:ind w:firstLine="525" w:firstLineChars="250"/>
        <w:rPr>
          <w:szCs w:val="21"/>
        </w:rPr>
      </w:pPr>
      <w:r>
        <w:rPr>
          <w:szCs w:val="21"/>
        </w:rPr>
        <w:t>2  对于砂土或充填物为砂土的碎石土，其边坡允许坡率值应按照自然休止角确定</w:t>
      </w:r>
      <w:r>
        <w:rPr>
          <w:rFonts w:hint="eastAsia"/>
          <w:szCs w:val="21"/>
        </w:rPr>
        <w:t>。</w:t>
      </w:r>
    </w:p>
    <w:p>
      <w:pPr>
        <w:spacing w:line="360" w:lineRule="auto"/>
        <w:ind w:firstLine="525" w:firstLineChars="250"/>
        <w:rPr>
          <w:szCs w:val="21"/>
        </w:rPr>
      </w:pPr>
    </w:p>
    <w:p>
      <w:pPr>
        <w:spacing w:line="360" w:lineRule="auto"/>
        <w:ind w:firstLine="525" w:firstLineChars="250"/>
        <w:rPr>
          <w:szCs w:val="21"/>
        </w:rPr>
      </w:pPr>
    </w:p>
    <w:p>
      <w:pPr>
        <w:spacing w:line="360" w:lineRule="auto"/>
        <w:ind w:firstLine="525" w:firstLineChars="250"/>
        <w:rPr>
          <w:szCs w:val="21"/>
        </w:rPr>
      </w:pPr>
    </w:p>
    <w:p>
      <w:pPr>
        <w:spacing w:line="360" w:lineRule="auto"/>
        <w:ind w:firstLine="525" w:firstLineChars="250"/>
        <w:rPr>
          <w:szCs w:val="21"/>
        </w:rPr>
      </w:pPr>
    </w:p>
    <w:p>
      <w:pPr>
        <w:spacing w:line="360" w:lineRule="auto"/>
        <w:ind w:firstLine="525" w:firstLineChars="250"/>
        <w:rPr>
          <w:szCs w:val="21"/>
        </w:rPr>
      </w:pPr>
    </w:p>
    <w:p>
      <w:pPr>
        <w:spacing w:line="360" w:lineRule="auto"/>
        <w:ind w:firstLine="525" w:firstLineChars="250"/>
        <w:rPr>
          <w:szCs w:val="21"/>
        </w:rPr>
      </w:pPr>
    </w:p>
    <w:p>
      <w:pPr>
        <w:spacing w:line="360" w:lineRule="auto"/>
        <w:ind w:firstLine="525" w:firstLineChars="250"/>
        <w:rPr>
          <w:szCs w:val="21"/>
        </w:rPr>
      </w:pPr>
    </w:p>
    <w:p>
      <w:pPr>
        <w:spacing w:line="360" w:lineRule="auto"/>
        <w:ind w:firstLine="525" w:firstLineChars="250"/>
        <w:rPr>
          <w:szCs w:val="21"/>
        </w:rPr>
      </w:pPr>
    </w:p>
    <w:p>
      <w:pPr>
        <w:spacing w:line="360" w:lineRule="auto"/>
        <w:ind w:firstLine="525" w:firstLineChars="250"/>
        <w:rPr>
          <w:szCs w:val="21"/>
        </w:rPr>
      </w:pPr>
    </w:p>
    <w:p>
      <w:pPr>
        <w:spacing w:line="360" w:lineRule="auto"/>
        <w:ind w:firstLine="525" w:firstLineChars="250"/>
        <w:rPr>
          <w:szCs w:val="21"/>
        </w:rPr>
      </w:pPr>
    </w:p>
    <w:p>
      <w:pPr>
        <w:spacing w:line="360" w:lineRule="auto"/>
        <w:ind w:firstLine="525" w:firstLineChars="250"/>
        <w:rPr>
          <w:szCs w:val="21"/>
        </w:rPr>
      </w:pPr>
    </w:p>
    <w:p>
      <w:pPr>
        <w:spacing w:line="360" w:lineRule="auto"/>
        <w:ind w:firstLine="420"/>
        <w:jc w:val="center"/>
        <w:rPr>
          <w:rFonts w:eastAsia="黑体"/>
          <w:b/>
          <w:sz w:val="24"/>
        </w:rPr>
      </w:pPr>
      <w:r>
        <w:rPr>
          <w:rFonts w:eastAsia="黑体"/>
          <w:b/>
          <w:sz w:val="24"/>
        </w:rPr>
        <w:t>表5.12.2-2　岩质基坑边坡坡率参考值</w:t>
      </w:r>
    </w:p>
    <w:tbl>
      <w:tblPr>
        <w:tblStyle w:val="26"/>
        <w:tblW w:w="887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77"/>
        <w:gridCol w:w="2268"/>
        <w:gridCol w:w="1843"/>
        <w:gridCol w:w="1843"/>
        <w:gridCol w:w="174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restart"/>
            <w:vAlign w:val="center"/>
          </w:tcPr>
          <w:p>
            <w:pPr>
              <w:pStyle w:val="77"/>
              <w:ind w:firstLine="0" w:firstLineChars="0"/>
              <w:jc w:val="center"/>
              <w:rPr>
                <w:rFonts w:ascii="Times New Roman"/>
                <w:szCs w:val="21"/>
              </w:rPr>
            </w:pPr>
            <w:r>
              <w:rPr>
                <w:rFonts w:ascii="Times New Roman"/>
                <w:szCs w:val="21"/>
              </w:rPr>
              <w:t>岩体分类</w:t>
            </w:r>
          </w:p>
        </w:tc>
        <w:tc>
          <w:tcPr>
            <w:tcW w:w="2268" w:type="dxa"/>
            <w:vMerge w:val="restart"/>
            <w:vAlign w:val="center"/>
          </w:tcPr>
          <w:p>
            <w:pPr>
              <w:pStyle w:val="77"/>
              <w:ind w:firstLine="0" w:firstLineChars="0"/>
              <w:jc w:val="center"/>
              <w:rPr>
                <w:rFonts w:ascii="Times New Roman"/>
                <w:szCs w:val="21"/>
              </w:rPr>
            </w:pPr>
            <w:r>
              <w:rPr>
                <w:rFonts w:ascii="Times New Roman"/>
                <w:szCs w:val="21"/>
              </w:rPr>
              <w:t>风化程度</w:t>
            </w:r>
          </w:p>
        </w:tc>
        <w:tc>
          <w:tcPr>
            <w:tcW w:w="3686" w:type="dxa"/>
            <w:gridSpan w:val="2"/>
            <w:vAlign w:val="center"/>
          </w:tcPr>
          <w:p>
            <w:pPr>
              <w:pStyle w:val="77"/>
              <w:ind w:firstLine="0" w:firstLineChars="0"/>
              <w:jc w:val="center"/>
              <w:rPr>
                <w:rFonts w:ascii="Times New Roman"/>
                <w:szCs w:val="21"/>
              </w:rPr>
            </w:pPr>
            <w:r>
              <w:rPr>
                <w:rFonts w:ascii="Times New Roman"/>
                <w:szCs w:val="21"/>
              </w:rPr>
              <w:t>坡率容许值（高宽比）</w:t>
            </w:r>
          </w:p>
        </w:tc>
        <w:tc>
          <w:tcPr>
            <w:tcW w:w="1741" w:type="dxa"/>
            <w:vMerge w:val="restart"/>
            <w:vAlign w:val="center"/>
          </w:tcPr>
          <w:p>
            <w:pPr>
              <w:pStyle w:val="77"/>
              <w:ind w:firstLine="0" w:firstLineChars="0"/>
              <w:jc w:val="center"/>
              <w:rPr>
                <w:rFonts w:ascii="Times New Roman"/>
                <w:szCs w:val="21"/>
              </w:rPr>
            </w:pPr>
            <w:r>
              <w:rPr>
                <w:rFonts w:ascii="Times New Roman"/>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continue"/>
            <w:vAlign w:val="center"/>
          </w:tcPr>
          <w:p>
            <w:pPr>
              <w:pStyle w:val="77"/>
              <w:ind w:firstLine="0" w:firstLineChars="0"/>
              <w:jc w:val="center"/>
              <w:rPr>
                <w:rFonts w:ascii="Times New Roman"/>
                <w:szCs w:val="21"/>
              </w:rPr>
            </w:pPr>
          </w:p>
        </w:tc>
        <w:tc>
          <w:tcPr>
            <w:tcW w:w="2268" w:type="dxa"/>
            <w:vMerge w:val="continue"/>
            <w:vAlign w:val="center"/>
          </w:tcPr>
          <w:p>
            <w:pPr>
              <w:pStyle w:val="77"/>
              <w:ind w:firstLine="0" w:firstLineChars="0"/>
              <w:jc w:val="center"/>
              <w:rPr>
                <w:rFonts w:ascii="Times New Roman"/>
                <w:szCs w:val="21"/>
              </w:rPr>
            </w:pPr>
          </w:p>
        </w:tc>
        <w:tc>
          <w:tcPr>
            <w:tcW w:w="1843" w:type="dxa"/>
            <w:vAlign w:val="center"/>
          </w:tcPr>
          <w:p>
            <w:pPr>
              <w:pStyle w:val="77"/>
              <w:ind w:firstLine="0" w:firstLineChars="0"/>
              <w:jc w:val="center"/>
              <w:rPr>
                <w:rFonts w:ascii="Times New Roman"/>
                <w:szCs w:val="21"/>
              </w:rPr>
            </w:pPr>
            <w:r>
              <w:rPr>
                <w:rFonts w:ascii="Times New Roman"/>
                <w:szCs w:val="21"/>
              </w:rPr>
              <w:t>坡高8m 以内</w:t>
            </w:r>
          </w:p>
        </w:tc>
        <w:tc>
          <w:tcPr>
            <w:tcW w:w="1843" w:type="dxa"/>
            <w:vAlign w:val="center"/>
          </w:tcPr>
          <w:p>
            <w:pPr>
              <w:pStyle w:val="77"/>
              <w:ind w:firstLine="0" w:firstLineChars="0"/>
              <w:jc w:val="center"/>
              <w:rPr>
                <w:rFonts w:ascii="Times New Roman"/>
                <w:szCs w:val="21"/>
              </w:rPr>
            </w:pPr>
            <w:r>
              <w:rPr>
                <w:rFonts w:ascii="Times New Roman"/>
                <w:szCs w:val="21"/>
              </w:rPr>
              <w:t>坡高8m～15m</w:t>
            </w:r>
          </w:p>
        </w:tc>
        <w:tc>
          <w:tcPr>
            <w:tcW w:w="1741" w:type="dxa"/>
            <w:vMerge w:val="continue"/>
            <w:tcBorders>
              <w:bottom w:val="nil"/>
            </w:tcBorders>
            <w:vAlign w:val="center"/>
          </w:tcPr>
          <w:p>
            <w:pPr>
              <w:pStyle w:val="77"/>
              <w:ind w:firstLine="0" w:firstLineChars="0"/>
              <w:jc w:val="center"/>
              <w:rPr>
                <w:rFonts w:ascii="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restart"/>
            <w:vAlign w:val="center"/>
          </w:tcPr>
          <w:p>
            <w:pPr>
              <w:pStyle w:val="77"/>
              <w:ind w:firstLine="0" w:firstLineChars="0"/>
              <w:jc w:val="center"/>
              <w:rPr>
                <w:rFonts w:ascii="Times New Roman"/>
                <w:szCs w:val="21"/>
              </w:rPr>
            </w:pPr>
            <w:r>
              <w:rPr>
                <w:rFonts w:hint="eastAsia" w:hAnsi="宋体" w:cs="宋体"/>
                <w:szCs w:val="21"/>
              </w:rPr>
              <w:t>Ⅰ</w:t>
            </w:r>
            <w:r>
              <w:rPr>
                <w:rFonts w:ascii="Times New Roman"/>
                <w:szCs w:val="21"/>
              </w:rPr>
              <w:t>类</w:t>
            </w:r>
          </w:p>
        </w:tc>
        <w:tc>
          <w:tcPr>
            <w:tcW w:w="2268" w:type="dxa"/>
            <w:vAlign w:val="center"/>
          </w:tcPr>
          <w:p>
            <w:pPr>
              <w:pStyle w:val="77"/>
              <w:ind w:firstLine="420"/>
              <w:jc w:val="left"/>
              <w:rPr>
                <w:rFonts w:ascii="Times New Roman"/>
                <w:szCs w:val="21"/>
              </w:rPr>
            </w:pPr>
            <w:r>
              <w:rPr>
                <w:rFonts w:ascii="Times New Roman"/>
                <w:szCs w:val="21"/>
              </w:rPr>
              <w:t>未（微）风化</w:t>
            </w:r>
          </w:p>
        </w:tc>
        <w:tc>
          <w:tcPr>
            <w:tcW w:w="1843" w:type="dxa"/>
            <w:vAlign w:val="center"/>
          </w:tcPr>
          <w:p>
            <w:pPr>
              <w:pStyle w:val="77"/>
              <w:ind w:firstLine="0" w:firstLineChars="0"/>
              <w:jc w:val="center"/>
              <w:rPr>
                <w:rFonts w:ascii="Times New Roman"/>
                <w:szCs w:val="21"/>
              </w:rPr>
            </w:pPr>
            <w:r>
              <w:rPr>
                <w:rFonts w:ascii="Times New Roman"/>
                <w:szCs w:val="21"/>
              </w:rPr>
              <w:t>1:0.10～1:0.20</w:t>
            </w:r>
          </w:p>
        </w:tc>
        <w:tc>
          <w:tcPr>
            <w:tcW w:w="1843" w:type="dxa"/>
            <w:vAlign w:val="center"/>
          </w:tcPr>
          <w:p>
            <w:pPr>
              <w:pStyle w:val="77"/>
              <w:ind w:firstLine="0" w:firstLineChars="0"/>
              <w:jc w:val="center"/>
              <w:rPr>
                <w:rFonts w:ascii="Times New Roman"/>
                <w:szCs w:val="21"/>
              </w:rPr>
            </w:pPr>
            <w:r>
              <w:rPr>
                <w:rFonts w:ascii="Times New Roman"/>
                <w:szCs w:val="21"/>
              </w:rPr>
              <w:t>1:0.15～1:0.25</w:t>
            </w:r>
          </w:p>
        </w:tc>
        <w:tc>
          <w:tcPr>
            <w:tcW w:w="1741" w:type="dxa"/>
            <w:vMerge w:val="restart"/>
          </w:tcPr>
          <w:p>
            <w:pPr>
              <w:pStyle w:val="77"/>
              <w:ind w:firstLine="0" w:firstLineChars="0"/>
              <w:jc w:val="left"/>
              <w:rPr>
                <w:rFonts w:ascii="Times New Roman"/>
                <w:szCs w:val="21"/>
              </w:rPr>
            </w:pPr>
            <w:r>
              <w:rPr>
                <w:rFonts w:ascii="Times New Roman"/>
                <w:szCs w:val="21"/>
              </w:rPr>
              <w:t>1  有经验的地区应根据经验确定稳定坡度值</w:t>
            </w:r>
          </w:p>
          <w:p>
            <w:pPr>
              <w:pStyle w:val="77"/>
              <w:ind w:firstLine="0" w:firstLineChars="0"/>
              <w:jc w:val="left"/>
              <w:rPr>
                <w:rFonts w:ascii="Times New Roman"/>
                <w:szCs w:val="21"/>
              </w:rPr>
            </w:pPr>
            <w:r>
              <w:rPr>
                <w:rFonts w:ascii="Times New Roman"/>
                <w:szCs w:val="21"/>
              </w:rPr>
              <w:t>2  在边坡岩体构造节理发育的情况下, 对边坡稳定性应另做专门研究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continue"/>
            <w:vAlign w:val="center"/>
          </w:tcPr>
          <w:p>
            <w:pPr>
              <w:pStyle w:val="77"/>
              <w:ind w:firstLine="0" w:firstLineChars="0"/>
              <w:jc w:val="center"/>
              <w:rPr>
                <w:rFonts w:ascii="Times New Roman"/>
                <w:szCs w:val="21"/>
              </w:rPr>
            </w:pPr>
          </w:p>
        </w:tc>
        <w:tc>
          <w:tcPr>
            <w:tcW w:w="2268" w:type="dxa"/>
            <w:vAlign w:val="center"/>
          </w:tcPr>
          <w:p>
            <w:pPr>
              <w:pStyle w:val="77"/>
              <w:ind w:firstLine="420"/>
              <w:jc w:val="left"/>
              <w:rPr>
                <w:rFonts w:ascii="Times New Roman"/>
                <w:szCs w:val="21"/>
              </w:rPr>
            </w:pPr>
            <w:r>
              <w:rPr>
                <w:rFonts w:ascii="Times New Roman"/>
                <w:szCs w:val="21"/>
              </w:rPr>
              <w:t>中等风化</w:t>
            </w:r>
          </w:p>
        </w:tc>
        <w:tc>
          <w:tcPr>
            <w:tcW w:w="1843" w:type="dxa"/>
            <w:vAlign w:val="center"/>
          </w:tcPr>
          <w:p>
            <w:pPr>
              <w:pStyle w:val="77"/>
              <w:ind w:firstLine="0" w:firstLineChars="0"/>
              <w:jc w:val="left"/>
              <w:rPr>
                <w:rFonts w:ascii="Times New Roman"/>
                <w:szCs w:val="21"/>
              </w:rPr>
            </w:pPr>
            <w:r>
              <w:rPr>
                <w:rFonts w:ascii="Times New Roman"/>
                <w:szCs w:val="21"/>
              </w:rPr>
              <w:t>1:0.15～1:0.25</w:t>
            </w:r>
          </w:p>
        </w:tc>
        <w:tc>
          <w:tcPr>
            <w:tcW w:w="1843" w:type="dxa"/>
            <w:vAlign w:val="center"/>
          </w:tcPr>
          <w:p>
            <w:pPr>
              <w:pStyle w:val="77"/>
              <w:ind w:firstLine="0" w:firstLineChars="0"/>
              <w:jc w:val="center"/>
              <w:rPr>
                <w:rFonts w:ascii="Times New Roman"/>
                <w:szCs w:val="21"/>
              </w:rPr>
            </w:pPr>
            <w:r>
              <w:rPr>
                <w:rFonts w:ascii="Times New Roman"/>
                <w:szCs w:val="21"/>
              </w:rPr>
              <w:t>1:0.20～1:0.30</w:t>
            </w:r>
          </w:p>
        </w:tc>
        <w:tc>
          <w:tcPr>
            <w:tcW w:w="1741" w:type="dxa"/>
            <w:vMerge w:val="continue"/>
          </w:tcPr>
          <w:p>
            <w:pPr>
              <w:pStyle w:val="77"/>
              <w:ind w:firstLine="315" w:firstLineChars="150"/>
              <w:jc w:val="left"/>
              <w:rPr>
                <w:rFonts w:ascii="Times New Roman"/>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restart"/>
            <w:vAlign w:val="center"/>
          </w:tcPr>
          <w:p>
            <w:pPr>
              <w:pStyle w:val="77"/>
              <w:ind w:firstLine="0" w:firstLineChars="0"/>
              <w:jc w:val="center"/>
              <w:rPr>
                <w:rFonts w:ascii="Times New Roman"/>
                <w:szCs w:val="21"/>
              </w:rPr>
            </w:pPr>
            <w:r>
              <w:rPr>
                <w:rFonts w:hint="eastAsia" w:hAnsi="宋体" w:cs="宋体"/>
                <w:szCs w:val="21"/>
              </w:rPr>
              <w:t>Ⅱ</w:t>
            </w:r>
            <w:r>
              <w:rPr>
                <w:rFonts w:ascii="Times New Roman"/>
                <w:szCs w:val="21"/>
              </w:rPr>
              <w:t>类</w:t>
            </w:r>
          </w:p>
        </w:tc>
        <w:tc>
          <w:tcPr>
            <w:tcW w:w="2268" w:type="dxa"/>
            <w:vAlign w:val="center"/>
          </w:tcPr>
          <w:p>
            <w:pPr>
              <w:pStyle w:val="77"/>
              <w:ind w:firstLine="0" w:firstLineChars="0"/>
              <w:jc w:val="center"/>
              <w:rPr>
                <w:rFonts w:ascii="Times New Roman"/>
                <w:szCs w:val="21"/>
              </w:rPr>
            </w:pPr>
            <w:r>
              <w:rPr>
                <w:rFonts w:ascii="Times New Roman"/>
                <w:szCs w:val="21"/>
              </w:rPr>
              <w:t>未（微）风化</w:t>
            </w:r>
          </w:p>
        </w:tc>
        <w:tc>
          <w:tcPr>
            <w:tcW w:w="1843" w:type="dxa"/>
            <w:vAlign w:val="center"/>
          </w:tcPr>
          <w:p>
            <w:pPr>
              <w:pStyle w:val="77"/>
              <w:ind w:firstLine="0" w:firstLineChars="0"/>
              <w:jc w:val="center"/>
              <w:rPr>
                <w:rFonts w:ascii="Times New Roman"/>
                <w:szCs w:val="21"/>
              </w:rPr>
            </w:pPr>
            <w:r>
              <w:rPr>
                <w:rFonts w:ascii="Times New Roman"/>
                <w:szCs w:val="21"/>
              </w:rPr>
              <w:t>1:0.15～1:0.25</w:t>
            </w:r>
          </w:p>
        </w:tc>
        <w:tc>
          <w:tcPr>
            <w:tcW w:w="1843" w:type="dxa"/>
            <w:vAlign w:val="center"/>
          </w:tcPr>
          <w:p>
            <w:pPr>
              <w:pStyle w:val="77"/>
              <w:ind w:firstLine="0" w:firstLineChars="0"/>
              <w:jc w:val="center"/>
              <w:rPr>
                <w:rFonts w:ascii="Times New Roman"/>
                <w:szCs w:val="21"/>
              </w:rPr>
            </w:pPr>
            <w:r>
              <w:rPr>
                <w:rFonts w:ascii="Times New Roman"/>
                <w:szCs w:val="21"/>
              </w:rPr>
              <w:t>1:0.20～1:0.30</w:t>
            </w:r>
          </w:p>
        </w:tc>
        <w:tc>
          <w:tcPr>
            <w:tcW w:w="1741" w:type="dxa"/>
            <w:vMerge w:val="continue"/>
          </w:tcPr>
          <w:p>
            <w:pPr>
              <w:ind w:firstLine="420"/>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continue"/>
            <w:vAlign w:val="center"/>
          </w:tcPr>
          <w:p>
            <w:pPr>
              <w:pStyle w:val="77"/>
              <w:ind w:firstLine="0" w:firstLineChars="0"/>
              <w:jc w:val="center"/>
              <w:rPr>
                <w:rFonts w:ascii="Times New Roman"/>
                <w:szCs w:val="21"/>
              </w:rPr>
            </w:pPr>
          </w:p>
        </w:tc>
        <w:tc>
          <w:tcPr>
            <w:tcW w:w="2268" w:type="dxa"/>
            <w:vAlign w:val="center"/>
          </w:tcPr>
          <w:p>
            <w:pPr>
              <w:pStyle w:val="77"/>
              <w:ind w:firstLine="0" w:firstLineChars="0"/>
              <w:jc w:val="center"/>
              <w:rPr>
                <w:rFonts w:ascii="Times New Roman"/>
                <w:szCs w:val="21"/>
              </w:rPr>
            </w:pPr>
            <w:r>
              <w:rPr>
                <w:rFonts w:ascii="Times New Roman"/>
                <w:szCs w:val="21"/>
              </w:rPr>
              <w:t>中等风化</w:t>
            </w:r>
          </w:p>
        </w:tc>
        <w:tc>
          <w:tcPr>
            <w:tcW w:w="1843" w:type="dxa"/>
            <w:vAlign w:val="center"/>
          </w:tcPr>
          <w:p>
            <w:pPr>
              <w:pStyle w:val="77"/>
              <w:ind w:firstLine="0" w:firstLineChars="0"/>
              <w:jc w:val="center"/>
              <w:rPr>
                <w:rFonts w:ascii="Times New Roman"/>
                <w:szCs w:val="21"/>
              </w:rPr>
            </w:pPr>
            <w:r>
              <w:rPr>
                <w:rFonts w:ascii="Times New Roman"/>
                <w:szCs w:val="21"/>
              </w:rPr>
              <w:t>1:0.20～1:0.30</w:t>
            </w:r>
          </w:p>
        </w:tc>
        <w:tc>
          <w:tcPr>
            <w:tcW w:w="1843" w:type="dxa"/>
            <w:vAlign w:val="center"/>
          </w:tcPr>
          <w:p>
            <w:pPr>
              <w:pStyle w:val="77"/>
              <w:ind w:firstLine="0" w:firstLineChars="0"/>
              <w:jc w:val="center"/>
              <w:rPr>
                <w:rFonts w:ascii="Times New Roman"/>
                <w:szCs w:val="21"/>
              </w:rPr>
            </w:pPr>
            <w:r>
              <w:rPr>
                <w:rFonts w:ascii="Times New Roman"/>
                <w:szCs w:val="21"/>
              </w:rPr>
              <w:t>1:0.25～1:0.35</w:t>
            </w:r>
          </w:p>
        </w:tc>
        <w:tc>
          <w:tcPr>
            <w:tcW w:w="1741" w:type="dxa"/>
            <w:vMerge w:val="continue"/>
          </w:tcPr>
          <w:p>
            <w:pPr>
              <w:ind w:firstLine="420"/>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restart"/>
            <w:vAlign w:val="center"/>
          </w:tcPr>
          <w:p>
            <w:pPr>
              <w:pStyle w:val="77"/>
              <w:ind w:firstLine="0" w:firstLineChars="0"/>
              <w:jc w:val="center"/>
              <w:rPr>
                <w:rFonts w:ascii="Times New Roman"/>
                <w:szCs w:val="21"/>
              </w:rPr>
            </w:pPr>
            <w:r>
              <w:rPr>
                <w:rFonts w:hint="eastAsia" w:hAnsi="宋体" w:cs="宋体"/>
                <w:szCs w:val="21"/>
              </w:rPr>
              <w:t>Ⅲ</w:t>
            </w:r>
            <w:r>
              <w:rPr>
                <w:rFonts w:ascii="Times New Roman"/>
                <w:szCs w:val="21"/>
              </w:rPr>
              <w:t>类</w:t>
            </w:r>
          </w:p>
        </w:tc>
        <w:tc>
          <w:tcPr>
            <w:tcW w:w="2268" w:type="dxa"/>
            <w:vAlign w:val="center"/>
          </w:tcPr>
          <w:p>
            <w:pPr>
              <w:pStyle w:val="77"/>
              <w:ind w:firstLine="0" w:firstLineChars="0"/>
              <w:jc w:val="center"/>
              <w:rPr>
                <w:rFonts w:ascii="Times New Roman"/>
                <w:szCs w:val="21"/>
              </w:rPr>
            </w:pPr>
            <w:r>
              <w:rPr>
                <w:rFonts w:ascii="Times New Roman"/>
                <w:szCs w:val="21"/>
              </w:rPr>
              <w:t>未（微）风化</w:t>
            </w:r>
          </w:p>
        </w:tc>
        <w:tc>
          <w:tcPr>
            <w:tcW w:w="1843" w:type="dxa"/>
            <w:vAlign w:val="center"/>
          </w:tcPr>
          <w:p>
            <w:pPr>
              <w:pStyle w:val="77"/>
              <w:ind w:firstLine="0" w:firstLineChars="0"/>
              <w:jc w:val="center"/>
              <w:rPr>
                <w:rFonts w:ascii="Times New Roman"/>
                <w:szCs w:val="21"/>
              </w:rPr>
            </w:pPr>
            <w:r>
              <w:rPr>
                <w:rFonts w:ascii="Times New Roman"/>
                <w:szCs w:val="21"/>
              </w:rPr>
              <w:t>1:0.25～1:0.35</w:t>
            </w:r>
          </w:p>
        </w:tc>
        <w:tc>
          <w:tcPr>
            <w:tcW w:w="1843" w:type="dxa"/>
            <w:vAlign w:val="center"/>
          </w:tcPr>
          <w:p>
            <w:pPr>
              <w:pStyle w:val="77"/>
              <w:ind w:firstLine="0" w:firstLineChars="0"/>
              <w:jc w:val="center"/>
              <w:rPr>
                <w:rFonts w:ascii="Times New Roman"/>
                <w:szCs w:val="21"/>
              </w:rPr>
            </w:pPr>
            <w:r>
              <w:rPr>
                <w:rFonts w:ascii="Times New Roman"/>
                <w:szCs w:val="21"/>
              </w:rPr>
              <w:t>1:0.35～1:0.50</w:t>
            </w:r>
          </w:p>
        </w:tc>
        <w:tc>
          <w:tcPr>
            <w:tcW w:w="1741" w:type="dxa"/>
            <w:vMerge w:val="continue"/>
          </w:tcPr>
          <w:p>
            <w:pPr>
              <w:ind w:firstLine="420"/>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continue"/>
            <w:vAlign w:val="center"/>
          </w:tcPr>
          <w:p>
            <w:pPr>
              <w:pStyle w:val="77"/>
              <w:ind w:firstLine="0" w:firstLineChars="0"/>
              <w:jc w:val="center"/>
              <w:rPr>
                <w:rFonts w:ascii="Times New Roman"/>
                <w:szCs w:val="21"/>
              </w:rPr>
            </w:pPr>
          </w:p>
        </w:tc>
        <w:tc>
          <w:tcPr>
            <w:tcW w:w="2268" w:type="dxa"/>
            <w:vAlign w:val="center"/>
          </w:tcPr>
          <w:p>
            <w:pPr>
              <w:pStyle w:val="77"/>
              <w:ind w:firstLine="0" w:firstLineChars="0"/>
              <w:jc w:val="center"/>
              <w:rPr>
                <w:rFonts w:ascii="Times New Roman"/>
                <w:szCs w:val="21"/>
              </w:rPr>
            </w:pPr>
            <w:r>
              <w:rPr>
                <w:rFonts w:ascii="Times New Roman"/>
                <w:szCs w:val="21"/>
              </w:rPr>
              <w:t>中等风化</w:t>
            </w:r>
          </w:p>
        </w:tc>
        <w:tc>
          <w:tcPr>
            <w:tcW w:w="1843" w:type="dxa"/>
            <w:vAlign w:val="center"/>
          </w:tcPr>
          <w:p>
            <w:pPr>
              <w:pStyle w:val="77"/>
              <w:ind w:firstLine="0" w:firstLineChars="0"/>
              <w:jc w:val="center"/>
              <w:rPr>
                <w:rFonts w:ascii="Times New Roman"/>
                <w:szCs w:val="21"/>
              </w:rPr>
            </w:pPr>
            <w:r>
              <w:rPr>
                <w:rFonts w:ascii="Times New Roman"/>
                <w:szCs w:val="21"/>
              </w:rPr>
              <w:t>1:0.35～1:0.50</w:t>
            </w:r>
          </w:p>
        </w:tc>
        <w:tc>
          <w:tcPr>
            <w:tcW w:w="1843" w:type="dxa"/>
            <w:vAlign w:val="center"/>
          </w:tcPr>
          <w:p>
            <w:pPr>
              <w:pStyle w:val="77"/>
              <w:ind w:firstLine="0" w:firstLineChars="0"/>
              <w:jc w:val="center"/>
              <w:rPr>
                <w:rFonts w:ascii="Times New Roman"/>
                <w:szCs w:val="21"/>
              </w:rPr>
            </w:pPr>
            <w:r>
              <w:rPr>
                <w:rFonts w:ascii="Times New Roman"/>
                <w:szCs w:val="21"/>
              </w:rPr>
              <w:t>1:0.50～1:0.75</w:t>
            </w:r>
          </w:p>
        </w:tc>
        <w:tc>
          <w:tcPr>
            <w:tcW w:w="1741" w:type="dxa"/>
            <w:vMerge w:val="continue"/>
          </w:tcPr>
          <w:p>
            <w:pPr>
              <w:ind w:firstLine="420"/>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restart"/>
            <w:vAlign w:val="center"/>
          </w:tcPr>
          <w:p>
            <w:pPr>
              <w:pStyle w:val="77"/>
              <w:ind w:firstLine="0" w:firstLineChars="0"/>
              <w:jc w:val="center"/>
              <w:rPr>
                <w:rFonts w:ascii="Times New Roman"/>
                <w:szCs w:val="21"/>
              </w:rPr>
            </w:pPr>
            <w:r>
              <w:rPr>
                <w:rFonts w:hint="eastAsia" w:hAnsi="宋体" w:cs="宋体"/>
                <w:szCs w:val="21"/>
              </w:rPr>
              <w:t>Ⅳ</w:t>
            </w:r>
            <w:r>
              <w:rPr>
                <w:rFonts w:ascii="Times New Roman"/>
                <w:szCs w:val="21"/>
              </w:rPr>
              <w:t>类</w:t>
            </w:r>
          </w:p>
        </w:tc>
        <w:tc>
          <w:tcPr>
            <w:tcW w:w="2268" w:type="dxa"/>
            <w:vAlign w:val="center"/>
          </w:tcPr>
          <w:p>
            <w:pPr>
              <w:pStyle w:val="77"/>
              <w:ind w:firstLine="0" w:firstLineChars="0"/>
              <w:jc w:val="center"/>
              <w:rPr>
                <w:rFonts w:ascii="Times New Roman"/>
                <w:szCs w:val="21"/>
              </w:rPr>
            </w:pPr>
            <w:r>
              <w:rPr>
                <w:rFonts w:ascii="Times New Roman"/>
                <w:szCs w:val="21"/>
              </w:rPr>
              <w:t>中等风化</w:t>
            </w:r>
          </w:p>
        </w:tc>
        <w:tc>
          <w:tcPr>
            <w:tcW w:w="1843" w:type="dxa"/>
            <w:vAlign w:val="center"/>
          </w:tcPr>
          <w:p>
            <w:pPr>
              <w:pStyle w:val="77"/>
              <w:ind w:firstLine="0" w:firstLineChars="0"/>
              <w:jc w:val="center"/>
              <w:rPr>
                <w:rFonts w:ascii="Times New Roman"/>
                <w:szCs w:val="21"/>
              </w:rPr>
            </w:pPr>
            <w:r>
              <w:rPr>
                <w:rFonts w:ascii="Times New Roman"/>
                <w:szCs w:val="21"/>
              </w:rPr>
              <w:t>1:0.50～1:0.75</w:t>
            </w:r>
          </w:p>
        </w:tc>
        <w:tc>
          <w:tcPr>
            <w:tcW w:w="1843" w:type="dxa"/>
            <w:vAlign w:val="center"/>
          </w:tcPr>
          <w:p>
            <w:pPr>
              <w:pStyle w:val="77"/>
              <w:ind w:firstLine="0" w:firstLineChars="0"/>
              <w:jc w:val="center"/>
              <w:rPr>
                <w:rFonts w:ascii="Times New Roman"/>
                <w:szCs w:val="21"/>
              </w:rPr>
            </w:pPr>
            <w:r>
              <w:rPr>
                <w:rFonts w:ascii="Times New Roman"/>
                <w:szCs w:val="21"/>
              </w:rPr>
              <w:t>1:0.75～1:1.00</w:t>
            </w:r>
          </w:p>
        </w:tc>
        <w:tc>
          <w:tcPr>
            <w:tcW w:w="1741" w:type="dxa"/>
            <w:vMerge w:val="continue"/>
          </w:tcPr>
          <w:p>
            <w:pPr>
              <w:ind w:firstLine="420"/>
              <w:rPr>
                <w:position w:val="2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7" w:hRule="atLeast"/>
          <w:jc w:val="center"/>
        </w:trPr>
        <w:tc>
          <w:tcPr>
            <w:tcW w:w="1177" w:type="dxa"/>
            <w:vMerge w:val="continue"/>
            <w:vAlign w:val="center"/>
          </w:tcPr>
          <w:p>
            <w:pPr>
              <w:pStyle w:val="77"/>
              <w:ind w:firstLine="0" w:firstLineChars="0"/>
              <w:jc w:val="center"/>
              <w:rPr>
                <w:rFonts w:ascii="Times New Roman"/>
                <w:szCs w:val="21"/>
              </w:rPr>
            </w:pPr>
          </w:p>
        </w:tc>
        <w:tc>
          <w:tcPr>
            <w:tcW w:w="2268" w:type="dxa"/>
            <w:vAlign w:val="center"/>
          </w:tcPr>
          <w:p>
            <w:pPr>
              <w:pStyle w:val="77"/>
              <w:ind w:firstLine="0" w:firstLineChars="0"/>
              <w:jc w:val="center"/>
              <w:rPr>
                <w:rFonts w:ascii="Times New Roman"/>
                <w:szCs w:val="21"/>
              </w:rPr>
            </w:pPr>
            <w:r>
              <w:rPr>
                <w:rFonts w:ascii="Times New Roman"/>
                <w:szCs w:val="21"/>
              </w:rPr>
              <w:t>强风化</w:t>
            </w:r>
          </w:p>
        </w:tc>
        <w:tc>
          <w:tcPr>
            <w:tcW w:w="1843" w:type="dxa"/>
            <w:vAlign w:val="center"/>
          </w:tcPr>
          <w:p>
            <w:pPr>
              <w:pStyle w:val="77"/>
              <w:ind w:firstLine="0" w:firstLineChars="0"/>
              <w:jc w:val="center"/>
              <w:rPr>
                <w:rFonts w:ascii="Times New Roman"/>
                <w:szCs w:val="21"/>
              </w:rPr>
            </w:pPr>
            <w:r>
              <w:rPr>
                <w:rFonts w:ascii="Times New Roman"/>
                <w:szCs w:val="21"/>
              </w:rPr>
              <w:t>1:0.75～1:1.00</w:t>
            </w:r>
          </w:p>
        </w:tc>
        <w:tc>
          <w:tcPr>
            <w:tcW w:w="1843" w:type="dxa"/>
            <w:vAlign w:val="center"/>
          </w:tcPr>
          <w:p>
            <w:pPr>
              <w:pStyle w:val="77"/>
              <w:ind w:firstLine="0" w:firstLineChars="0"/>
              <w:jc w:val="center"/>
              <w:rPr>
                <w:rFonts w:ascii="Times New Roman"/>
                <w:szCs w:val="21"/>
              </w:rPr>
            </w:pPr>
            <w:r>
              <w:rPr>
                <w:rFonts w:ascii="Times New Roman"/>
                <w:szCs w:val="21"/>
              </w:rPr>
              <w:t>—</w:t>
            </w:r>
          </w:p>
        </w:tc>
        <w:tc>
          <w:tcPr>
            <w:tcW w:w="1741" w:type="dxa"/>
            <w:vMerge w:val="continue"/>
          </w:tcPr>
          <w:p>
            <w:pPr>
              <w:ind w:firstLine="420"/>
              <w:rPr>
                <w:position w:val="20"/>
                <w:szCs w:val="21"/>
              </w:rPr>
            </w:pPr>
          </w:p>
        </w:tc>
      </w:tr>
    </w:tbl>
    <w:p>
      <w:pPr>
        <w:spacing w:line="360" w:lineRule="auto"/>
        <w:ind w:firstLine="525" w:firstLineChars="250"/>
        <w:rPr>
          <w:szCs w:val="21"/>
        </w:rPr>
      </w:pPr>
      <w:r>
        <w:rPr>
          <w:szCs w:val="21"/>
        </w:rPr>
        <w:t xml:space="preserve">注：1  </w:t>
      </w:r>
      <w:r>
        <w:rPr>
          <w:rFonts w:hint="eastAsia" w:ascii="宋体" w:hAnsi="宋体" w:cs="宋体"/>
          <w:szCs w:val="21"/>
        </w:rPr>
        <w:t>Ⅳ</w:t>
      </w:r>
      <w:r>
        <w:rPr>
          <w:szCs w:val="21"/>
        </w:rPr>
        <w:t>类强风化包括各类风化程度的极软岩；</w:t>
      </w:r>
    </w:p>
    <w:p>
      <w:pPr>
        <w:spacing w:line="360" w:lineRule="auto"/>
        <w:ind w:firstLine="525" w:firstLineChars="250"/>
        <w:rPr>
          <w:szCs w:val="21"/>
        </w:rPr>
      </w:pPr>
      <w:r>
        <w:rPr>
          <w:szCs w:val="21"/>
        </w:rPr>
        <w:t xml:space="preserve">    2  全风化岩体可按土质基坑边坡允许坡率取值；</w:t>
      </w:r>
    </w:p>
    <w:p>
      <w:pPr>
        <w:spacing w:line="360" w:lineRule="auto"/>
        <w:ind w:firstLine="525" w:firstLineChars="250"/>
        <w:rPr>
          <w:szCs w:val="21"/>
        </w:rPr>
      </w:pPr>
      <w:r>
        <w:rPr>
          <w:szCs w:val="21"/>
        </w:rPr>
        <w:t xml:space="preserve">    3  对于有可能发生顺层滑动的顺向边坡，放坡坡度不宜大于岩层倾角</w:t>
      </w:r>
      <w:r>
        <w:rPr>
          <w:rFonts w:hint="eastAsia"/>
          <w:szCs w:val="21"/>
        </w:rPr>
        <w:t>。</w:t>
      </w:r>
    </w:p>
    <w:p>
      <w:pPr>
        <w:spacing w:line="360" w:lineRule="auto"/>
        <w:rPr>
          <w:sz w:val="24"/>
        </w:rPr>
      </w:pPr>
      <w:r>
        <w:rPr>
          <w:sz w:val="24"/>
        </w:rPr>
        <w:t>5.12.3</w:t>
      </w:r>
      <w:r>
        <w:rPr>
          <w:rFonts w:hint="eastAsia"/>
          <w:sz w:val="24"/>
        </w:rPr>
        <w:t xml:space="preserve">  </w:t>
      </w:r>
      <w:r>
        <w:rPr>
          <w:rFonts w:hAnsi="Calibri"/>
          <w:sz w:val="24"/>
        </w:rPr>
        <w:t>对土质边坡和软质岩石边坡坡面的保护必须及时进行</w:t>
      </w:r>
      <w:r>
        <w:rPr>
          <w:sz w:val="24"/>
        </w:rPr>
        <w:t xml:space="preserve">, </w:t>
      </w:r>
      <w:r>
        <w:rPr>
          <w:rFonts w:hAnsi="Calibri"/>
          <w:sz w:val="24"/>
        </w:rPr>
        <w:t>尽可能减少暴露时间</w:t>
      </w:r>
      <w:r>
        <w:rPr>
          <w:sz w:val="24"/>
        </w:rPr>
        <w:t xml:space="preserve">, </w:t>
      </w:r>
      <w:r>
        <w:rPr>
          <w:rFonts w:hAnsi="Calibri"/>
          <w:sz w:val="24"/>
        </w:rPr>
        <w:t>防止土、岩体软化、风化。</w:t>
      </w:r>
    </w:p>
    <w:p>
      <w:pPr>
        <w:tabs>
          <w:tab w:val="left" w:pos="0"/>
        </w:tabs>
        <w:spacing w:line="360" w:lineRule="auto"/>
        <w:ind w:firstLine="420" w:firstLineChars="200"/>
        <w:jc w:val="left"/>
      </w:pPr>
    </w:p>
    <w:p>
      <w:pPr>
        <w:spacing w:line="360" w:lineRule="auto"/>
        <w:jc w:val="center"/>
        <w:outlineLvl w:val="0"/>
        <w:rPr>
          <w:sz w:val="28"/>
          <w:szCs w:val="28"/>
        </w:rPr>
        <w:sectPr>
          <w:pgSz w:w="11907" w:h="16840"/>
          <w:pgMar w:top="1418" w:right="1134" w:bottom="1134" w:left="1701" w:header="851" w:footer="851" w:gutter="0"/>
          <w:cols w:space="720" w:num="1"/>
          <w:docGrid w:linePitch="312" w:charSpace="0"/>
        </w:sectPr>
      </w:pPr>
    </w:p>
    <w:p>
      <w:pPr>
        <w:tabs>
          <w:tab w:val="center" w:pos="4536"/>
          <w:tab w:val="left" w:pos="6436"/>
        </w:tabs>
        <w:spacing w:line="360" w:lineRule="auto"/>
        <w:jc w:val="center"/>
        <w:outlineLvl w:val="2"/>
        <w:rPr>
          <w:b/>
          <w:sz w:val="28"/>
          <w:szCs w:val="28"/>
        </w:rPr>
      </w:pPr>
      <w:bookmarkStart w:id="181" w:name="_Toc45197191"/>
      <w:r>
        <w:rPr>
          <w:b/>
          <w:sz w:val="28"/>
          <w:szCs w:val="28"/>
        </w:rPr>
        <w:t>6  特殊条件基坑</w:t>
      </w:r>
      <w:bookmarkEnd w:id="181"/>
    </w:p>
    <w:p>
      <w:pPr>
        <w:spacing w:line="360" w:lineRule="auto"/>
        <w:jc w:val="center"/>
        <w:outlineLvl w:val="3"/>
        <w:rPr>
          <w:b/>
          <w:sz w:val="24"/>
        </w:rPr>
      </w:pPr>
      <w:bookmarkStart w:id="182" w:name="_Toc45197192"/>
      <w:r>
        <w:rPr>
          <w:b/>
          <w:sz w:val="24"/>
        </w:rPr>
        <w:t>6.1  软土基坑</w:t>
      </w:r>
      <w:bookmarkEnd w:id="182"/>
    </w:p>
    <w:p>
      <w:pPr>
        <w:spacing w:line="360" w:lineRule="auto"/>
        <w:jc w:val="left"/>
        <w:rPr>
          <w:sz w:val="24"/>
        </w:rPr>
      </w:pPr>
      <w:r>
        <w:rPr>
          <w:rFonts w:hint="eastAsia"/>
          <w:b/>
          <w:sz w:val="24"/>
        </w:rPr>
        <w:t xml:space="preserve">6.1.6  </w:t>
      </w:r>
      <w:r>
        <w:rPr>
          <w:sz w:val="24"/>
        </w:rPr>
        <w:t>在灵敏度较高的软土基坑中施工，振动控制是基坑安全最主要的环节。位于交通干道的基坑工程，对振动源控制比较困难，可对土的强度指标进行折减、采用对土层扰动较小的施工工艺和工法，并主要以控制施工速度、孔隙水压力来减少对土体强度的影响。</w:t>
      </w:r>
    </w:p>
    <w:p>
      <w:pPr>
        <w:spacing w:line="360" w:lineRule="auto"/>
        <w:jc w:val="center"/>
        <w:outlineLvl w:val="3"/>
        <w:rPr>
          <w:b/>
          <w:sz w:val="24"/>
        </w:rPr>
      </w:pPr>
      <w:bookmarkStart w:id="183" w:name="_Toc45197193"/>
      <w:r>
        <w:rPr>
          <w:b/>
          <w:sz w:val="24"/>
        </w:rPr>
        <w:t>6.3  土岩组合基坑</w:t>
      </w:r>
      <w:bookmarkEnd w:id="183"/>
    </w:p>
    <w:p>
      <w:pPr>
        <w:spacing w:line="360" w:lineRule="auto"/>
        <w:jc w:val="left"/>
        <w:rPr>
          <w:sz w:val="24"/>
        </w:rPr>
      </w:pPr>
      <w:r>
        <w:rPr>
          <w:rFonts w:hint="eastAsia"/>
          <w:b/>
          <w:sz w:val="24"/>
        </w:rPr>
        <w:t xml:space="preserve">6.3.1  </w:t>
      </w:r>
      <w:r>
        <w:rPr>
          <w:sz w:val="24"/>
        </w:rPr>
        <w:t>土岩组合基坑一般</w:t>
      </w:r>
      <w:r>
        <w:rPr>
          <w:rFonts w:hint="eastAsia"/>
          <w:sz w:val="24"/>
        </w:rPr>
        <w:t>具有</w:t>
      </w:r>
      <w:r>
        <w:rPr>
          <w:sz w:val="24"/>
        </w:rPr>
        <w:t>以下特点：</w:t>
      </w:r>
    </w:p>
    <w:p>
      <w:pPr>
        <w:spacing w:line="360" w:lineRule="auto"/>
        <w:ind w:firstLine="480" w:firstLineChars="200"/>
        <w:jc w:val="left"/>
        <w:rPr>
          <w:sz w:val="24"/>
        </w:rPr>
      </w:pPr>
      <w:r>
        <w:rPr>
          <w:sz w:val="24"/>
        </w:rPr>
        <w:t>1  岩体和土体两种介质差异较大，很难用一种计算模型来解决问题；</w:t>
      </w:r>
    </w:p>
    <w:p>
      <w:pPr>
        <w:spacing w:line="360" w:lineRule="auto"/>
        <w:ind w:firstLine="480" w:firstLineChars="200"/>
        <w:jc w:val="left"/>
        <w:rPr>
          <w:sz w:val="24"/>
        </w:rPr>
      </w:pPr>
      <w:r>
        <w:rPr>
          <w:sz w:val="24"/>
        </w:rPr>
        <w:t>2  这类基坑受施工工艺限制，支护类型比较复杂；</w:t>
      </w:r>
    </w:p>
    <w:p>
      <w:pPr>
        <w:spacing w:line="360" w:lineRule="auto"/>
        <w:ind w:firstLine="480" w:firstLineChars="200"/>
        <w:jc w:val="left"/>
        <w:rPr>
          <w:sz w:val="24"/>
        </w:rPr>
      </w:pPr>
      <w:r>
        <w:rPr>
          <w:rFonts w:hint="eastAsia"/>
          <w:sz w:val="24"/>
        </w:rPr>
        <w:t>3</w:t>
      </w:r>
      <w:r>
        <w:rPr>
          <w:sz w:val="24"/>
        </w:rPr>
        <w:t xml:space="preserve">  岩体部分的开挖爆破方式对基坑支护结构稳定性影响较大，必须对爆破采取控制措施；</w:t>
      </w:r>
    </w:p>
    <w:p>
      <w:pPr>
        <w:spacing w:line="360" w:lineRule="auto"/>
        <w:ind w:firstLine="480" w:firstLineChars="200"/>
        <w:jc w:val="left"/>
        <w:rPr>
          <w:sz w:val="24"/>
        </w:rPr>
      </w:pPr>
      <w:r>
        <w:rPr>
          <w:rFonts w:hint="eastAsia"/>
          <w:sz w:val="24"/>
        </w:rPr>
        <w:t>4</w:t>
      </w:r>
      <w:r>
        <w:rPr>
          <w:sz w:val="24"/>
        </w:rPr>
        <w:t xml:space="preserve">  同一个基坑中支护类型多样化，由于基岩面起伏，基坑支护应分区、分段按不同类型的支护方式进行设计。</w:t>
      </w:r>
    </w:p>
    <w:p>
      <w:pPr>
        <w:spacing w:line="360" w:lineRule="auto"/>
        <w:jc w:val="left"/>
        <w:rPr>
          <w:sz w:val="24"/>
        </w:rPr>
      </w:pPr>
      <w:r>
        <w:rPr>
          <w:rFonts w:hint="eastAsia"/>
          <w:b/>
          <w:sz w:val="24"/>
        </w:rPr>
        <w:t xml:space="preserve">6.3.2 </w:t>
      </w:r>
      <w:r>
        <w:rPr>
          <w:rFonts w:hint="eastAsia"/>
          <w:sz w:val="24"/>
        </w:rPr>
        <w:t xml:space="preserve"> </w:t>
      </w:r>
      <w:r>
        <w:rPr>
          <w:sz w:val="24"/>
        </w:rPr>
        <w:t>岩体结构类型、结构面性状及其与坡面</w:t>
      </w:r>
      <w:r>
        <w:rPr>
          <w:rFonts w:hint="eastAsia"/>
          <w:sz w:val="24"/>
        </w:rPr>
        <w:t>组合</w:t>
      </w:r>
      <w:r>
        <w:rPr>
          <w:sz w:val="24"/>
        </w:rPr>
        <w:t>关系是岩质边坡稳定的</w:t>
      </w:r>
      <w:r>
        <w:rPr>
          <w:rFonts w:hint="eastAsia"/>
          <w:sz w:val="24"/>
        </w:rPr>
        <w:t>主要</w:t>
      </w:r>
      <w:r>
        <w:rPr>
          <w:sz w:val="24"/>
        </w:rPr>
        <w:t>控制因素，采用赤平极射投影图分析结构面组合关系，定性判定基坑岩质边坡稳定性。</w:t>
      </w:r>
    </w:p>
    <w:p>
      <w:pPr>
        <w:spacing w:line="360" w:lineRule="auto"/>
        <w:ind w:firstLine="480" w:firstLineChars="200"/>
        <w:jc w:val="left"/>
        <w:rPr>
          <w:sz w:val="24"/>
        </w:rPr>
      </w:pPr>
      <w:r>
        <w:rPr>
          <w:sz w:val="24"/>
        </w:rPr>
        <w:t>1 结构面或结构面交线的倾向与坡面倾向相反，判定为</w:t>
      </w:r>
      <w:r>
        <w:rPr>
          <w:rFonts w:hint="eastAsia"/>
          <w:sz w:val="24"/>
        </w:rPr>
        <w:t>对</w:t>
      </w:r>
      <w:r>
        <w:rPr>
          <w:sz w:val="24"/>
        </w:rPr>
        <w:t>稳定</w:t>
      </w:r>
      <w:r>
        <w:rPr>
          <w:rFonts w:hint="eastAsia"/>
          <w:sz w:val="24"/>
        </w:rPr>
        <w:t>有利组合</w:t>
      </w:r>
      <w:r>
        <w:rPr>
          <w:sz w:val="24"/>
        </w:rPr>
        <w:t>；</w:t>
      </w:r>
    </w:p>
    <w:p>
      <w:pPr>
        <w:spacing w:line="360" w:lineRule="auto"/>
        <w:ind w:firstLine="480" w:firstLineChars="200"/>
        <w:jc w:val="left"/>
        <w:rPr>
          <w:sz w:val="24"/>
        </w:rPr>
      </w:pPr>
      <w:r>
        <w:rPr>
          <w:sz w:val="24"/>
        </w:rPr>
        <w:t>2 结构面或结构面交线的倾向与坡面倾向基本一致，但其倾角大于坡角，判定为</w:t>
      </w:r>
      <w:r>
        <w:rPr>
          <w:rFonts w:hint="eastAsia"/>
          <w:sz w:val="24"/>
        </w:rPr>
        <w:t>对稳定较有利组合</w:t>
      </w:r>
      <w:r>
        <w:rPr>
          <w:sz w:val="24"/>
        </w:rPr>
        <w:t>；</w:t>
      </w:r>
    </w:p>
    <w:p>
      <w:pPr>
        <w:spacing w:line="360" w:lineRule="auto"/>
        <w:ind w:firstLine="480" w:firstLineChars="200"/>
        <w:jc w:val="left"/>
        <w:rPr>
          <w:sz w:val="24"/>
        </w:rPr>
      </w:pPr>
      <w:r>
        <w:rPr>
          <w:sz w:val="24"/>
        </w:rPr>
        <w:t>3结构面或结构面交线的倾向与坡面倾向之间夹角小于45°，但其倾角小于坡角，判定为</w:t>
      </w:r>
      <w:r>
        <w:rPr>
          <w:rFonts w:hint="eastAsia"/>
          <w:sz w:val="24"/>
        </w:rPr>
        <w:t>对</w:t>
      </w:r>
      <w:r>
        <w:rPr>
          <w:sz w:val="24"/>
        </w:rPr>
        <w:t>稳定</w:t>
      </w:r>
      <w:r>
        <w:rPr>
          <w:rFonts w:hint="eastAsia"/>
          <w:sz w:val="24"/>
        </w:rPr>
        <w:t>不利组合</w:t>
      </w:r>
      <w:r>
        <w:rPr>
          <w:sz w:val="24"/>
        </w:rPr>
        <w:t>；</w:t>
      </w:r>
    </w:p>
    <w:p>
      <w:pPr>
        <w:spacing w:line="360" w:lineRule="auto"/>
        <w:ind w:firstLine="480" w:firstLineChars="200"/>
        <w:jc w:val="left"/>
        <w:rPr>
          <w:sz w:val="24"/>
        </w:rPr>
      </w:pPr>
      <w:r>
        <w:rPr>
          <w:sz w:val="24"/>
        </w:rPr>
        <w:t>岩石边坡的</w:t>
      </w:r>
      <w:r>
        <w:rPr>
          <w:rFonts w:hint="eastAsia"/>
          <w:sz w:val="24"/>
        </w:rPr>
        <w:t>主要</w:t>
      </w:r>
      <w:r>
        <w:rPr>
          <w:sz w:val="24"/>
        </w:rPr>
        <w:t>破坏类型可按表6.3.2确定。</w:t>
      </w:r>
    </w:p>
    <w:p>
      <w:pPr>
        <w:spacing w:line="360" w:lineRule="auto"/>
        <w:ind w:firstLine="480" w:firstLineChars="200"/>
        <w:jc w:val="left"/>
        <w:rPr>
          <w:sz w:val="24"/>
        </w:rPr>
      </w:pPr>
    </w:p>
    <w:p>
      <w:pPr>
        <w:spacing w:line="360" w:lineRule="auto"/>
        <w:ind w:firstLine="480" w:firstLineChars="200"/>
        <w:jc w:val="left"/>
        <w:rPr>
          <w:sz w:val="24"/>
        </w:rPr>
      </w:pPr>
    </w:p>
    <w:p>
      <w:pPr>
        <w:spacing w:line="360" w:lineRule="auto"/>
        <w:ind w:firstLine="480" w:firstLineChars="200"/>
        <w:jc w:val="left"/>
        <w:rPr>
          <w:sz w:val="24"/>
        </w:rPr>
      </w:pPr>
    </w:p>
    <w:p>
      <w:pPr>
        <w:spacing w:line="360" w:lineRule="auto"/>
        <w:ind w:firstLine="480" w:firstLineChars="200"/>
        <w:jc w:val="left"/>
        <w:rPr>
          <w:sz w:val="24"/>
        </w:rPr>
      </w:pPr>
    </w:p>
    <w:p>
      <w:pPr>
        <w:spacing w:line="360" w:lineRule="auto"/>
        <w:ind w:firstLine="480" w:firstLineChars="200"/>
        <w:jc w:val="left"/>
        <w:rPr>
          <w:sz w:val="24"/>
        </w:rPr>
      </w:pPr>
    </w:p>
    <w:p>
      <w:pPr>
        <w:spacing w:line="360" w:lineRule="auto"/>
        <w:ind w:firstLine="480" w:firstLineChars="200"/>
        <w:jc w:val="left"/>
        <w:rPr>
          <w:sz w:val="24"/>
        </w:rPr>
      </w:pPr>
    </w:p>
    <w:p>
      <w:pPr>
        <w:spacing w:line="360" w:lineRule="auto"/>
        <w:ind w:firstLine="480" w:firstLineChars="200"/>
        <w:jc w:val="left"/>
        <w:rPr>
          <w:sz w:val="24"/>
        </w:rPr>
      </w:pPr>
    </w:p>
    <w:p>
      <w:pPr>
        <w:spacing w:line="360" w:lineRule="auto"/>
        <w:ind w:firstLine="480" w:firstLineChars="200"/>
        <w:jc w:val="left"/>
        <w:rPr>
          <w:sz w:val="24"/>
        </w:rPr>
      </w:pPr>
    </w:p>
    <w:p>
      <w:pPr>
        <w:spacing w:line="360" w:lineRule="auto"/>
        <w:ind w:firstLine="480" w:firstLineChars="200"/>
        <w:jc w:val="left"/>
        <w:rPr>
          <w:sz w:val="24"/>
        </w:rPr>
      </w:pPr>
    </w:p>
    <w:p>
      <w:pPr>
        <w:spacing w:line="360" w:lineRule="auto"/>
        <w:ind w:firstLine="482" w:firstLineChars="200"/>
        <w:jc w:val="center"/>
        <w:rPr>
          <w:b/>
          <w:sz w:val="24"/>
        </w:rPr>
      </w:pPr>
      <w:r>
        <w:rPr>
          <w:b/>
          <w:sz w:val="24"/>
        </w:rPr>
        <w:t>表6.3.2  岩石边坡</w:t>
      </w:r>
      <w:r>
        <w:rPr>
          <w:rFonts w:hint="eastAsia"/>
          <w:b/>
          <w:sz w:val="24"/>
        </w:rPr>
        <w:t>主要</w:t>
      </w:r>
      <w:r>
        <w:rPr>
          <w:b/>
          <w:sz w:val="24"/>
        </w:rPr>
        <w:t>破坏类型</w:t>
      </w:r>
    </w:p>
    <w:tbl>
      <w:tblPr>
        <w:tblStyle w:val="26"/>
        <w:tblW w:w="91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134"/>
        <w:gridCol w:w="4139"/>
        <w:gridCol w:w="1701"/>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rPr>
          <w:tblHeader/>
        </w:trPr>
        <w:tc>
          <w:tcPr>
            <w:tcW w:w="1134" w:type="dxa"/>
            <w:vAlign w:val="center"/>
          </w:tcPr>
          <w:p>
            <w:pPr>
              <w:jc w:val="center"/>
              <w:rPr>
                <w:sz w:val="24"/>
              </w:rPr>
            </w:pPr>
            <w:r>
              <w:rPr>
                <w:sz w:val="24"/>
              </w:rPr>
              <w:t>破坏类型</w:t>
            </w:r>
          </w:p>
        </w:tc>
        <w:tc>
          <w:tcPr>
            <w:tcW w:w="4139" w:type="dxa"/>
            <w:vAlign w:val="center"/>
          </w:tcPr>
          <w:p>
            <w:pPr>
              <w:jc w:val="center"/>
              <w:rPr>
                <w:sz w:val="24"/>
              </w:rPr>
            </w:pPr>
            <w:r>
              <w:rPr>
                <w:sz w:val="24"/>
              </w:rPr>
              <w:t>示意图</w:t>
            </w:r>
          </w:p>
        </w:tc>
        <w:tc>
          <w:tcPr>
            <w:tcW w:w="3855" w:type="dxa"/>
            <w:gridSpan w:val="2"/>
            <w:vAlign w:val="center"/>
          </w:tcPr>
          <w:p>
            <w:pPr>
              <w:jc w:val="center"/>
              <w:rPr>
                <w:sz w:val="24"/>
              </w:rPr>
            </w:pPr>
            <w:r>
              <w:rPr>
                <w:sz w:val="24"/>
              </w:rPr>
              <w:t>特            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1134" w:type="dxa"/>
            <w:vMerge w:val="restart"/>
            <w:vAlign w:val="center"/>
          </w:tcPr>
          <w:p>
            <w:pPr>
              <w:spacing w:line="360" w:lineRule="auto"/>
              <w:jc w:val="center"/>
              <w:rPr>
                <w:sz w:val="24"/>
              </w:rPr>
            </w:pPr>
            <w:r>
              <w:rPr>
                <w:sz w:val="24"/>
              </w:rPr>
              <w:t>平面破坏</w:t>
            </w:r>
          </w:p>
        </w:tc>
        <w:tc>
          <w:tcPr>
            <w:tcW w:w="4139" w:type="dxa"/>
            <w:vAlign w:val="center"/>
          </w:tcPr>
          <w:p>
            <w:pPr>
              <w:snapToGrid w:val="0"/>
              <w:jc w:val="center"/>
              <w:rPr>
                <w:sz w:val="24"/>
              </w:rPr>
            </w:pPr>
            <w:r>
              <w:rPr>
                <w:sz w:val="24"/>
              </w:rPr>
              <w:drawing>
                <wp:inline distT="0" distB="0" distL="0" distR="0">
                  <wp:extent cx="1588135" cy="719455"/>
                  <wp:effectExtent l="0" t="0" r="0" b="4445"/>
                  <wp:docPr id="118" name="图片 1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a:xfrm>
                            <a:off x="0" y="0"/>
                            <a:ext cx="1588370" cy="720000"/>
                          </a:xfrm>
                          <a:prstGeom prst="rect">
                            <a:avLst/>
                          </a:prstGeom>
                          <a:noFill/>
                          <a:ln>
                            <a:noFill/>
                          </a:ln>
                        </pic:spPr>
                      </pic:pic>
                    </a:graphicData>
                  </a:graphic>
                </wp:inline>
              </w:drawing>
            </w:r>
          </w:p>
        </w:tc>
        <w:tc>
          <w:tcPr>
            <w:tcW w:w="1701" w:type="dxa"/>
            <w:vMerge w:val="restart"/>
            <w:vAlign w:val="center"/>
          </w:tcPr>
          <w:p>
            <w:pPr>
              <w:rPr>
                <w:sz w:val="24"/>
              </w:rPr>
            </w:pPr>
            <w:r>
              <w:rPr>
                <w:sz w:val="24"/>
              </w:rPr>
              <w:t>主要结构面与坡面倾向基本一致，结构面的倾角小于坡角</w:t>
            </w:r>
          </w:p>
        </w:tc>
        <w:tc>
          <w:tcPr>
            <w:tcW w:w="2154" w:type="dxa"/>
          </w:tcPr>
          <w:p>
            <w:pPr>
              <w:jc w:val="left"/>
              <w:rPr>
                <w:sz w:val="24"/>
              </w:rPr>
            </w:pPr>
            <w:r>
              <w:rPr>
                <w:rFonts w:hint="eastAsia"/>
                <w:sz w:val="24"/>
              </w:rPr>
              <w:t>沿一个</w:t>
            </w:r>
            <w:r>
              <w:rPr>
                <w:sz w:val="24"/>
              </w:rPr>
              <w:t>滑动平面</w:t>
            </w:r>
            <w:r>
              <w:rPr>
                <w:rFonts w:hint="eastAsia"/>
                <w:sz w:val="24"/>
              </w:rPr>
              <w:t>破坏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1134" w:type="dxa"/>
            <w:vMerge w:val="continue"/>
          </w:tcPr>
          <w:p>
            <w:pPr>
              <w:spacing w:line="360" w:lineRule="auto"/>
              <w:ind w:firstLine="480" w:firstLineChars="200"/>
              <w:jc w:val="left"/>
              <w:rPr>
                <w:sz w:val="24"/>
              </w:rPr>
            </w:pPr>
          </w:p>
        </w:tc>
        <w:tc>
          <w:tcPr>
            <w:tcW w:w="4139" w:type="dxa"/>
            <w:vAlign w:val="center"/>
          </w:tcPr>
          <w:p>
            <w:pPr>
              <w:jc w:val="center"/>
              <w:rPr>
                <w:sz w:val="24"/>
              </w:rPr>
            </w:pPr>
            <w:r>
              <w:rPr>
                <w:sz w:val="24"/>
              </w:rPr>
              <w:drawing>
                <wp:inline distT="0" distB="0" distL="0" distR="0">
                  <wp:extent cx="1563370" cy="719455"/>
                  <wp:effectExtent l="0" t="0" r="0" b="4445"/>
                  <wp:docPr id="7" name="图片 1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9" descr="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a:xfrm>
                            <a:off x="0" y="0"/>
                            <a:ext cx="1563809" cy="720000"/>
                          </a:xfrm>
                          <a:prstGeom prst="rect">
                            <a:avLst/>
                          </a:prstGeom>
                          <a:noFill/>
                          <a:ln>
                            <a:noFill/>
                          </a:ln>
                        </pic:spPr>
                      </pic:pic>
                    </a:graphicData>
                  </a:graphic>
                </wp:inline>
              </w:drawing>
            </w:r>
          </w:p>
        </w:tc>
        <w:tc>
          <w:tcPr>
            <w:tcW w:w="1701" w:type="dxa"/>
            <w:vMerge w:val="continue"/>
          </w:tcPr>
          <w:p>
            <w:pPr>
              <w:ind w:firstLine="480" w:firstLineChars="200"/>
              <w:jc w:val="left"/>
              <w:rPr>
                <w:sz w:val="24"/>
              </w:rPr>
            </w:pPr>
          </w:p>
        </w:tc>
        <w:tc>
          <w:tcPr>
            <w:tcW w:w="2154" w:type="dxa"/>
            <w:vAlign w:val="center"/>
          </w:tcPr>
          <w:p>
            <w:pPr>
              <w:rPr>
                <w:sz w:val="24"/>
              </w:rPr>
            </w:pPr>
            <w:r>
              <w:rPr>
                <w:rFonts w:hint="eastAsia"/>
                <w:sz w:val="24"/>
              </w:rPr>
              <w:t>沿</w:t>
            </w:r>
            <w:r>
              <w:rPr>
                <w:sz w:val="24"/>
              </w:rPr>
              <w:t>滑动平面和</w:t>
            </w:r>
            <w:r>
              <w:rPr>
                <w:rFonts w:hint="eastAsia"/>
                <w:sz w:val="24"/>
              </w:rPr>
              <w:t>拉</w:t>
            </w:r>
            <w:r>
              <w:rPr>
                <w:sz w:val="24"/>
              </w:rPr>
              <w:t>张裂缝</w:t>
            </w:r>
            <w:r>
              <w:rPr>
                <w:rFonts w:hint="eastAsia"/>
                <w:sz w:val="24"/>
              </w:rPr>
              <w:t>破坏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1134" w:type="dxa"/>
            <w:vMerge w:val="continue"/>
          </w:tcPr>
          <w:p>
            <w:pPr>
              <w:spacing w:line="360" w:lineRule="auto"/>
              <w:ind w:firstLine="480" w:firstLineChars="200"/>
              <w:jc w:val="left"/>
              <w:rPr>
                <w:sz w:val="24"/>
              </w:rPr>
            </w:pPr>
          </w:p>
        </w:tc>
        <w:tc>
          <w:tcPr>
            <w:tcW w:w="4139" w:type="dxa"/>
          </w:tcPr>
          <w:p>
            <w:pPr>
              <w:jc w:val="center"/>
              <w:rPr>
                <w:sz w:val="24"/>
              </w:rPr>
            </w:pPr>
            <w:r>
              <w:rPr>
                <w:sz w:val="24"/>
              </w:rPr>
              <w:drawing>
                <wp:inline distT="0" distB="0" distL="0" distR="0">
                  <wp:extent cx="1943100" cy="720090"/>
                  <wp:effectExtent l="0" t="0" r="0" b="3810"/>
                  <wp:docPr id="120" name="图片 1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3"/>
                          <pic:cNvPicPr>
                            <a:picLocks noChangeAspect="1" noChangeArrowheads="1"/>
                          </pic:cNvPicPr>
                        </pic:nvPicPr>
                        <pic:blipFill>
                          <a:blip r:embed="rId249" cstate="print">
                            <a:extLst>
                              <a:ext uri="{28A0092B-C50C-407E-A947-70E740481C1C}">
                                <a14:useLocalDpi xmlns:a14="http://schemas.microsoft.com/office/drawing/2010/main" val="0"/>
                              </a:ext>
                            </a:extLst>
                          </a:blip>
                          <a:srcRect l="23971" r="6083"/>
                          <a:stretch>
                            <a:fillRect/>
                          </a:stretch>
                        </pic:blipFill>
                        <pic:spPr>
                          <a:xfrm>
                            <a:off x="0" y="0"/>
                            <a:ext cx="1942671" cy="720000"/>
                          </a:xfrm>
                          <a:prstGeom prst="rect">
                            <a:avLst/>
                          </a:prstGeom>
                          <a:noFill/>
                          <a:ln>
                            <a:noFill/>
                          </a:ln>
                        </pic:spPr>
                      </pic:pic>
                    </a:graphicData>
                  </a:graphic>
                </wp:inline>
              </w:drawing>
            </w:r>
          </w:p>
        </w:tc>
        <w:tc>
          <w:tcPr>
            <w:tcW w:w="1701" w:type="dxa"/>
            <w:vMerge w:val="continue"/>
          </w:tcPr>
          <w:p>
            <w:pPr>
              <w:ind w:firstLine="480" w:firstLineChars="200"/>
              <w:jc w:val="left"/>
              <w:rPr>
                <w:sz w:val="24"/>
              </w:rPr>
            </w:pPr>
          </w:p>
        </w:tc>
        <w:tc>
          <w:tcPr>
            <w:tcW w:w="2154" w:type="dxa"/>
            <w:vAlign w:val="center"/>
          </w:tcPr>
          <w:p>
            <w:pPr>
              <w:rPr>
                <w:sz w:val="24"/>
              </w:rPr>
            </w:pPr>
            <w:r>
              <w:rPr>
                <w:rFonts w:hint="eastAsia"/>
                <w:sz w:val="24"/>
              </w:rPr>
              <w:t>沿</w:t>
            </w:r>
            <w:r>
              <w:rPr>
                <w:sz w:val="24"/>
              </w:rPr>
              <w:t>若干滑动平面和横节理</w:t>
            </w:r>
            <w:r>
              <w:rPr>
                <w:rFonts w:hint="eastAsia"/>
                <w:sz w:val="24"/>
              </w:rPr>
              <w:t>破坏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1134" w:type="dxa"/>
            <w:vMerge w:val="continue"/>
          </w:tcPr>
          <w:p>
            <w:pPr>
              <w:spacing w:line="360" w:lineRule="auto"/>
              <w:ind w:firstLine="480" w:firstLineChars="200"/>
              <w:jc w:val="left"/>
              <w:rPr>
                <w:sz w:val="24"/>
              </w:rPr>
            </w:pPr>
          </w:p>
        </w:tc>
        <w:tc>
          <w:tcPr>
            <w:tcW w:w="4139" w:type="dxa"/>
            <w:vAlign w:val="center"/>
          </w:tcPr>
          <w:p>
            <w:pPr>
              <w:jc w:val="center"/>
              <w:rPr>
                <w:sz w:val="24"/>
              </w:rPr>
            </w:pPr>
            <w:r>
              <w:rPr>
                <w:sz w:val="24"/>
              </w:rPr>
              <w:drawing>
                <wp:inline distT="0" distB="0" distL="0" distR="0">
                  <wp:extent cx="1794510" cy="719455"/>
                  <wp:effectExtent l="0" t="0" r="0" b="4445"/>
                  <wp:docPr id="121" name="图片 1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a:xfrm>
                            <a:off x="0" y="0"/>
                            <a:ext cx="1795112" cy="720000"/>
                          </a:xfrm>
                          <a:prstGeom prst="rect">
                            <a:avLst/>
                          </a:prstGeom>
                          <a:noFill/>
                          <a:ln>
                            <a:noFill/>
                          </a:ln>
                        </pic:spPr>
                      </pic:pic>
                    </a:graphicData>
                  </a:graphic>
                </wp:inline>
              </w:drawing>
            </w:r>
          </w:p>
        </w:tc>
        <w:tc>
          <w:tcPr>
            <w:tcW w:w="1701" w:type="dxa"/>
            <w:vMerge w:val="continue"/>
          </w:tcPr>
          <w:p>
            <w:pPr>
              <w:ind w:firstLine="480" w:firstLineChars="200"/>
              <w:jc w:val="left"/>
              <w:rPr>
                <w:sz w:val="24"/>
              </w:rPr>
            </w:pPr>
          </w:p>
        </w:tc>
        <w:tc>
          <w:tcPr>
            <w:tcW w:w="2154" w:type="dxa"/>
          </w:tcPr>
          <w:p>
            <w:pPr>
              <w:jc w:val="left"/>
              <w:rPr>
                <w:sz w:val="24"/>
              </w:rPr>
            </w:pPr>
            <w:r>
              <w:rPr>
                <w:sz w:val="24"/>
              </w:rPr>
              <w:t>一个主要滑动平面和主动、被动两个滑动块体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1134" w:type="dxa"/>
            <w:vAlign w:val="center"/>
          </w:tcPr>
          <w:p>
            <w:pPr>
              <w:spacing w:line="360" w:lineRule="auto"/>
              <w:jc w:val="center"/>
              <w:rPr>
                <w:sz w:val="24"/>
              </w:rPr>
            </w:pPr>
            <w:r>
              <w:rPr>
                <w:sz w:val="24"/>
              </w:rPr>
              <w:t>楔形破坏</w:t>
            </w:r>
          </w:p>
        </w:tc>
        <w:tc>
          <w:tcPr>
            <w:tcW w:w="4139" w:type="dxa"/>
          </w:tcPr>
          <w:p>
            <w:pPr>
              <w:jc w:val="left"/>
              <w:rPr>
                <w:sz w:val="24"/>
              </w:rPr>
            </w:pPr>
            <w:r>
              <w:rPr>
                <w:sz w:val="24"/>
              </w:rPr>
              <w:drawing>
                <wp:inline distT="0" distB="0" distL="0" distR="0">
                  <wp:extent cx="2315210" cy="719455"/>
                  <wp:effectExtent l="0" t="0" r="8890" b="4445"/>
                  <wp:docPr id="122" name="图片 1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5"/>
                          <pic:cNvPicPr>
                            <a:picLocks noChangeAspect="1" noChangeArrowheads="1"/>
                          </pic:cNvPicPr>
                        </pic:nvPicPr>
                        <pic:blipFill>
                          <a:blip r:embed="rId251" cstate="print">
                            <a:extLst>
                              <a:ext uri="{28A0092B-C50C-407E-A947-70E740481C1C}">
                                <a14:useLocalDpi xmlns:a14="http://schemas.microsoft.com/office/drawing/2010/main" val="0"/>
                              </a:ext>
                            </a:extLst>
                          </a:blip>
                          <a:srcRect l="2664" r="1844"/>
                          <a:stretch>
                            <a:fillRect/>
                          </a:stretch>
                        </pic:blipFill>
                        <pic:spPr>
                          <a:xfrm>
                            <a:off x="0" y="0"/>
                            <a:ext cx="2317375" cy="720000"/>
                          </a:xfrm>
                          <a:prstGeom prst="rect">
                            <a:avLst/>
                          </a:prstGeom>
                          <a:noFill/>
                          <a:ln>
                            <a:noFill/>
                          </a:ln>
                        </pic:spPr>
                      </pic:pic>
                    </a:graphicData>
                  </a:graphic>
                </wp:inline>
              </w:drawing>
            </w:r>
          </w:p>
        </w:tc>
        <w:tc>
          <w:tcPr>
            <w:tcW w:w="3855" w:type="dxa"/>
            <w:gridSpan w:val="2"/>
          </w:tcPr>
          <w:p>
            <w:pPr>
              <w:jc w:val="left"/>
              <w:rPr>
                <w:sz w:val="24"/>
              </w:rPr>
            </w:pPr>
            <w:r>
              <w:rPr>
                <w:sz w:val="24"/>
              </w:rPr>
              <w:t>两组结构面的交线倾向坡面，交线的倾角小于坡角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1134" w:type="dxa"/>
            <w:vAlign w:val="center"/>
          </w:tcPr>
          <w:p>
            <w:pPr>
              <w:spacing w:line="360" w:lineRule="auto"/>
              <w:jc w:val="center"/>
              <w:rPr>
                <w:sz w:val="24"/>
              </w:rPr>
            </w:pPr>
            <w:r>
              <w:rPr>
                <w:sz w:val="24"/>
              </w:rPr>
              <w:t>圆弧破坏</w:t>
            </w:r>
          </w:p>
        </w:tc>
        <w:tc>
          <w:tcPr>
            <w:tcW w:w="4139" w:type="dxa"/>
            <w:vAlign w:val="center"/>
          </w:tcPr>
          <w:p>
            <w:pPr>
              <w:jc w:val="center"/>
              <w:rPr>
                <w:sz w:val="24"/>
              </w:rPr>
            </w:pPr>
            <w:r>
              <w:rPr>
                <w:sz w:val="24"/>
              </w:rPr>
              <w:drawing>
                <wp:inline distT="0" distB="0" distL="0" distR="0">
                  <wp:extent cx="1971675" cy="719455"/>
                  <wp:effectExtent l="0" t="0" r="0" b="4445"/>
                  <wp:docPr id="123" name="图片 1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a:xfrm>
                            <a:off x="0" y="0"/>
                            <a:ext cx="1971892" cy="720000"/>
                          </a:xfrm>
                          <a:prstGeom prst="rect">
                            <a:avLst/>
                          </a:prstGeom>
                          <a:noFill/>
                          <a:ln>
                            <a:noFill/>
                          </a:ln>
                        </pic:spPr>
                      </pic:pic>
                    </a:graphicData>
                  </a:graphic>
                </wp:inline>
              </w:drawing>
            </w:r>
          </w:p>
        </w:tc>
        <w:tc>
          <w:tcPr>
            <w:tcW w:w="3855" w:type="dxa"/>
            <w:gridSpan w:val="2"/>
            <w:vAlign w:val="center"/>
          </w:tcPr>
          <w:p>
            <w:pPr>
              <w:rPr>
                <w:sz w:val="24"/>
              </w:rPr>
            </w:pPr>
            <w:r>
              <w:rPr>
                <w:rFonts w:hint="eastAsia"/>
                <w:sz w:val="24"/>
              </w:rPr>
              <w:t>极软岩及</w:t>
            </w:r>
            <w:r>
              <w:rPr>
                <w:sz w:val="24"/>
              </w:rPr>
              <w:t>节理很发育的破碎岩体发生旋转破坏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Ex>
        <w:tc>
          <w:tcPr>
            <w:tcW w:w="1134" w:type="dxa"/>
            <w:vAlign w:val="center"/>
          </w:tcPr>
          <w:p>
            <w:pPr>
              <w:spacing w:line="360" w:lineRule="auto"/>
              <w:jc w:val="center"/>
              <w:rPr>
                <w:sz w:val="24"/>
              </w:rPr>
            </w:pPr>
            <w:r>
              <w:rPr>
                <w:sz w:val="24"/>
              </w:rPr>
              <w:t>倾倒破坏</w:t>
            </w:r>
          </w:p>
        </w:tc>
        <w:tc>
          <w:tcPr>
            <w:tcW w:w="4139" w:type="dxa"/>
            <w:vAlign w:val="center"/>
          </w:tcPr>
          <w:p>
            <w:pPr>
              <w:jc w:val="center"/>
              <w:rPr>
                <w:sz w:val="24"/>
              </w:rPr>
            </w:pPr>
            <w:r>
              <w:rPr>
                <w:sz w:val="24"/>
              </w:rPr>
              <w:drawing>
                <wp:inline distT="0" distB="0" distL="0" distR="0">
                  <wp:extent cx="1581150" cy="719455"/>
                  <wp:effectExtent l="0" t="0" r="0" b="4445"/>
                  <wp:docPr id="124" name="图片 1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a:xfrm>
                            <a:off x="0" y="0"/>
                            <a:ext cx="1581350" cy="720000"/>
                          </a:xfrm>
                          <a:prstGeom prst="rect">
                            <a:avLst/>
                          </a:prstGeom>
                          <a:noFill/>
                          <a:ln>
                            <a:noFill/>
                          </a:ln>
                        </pic:spPr>
                      </pic:pic>
                    </a:graphicData>
                  </a:graphic>
                </wp:inline>
              </w:drawing>
            </w:r>
          </w:p>
        </w:tc>
        <w:tc>
          <w:tcPr>
            <w:tcW w:w="3855" w:type="dxa"/>
            <w:gridSpan w:val="2"/>
          </w:tcPr>
          <w:p>
            <w:pPr>
              <w:jc w:val="left"/>
              <w:rPr>
                <w:sz w:val="24"/>
              </w:rPr>
            </w:pPr>
            <w:r>
              <w:rPr>
                <w:sz w:val="24"/>
              </w:rPr>
              <w:t>岩体被陡倾结构面分割成一系列</w:t>
            </w:r>
            <w:r>
              <w:rPr>
                <w:rFonts w:hint="eastAsia"/>
                <w:sz w:val="24"/>
              </w:rPr>
              <w:t>岩柱</w:t>
            </w:r>
            <w:r>
              <w:rPr>
                <w:sz w:val="24"/>
              </w:rPr>
              <w:t>，当为软岩时，岩柱产生向坡面弯曲，当为硬岩时，岩柱可再被正交节理切割岩块，向坡面</w:t>
            </w:r>
            <w:r>
              <w:rPr>
                <w:rFonts w:hint="eastAsia"/>
                <w:sz w:val="24"/>
              </w:rPr>
              <w:t>倾</w:t>
            </w:r>
            <w:r>
              <w:rPr>
                <w:sz w:val="24"/>
              </w:rPr>
              <w:t>倒</w:t>
            </w:r>
          </w:p>
        </w:tc>
      </w:tr>
    </w:tbl>
    <w:p>
      <w:pPr>
        <w:spacing w:line="360" w:lineRule="auto"/>
        <w:jc w:val="left"/>
        <w:rPr>
          <w:b/>
          <w:sz w:val="24"/>
        </w:rPr>
      </w:pPr>
    </w:p>
    <w:p>
      <w:pPr>
        <w:spacing w:line="360" w:lineRule="auto"/>
        <w:jc w:val="left"/>
        <w:rPr>
          <w:i/>
          <w:sz w:val="24"/>
        </w:rPr>
      </w:pPr>
    </w:p>
    <w:p>
      <w:pPr>
        <w:spacing w:line="360" w:lineRule="auto"/>
        <w:jc w:val="center"/>
        <w:outlineLvl w:val="0"/>
        <w:rPr>
          <w:b/>
          <w:i/>
          <w:sz w:val="28"/>
          <w:szCs w:val="28"/>
        </w:rPr>
        <w:sectPr>
          <w:pgSz w:w="11907" w:h="16840"/>
          <w:pgMar w:top="1418" w:right="1134" w:bottom="1134" w:left="1701" w:header="851" w:footer="851" w:gutter="0"/>
          <w:cols w:space="720" w:num="1"/>
          <w:docGrid w:linePitch="312" w:charSpace="0"/>
        </w:sectPr>
      </w:pPr>
    </w:p>
    <w:p>
      <w:pPr>
        <w:tabs>
          <w:tab w:val="center" w:pos="4536"/>
          <w:tab w:val="left" w:pos="6436"/>
        </w:tabs>
        <w:spacing w:line="360" w:lineRule="auto"/>
        <w:jc w:val="center"/>
        <w:outlineLvl w:val="2"/>
        <w:rPr>
          <w:b/>
          <w:sz w:val="28"/>
          <w:szCs w:val="28"/>
        </w:rPr>
      </w:pPr>
      <w:bookmarkStart w:id="184" w:name="_Toc45197194"/>
      <w:r>
        <w:rPr>
          <w:b/>
          <w:sz w:val="28"/>
          <w:szCs w:val="28"/>
        </w:rPr>
        <w:t>7  地下水控制</w:t>
      </w:r>
      <w:bookmarkEnd w:id="184"/>
    </w:p>
    <w:p>
      <w:pPr>
        <w:spacing w:line="360" w:lineRule="auto"/>
        <w:jc w:val="center"/>
        <w:outlineLvl w:val="3"/>
        <w:rPr>
          <w:b/>
          <w:sz w:val="24"/>
        </w:rPr>
      </w:pPr>
      <w:bookmarkStart w:id="185" w:name="_Toc45197195"/>
      <w:r>
        <w:rPr>
          <w:b/>
          <w:sz w:val="24"/>
        </w:rPr>
        <w:t>7.2  设计计算与验算</w:t>
      </w:r>
      <w:bookmarkEnd w:id="185"/>
    </w:p>
    <w:p>
      <w:pPr>
        <w:tabs>
          <w:tab w:val="left" w:pos="0"/>
          <w:tab w:val="left" w:pos="672"/>
          <w:tab w:val="left" w:pos="1620"/>
          <w:tab w:val="left" w:pos="2160"/>
          <w:tab w:val="left" w:pos="7020"/>
        </w:tabs>
        <w:spacing w:line="360" w:lineRule="auto"/>
        <w:jc w:val="left"/>
        <w:rPr>
          <w:sz w:val="24"/>
        </w:rPr>
      </w:pPr>
      <w:r>
        <w:rPr>
          <w:rFonts w:hint="eastAsia"/>
          <w:b/>
          <w:sz w:val="24"/>
        </w:rPr>
        <w:t xml:space="preserve">7.2.4  </w:t>
      </w:r>
      <w:r>
        <w:rPr>
          <w:rFonts w:hint="eastAsia"/>
          <w:sz w:val="24"/>
        </w:rPr>
        <w:t xml:space="preserve">1 </w:t>
      </w:r>
      <w:r>
        <w:rPr>
          <w:sz w:val="24"/>
        </w:rPr>
        <w:t>降水引起的地层压缩变形量可</w:t>
      </w:r>
      <w:r>
        <w:rPr>
          <w:rFonts w:hint="eastAsia"/>
          <w:sz w:val="24"/>
        </w:rPr>
        <w:t>按</w:t>
      </w:r>
      <w:r>
        <w:rPr>
          <w:sz w:val="24"/>
        </w:rPr>
        <w:t>下式计算：</w:t>
      </w:r>
    </w:p>
    <w:p>
      <w:pPr>
        <w:tabs>
          <w:tab w:val="left" w:pos="672"/>
          <w:tab w:val="left" w:pos="1036"/>
          <w:tab w:val="left" w:pos="1620"/>
          <w:tab w:val="left" w:pos="2160"/>
          <w:tab w:val="left" w:pos="7020"/>
        </w:tabs>
        <w:spacing w:line="360" w:lineRule="auto"/>
        <w:jc w:val="center"/>
        <w:rPr>
          <w:i/>
          <w:sz w:val="24"/>
        </w:rPr>
      </w:pPr>
      <w:r>
        <w:rPr>
          <w:i/>
          <w:position w:val="-32"/>
          <w:sz w:val="24"/>
        </w:rPr>
        <w:object>
          <v:shape id="_x0000_i1124" o:spt="75" type="#_x0000_t75" style="height:32.15pt;width:84.25pt;" o:ole="t" filled="f" coordsize="21600,21600">
            <v:path/>
            <v:fill on="f" focussize="0,0"/>
            <v:stroke/>
            <v:imagedata r:id="rId255" o:title=""/>
            <o:lock v:ext="edit" aspectratio="t"/>
            <w10:wrap type="none"/>
            <w10:anchorlock/>
          </v:shape>
          <o:OLEObject Type="Embed" ProgID="Equation.DSMT4" ShapeID="_x0000_i1124" DrawAspect="Content" ObjectID="_1468075824" r:id="rId254">
            <o:LockedField>false</o:LockedField>
          </o:OLEObject>
        </w:object>
      </w:r>
    </w:p>
    <w:p>
      <w:pPr>
        <w:tabs>
          <w:tab w:val="left" w:pos="672"/>
          <w:tab w:val="left" w:pos="1036"/>
          <w:tab w:val="left" w:pos="1620"/>
          <w:tab w:val="left" w:pos="2160"/>
          <w:tab w:val="left" w:pos="7020"/>
        </w:tabs>
        <w:spacing w:line="360" w:lineRule="auto"/>
        <w:jc w:val="left"/>
        <w:rPr>
          <w:sz w:val="24"/>
        </w:rPr>
      </w:pPr>
      <w:r>
        <w:rPr>
          <w:sz w:val="24"/>
        </w:rPr>
        <w:t>式中：</w:t>
      </w:r>
      <w:r>
        <w:rPr>
          <w:rFonts w:hint="eastAsia"/>
          <w:i/>
          <w:sz w:val="24"/>
        </w:rPr>
        <w:t>S</w:t>
      </w:r>
      <w:r>
        <w:rPr>
          <w:i/>
          <w:sz w:val="24"/>
        </w:rPr>
        <w:t xml:space="preserve"> </w:t>
      </w:r>
      <w:r>
        <w:rPr>
          <w:sz w:val="24"/>
        </w:rPr>
        <w:t>—降水引起的地层变形量 (m)；</w:t>
      </w:r>
    </w:p>
    <w:p>
      <w:pPr>
        <w:tabs>
          <w:tab w:val="left" w:pos="672"/>
          <w:tab w:val="left" w:pos="1036"/>
          <w:tab w:val="left" w:pos="1620"/>
          <w:tab w:val="left" w:pos="2160"/>
          <w:tab w:val="left" w:pos="7020"/>
        </w:tabs>
        <w:spacing w:line="360" w:lineRule="auto"/>
        <w:ind w:firstLine="600" w:firstLineChars="250"/>
        <w:jc w:val="left"/>
        <w:rPr>
          <w:sz w:val="24"/>
        </w:rPr>
      </w:pPr>
      <w:r>
        <w:rPr>
          <w:rFonts w:hint="eastAsia"/>
          <w:i/>
          <w:sz w:val="24"/>
        </w:rPr>
        <w:t>ψ</w:t>
      </w:r>
      <w:r>
        <w:rPr>
          <w:i/>
          <w:sz w:val="24"/>
          <w:vertAlign w:val="subscript"/>
        </w:rPr>
        <w:t>w</w:t>
      </w:r>
      <w:r>
        <w:rPr>
          <w:sz w:val="24"/>
        </w:rPr>
        <w:t>—沉降计算经验系数，应根据工程经验取值，无经验时，宜取</w:t>
      </w:r>
      <w:r>
        <w:rPr>
          <w:rFonts w:hint="eastAsia"/>
          <w:i/>
          <w:sz w:val="24"/>
        </w:rPr>
        <w:t>ψ</w:t>
      </w:r>
      <w:r>
        <w:rPr>
          <w:i/>
          <w:sz w:val="24"/>
          <w:vertAlign w:val="subscript"/>
        </w:rPr>
        <w:t>w</w:t>
      </w:r>
      <w:r>
        <w:rPr>
          <w:sz w:val="24"/>
        </w:rPr>
        <w:t>＝1；</w:t>
      </w:r>
    </w:p>
    <w:p>
      <w:pPr>
        <w:tabs>
          <w:tab w:val="left" w:pos="672"/>
          <w:tab w:val="left" w:pos="1036"/>
          <w:tab w:val="left" w:pos="1620"/>
          <w:tab w:val="left" w:pos="2160"/>
          <w:tab w:val="left" w:pos="7020"/>
        </w:tabs>
        <w:spacing w:line="360" w:lineRule="auto"/>
        <w:ind w:left="1140" w:leftChars="200" w:hanging="720" w:hangingChars="300"/>
        <w:jc w:val="left"/>
        <w:rPr>
          <w:sz w:val="24"/>
        </w:rPr>
      </w:pPr>
      <w:r>
        <w:rPr>
          <w:i/>
          <w:sz w:val="24"/>
        </w:rPr>
        <w:t>∆σ</w:t>
      </w:r>
      <w:r>
        <w:rPr>
          <w:i/>
          <w:sz w:val="24"/>
          <w:vertAlign w:val="subscript"/>
        </w:rPr>
        <w:t>zi</w:t>
      </w:r>
      <w:r>
        <w:rPr>
          <w:sz w:val="24"/>
        </w:rPr>
        <w:t>—降水引起的地面下第i土层中点处的附加有效应力 (kPa)；对黏性土，应取降水结束时土的固结度下的附加有效应力；</w:t>
      </w:r>
    </w:p>
    <w:p>
      <w:pPr>
        <w:tabs>
          <w:tab w:val="left" w:pos="672"/>
          <w:tab w:val="left" w:pos="1036"/>
          <w:tab w:val="left" w:pos="1620"/>
          <w:tab w:val="left" w:pos="2160"/>
          <w:tab w:val="left" w:pos="7020"/>
        </w:tabs>
        <w:spacing w:line="360" w:lineRule="auto"/>
        <w:ind w:firstLine="600" w:firstLineChars="250"/>
        <w:rPr>
          <w:sz w:val="24"/>
        </w:rPr>
      </w:pPr>
      <w:r>
        <w:rPr>
          <w:i/>
          <w:sz w:val="24"/>
        </w:rPr>
        <w:t>Δh</w:t>
      </w:r>
      <w:r>
        <w:rPr>
          <w:i/>
          <w:sz w:val="24"/>
          <w:vertAlign w:val="subscript"/>
        </w:rPr>
        <w:t>i</w:t>
      </w:r>
      <w:r>
        <w:rPr>
          <w:sz w:val="24"/>
        </w:rPr>
        <w:t>—第i层土的厚度(m)；</w:t>
      </w:r>
    </w:p>
    <w:p>
      <w:pPr>
        <w:tabs>
          <w:tab w:val="left" w:pos="672"/>
          <w:tab w:val="left" w:pos="1036"/>
          <w:tab w:val="left" w:pos="1620"/>
          <w:tab w:val="left" w:pos="2160"/>
          <w:tab w:val="left" w:pos="7020"/>
        </w:tabs>
        <w:spacing w:line="360" w:lineRule="auto"/>
        <w:ind w:firstLine="600" w:firstLineChars="250"/>
        <w:jc w:val="left"/>
        <w:rPr>
          <w:sz w:val="24"/>
        </w:rPr>
      </w:pPr>
      <w:r>
        <w:rPr>
          <w:i/>
          <w:sz w:val="24"/>
        </w:rPr>
        <w:t>E</w:t>
      </w:r>
      <w:r>
        <w:rPr>
          <w:i/>
          <w:sz w:val="24"/>
          <w:vertAlign w:val="subscript"/>
        </w:rPr>
        <w:t>si</w:t>
      </w:r>
      <w:r>
        <w:rPr>
          <w:sz w:val="24"/>
        </w:rPr>
        <w:t>—第i层土的压缩模量(kPa)；应取土的自重应力至自重应力与附加有效应力之和的压力段的压缩模量值。</w:t>
      </w:r>
    </w:p>
    <w:p>
      <w:pPr>
        <w:tabs>
          <w:tab w:val="left" w:pos="672"/>
          <w:tab w:val="left" w:pos="1036"/>
          <w:tab w:val="left" w:pos="1620"/>
          <w:tab w:val="left" w:pos="2160"/>
          <w:tab w:val="left" w:pos="7020"/>
        </w:tabs>
        <w:spacing w:line="360" w:lineRule="auto"/>
        <w:ind w:firstLine="480" w:firstLineChars="200"/>
        <w:jc w:val="left"/>
        <w:rPr>
          <w:sz w:val="24"/>
        </w:rPr>
      </w:pPr>
      <w:r>
        <w:rPr>
          <w:sz w:val="24"/>
        </w:rPr>
        <w:t>2  基坑外土中各点降水引起的附加有效应力宜采用地下水渗流分析方法按稳定渗流计算；当符合非稳定渗流条件时，可按地下水非稳定渗流计算。附加有效应力也可根据本规程第7.5.6条计算地下水位的降深，按下列公式计算（图7.2.4）：</w:t>
      </w:r>
    </w:p>
    <w:p>
      <w:pPr>
        <w:tabs>
          <w:tab w:val="left" w:pos="672"/>
          <w:tab w:val="left" w:pos="1036"/>
          <w:tab w:val="left" w:pos="1620"/>
          <w:tab w:val="left" w:pos="2160"/>
          <w:tab w:val="left" w:pos="7020"/>
        </w:tabs>
        <w:spacing w:line="360" w:lineRule="auto"/>
        <w:ind w:firstLine="720" w:firstLineChars="300"/>
        <w:jc w:val="left"/>
        <w:rPr>
          <w:sz w:val="24"/>
        </w:rPr>
      </w:pPr>
      <w:r>
        <w:rPr>
          <w:sz w:val="24"/>
        </w:rPr>
        <w:t>1）计算点位于初始地下水位以上时</w:t>
      </w:r>
    </w:p>
    <w:p>
      <w:pPr>
        <w:tabs>
          <w:tab w:val="left" w:pos="672"/>
          <w:tab w:val="left" w:pos="1036"/>
          <w:tab w:val="left" w:pos="1620"/>
          <w:tab w:val="left" w:pos="2160"/>
          <w:tab w:val="left" w:pos="7020"/>
        </w:tabs>
        <w:spacing w:line="360" w:lineRule="auto"/>
        <w:ind w:left="1351" w:hanging="1351" w:hangingChars="563"/>
        <w:jc w:val="right"/>
        <w:rPr>
          <w:i/>
          <w:sz w:val="24"/>
        </w:rPr>
      </w:pPr>
      <w:r>
        <w:rPr>
          <w:i/>
          <w:position w:val="-12"/>
          <w:sz w:val="24"/>
        </w:rPr>
        <w:object>
          <v:shape id="_x0000_i1125" o:spt="75" type="#_x0000_t75" style="height:19.15pt;width:45.95pt;" o:ole="t" filled="f" coordsize="21600,21600">
            <v:path/>
            <v:fill on="f" focussize="0,0"/>
            <v:stroke/>
            <v:imagedata r:id="rId257" o:title=""/>
            <o:lock v:ext="edit" aspectratio="t"/>
            <w10:wrap type="none"/>
            <w10:anchorlock/>
          </v:shape>
          <o:OLEObject Type="Embed" ProgID="Equation.3" ShapeID="_x0000_i1125" DrawAspect="Content" ObjectID="_1468075825" r:id="rId256">
            <o:LockedField>false</o:LockedField>
          </o:OLEObject>
        </w:object>
      </w:r>
      <w:r>
        <w:rPr>
          <w:i/>
          <w:sz w:val="24"/>
        </w:rPr>
        <w:t xml:space="preserve">                           </w:t>
      </w:r>
      <w:r>
        <w:rPr>
          <w:sz w:val="24"/>
        </w:rPr>
        <w:t xml:space="preserve">  （7.2.4-2）</w:t>
      </w:r>
    </w:p>
    <w:p>
      <w:pPr>
        <w:tabs>
          <w:tab w:val="left" w:pos="672"/>
          <w:tab w:val="left" w:pos="1036"/>
          <w:tab w:val="left" w:pos="1620"/>
          <w:tab w:val="left" w:pos="2160"/>
          <w:tab w:val="left" w:pos="7020"/>
        </w:tabs>
        <w:spacing w:line="360" w:lineRule="auto"/>
        <w:ind w:firstLine="720" w:firstLineChars="300"/>
        <w:jc w:val="left"/>
        <w:rPr>
          <w:sz w:val="24"/>
        </w:rPr>
      </w:pPr>
      <w:r>
        <w:rPr>
          <w:sz w:val="24"/>
        </w:rPr>
        <w:t>2）计算点位于降水后水位与初始地下水位之间时</w:t>
      </w:r>
    </w:p>
    <w:p>
      <w:pPr>
        <w:tabs>
          <w:tab w:val="left" w:pos="672"/>
          <w:tab w:val="left" w:pos="1036"/>
          <w:tab w:val="left" w:pos="1620"/>
          <w:tab w:val="left" w:pos="2160"/>
          <w:tab w:val="left" w:pos="7020"/>
        </w:tabs>
        <w:spacing w:line="360" w:lineRule="auto"/>
        <w:ind w:left="1351" w:hanging="1351" w:hangingChars="563"/>
        <w:jc w:val="right"/>
        <w:rPr>
          <w:i/>
          <w:sz w:val="24"/>
        </w:rPr>
      </w:pPr>
      <w:r>
        <w:rPr>
          <w:i/>
          <w:position w:val="-12"/>
          <w:sz w:val="24"/>
        </w:rPr>
        <w:object>
          <v:shape id="_x0000_i1126" o:spt="75" type="#_x0000_t75" style="height:19.15pt;width:61.65pt;" o:ole="t" filled="f" coordsize="21600,21600">
            <v:path/>
            <v:fill on="f" focussize="0,0"/>
            <v:stroke/>
            <v:imagedata r:id="rId259" o:title=""/>
            <o:lock v:ext="edit" aspectratio="t"/>
            <w10:wrap type="none"/>
            <w10:anchorlock/>
          </v:shape>
          <o:OLEObject Type="Embed" ProgID="Equation.3" ShapeID="_x0000_i1126" DrawAspect="Content" ObjectID="_1468075826" r:id="rId258">
            <o:LockedField>false</o:LockedField>
          </o:OLEObject>
        </w:object>
      </w:r>
      <w:r>
        <w:rPr>
          <w:i/>
          <w:sz w:val="24"/>
        </w:rPr>
        <w:t xml:space="preserve">                         </w:t>
      </w:r>
      <w:r>
        <w:rPr>
          <w:sz w:val="24"/>
        </w:rPr>
        <w:t xml:space="preserve">  （7.2.4-3）</w:t>
      </w:r>
    </w:p>
    <w:p>
      <w:pPr>
        <w:tabs>
          <w:tab w:val="left" w:pos="672"/>
          <w:tab w:val="left" w:pos="1036"/>
          <w:tab w:val="left" w:pos="1620"/>
          <w:tab w:val="left" w:pos="2160"/>
          <w:tab w:val="left" w:pos="7020"/>
        </w:tabs>
        <w:spacing w:line="360" w:lineRule="auto"/>
        <w:ind w:firstLine="720" w:firstLineChars="300"/>
        <w:jc w:val="left"/>
        <w:rPr>
          <w:sz w:val="24"/>
        </w:rPr>
      </w:pPr>
      <w:r>
        <w:rPr>
          <w:sz w:val="24"/>
        </w:rPr>
        <w:t>3）计算点位于降水后水位以下时</w:t>
      </w:r>
    </w:p>
    <w:p>
      <w:pPr>
        <w:tabs>
          <w:tab w:val="left" w:pos="672"/>
          <w:tab w:val="left" w:pos="1036"/>
          <w:tab w:val="left" w:pos="1620"/>
          <w:tab w:val="left" w:pos="2160"/>
          <w:tab w:val="left" w:pos="7020"/>
        </w:tabs>
        <w:spacing w:line="360" w:lineRule="auto"/>
        <w:ind w:left="1351" w:hanging="1351" w:hangingChars="563"/>
        <w:jc w:val="right"/>
        <w:rPr>
          <w:i/>
          <w:sz w:val="24"/>
        </w:rPr>
      </w:pPr>
      <w:r>
        <w:rPr>
          <w:i/>
          <w:position w:val="-12"/>
          <w:sz w:val="24"/>
        </w:rPr>
        <w:object>
          <v:shape id="_x0000_i1127" o:spt="75" type="#_x0000_t75" style="height:19.15pt;width:60.5pt;" o:ole="t" filled="f" coordsize="21600,21600">
            <v:path/>
            <v:fill on="f" focussize="0,0"/>
            <v:stroke/>
            <v:imagedata r:id="rId261" o:title=""/>
            <o:lock v:ext="edit" aspectratio="t"/>
            <w10:wrap type="none"/>
            <w10:anchorlock/>
          </v:shape>
          <o:OLEObject Type="Embed" ProgID="Equation.3" ShapeID="_x0000_i1127" DrawAspect="Content" ObjectID="_1468075827" r:id="rId260">
            <o:LockedField>false</o:LockedField>
          </o:OLEObject>
        </w:object>
      </w:r>
      <w:r>
        <w:rPr>
          <w:i/>
          <w:sz w:val="24"/>
        </w:rPr>
        <w:t xml:space="preserve">                          </w:t>
      </w:r>
      <w:r>
        <w:rPr>
          <w:sz w:val="24"/>
        </w:rPr>
        <w:t>（7.2.4-4）</w:t>
      </w:r>
    </w:p>
    <w:p>
      <w:pPr>
        <w:tabs>
          <w:tab w:val="left" w:pos="672"/>
          <w:tab w:val="left" w:pos="1036"/>
          <w:tab w:val="left" w:pos="1620"/>
          <w:tab w:val="left" w:pos="2160"/>
          <w:tab w:val="left" w:pos="7020"/>
        </w:tabs>
        <w:spacing w:line="360" w:lineRule="auto"/>
        <w:ind w:left="1351" w:hanging="1351" w:hangingChars="563"/>
        <w:rPr>
          <w:sz w:val="24"/>
        </w:rPr>
      </w:pPr>
      <w:r>
        <w:rPr>
          <w:sz w:val="24"/>
        </w:rPr>
        <w:t>式中：</w:t>
      </w:r>
      <w:r>
        <w:rPr>
          <w:i/>
          <w:sz w:val="24"/>
        </w:rPr>
        <w:t>γ</w:t>
      </w:r>
      <w:r>
        <w:rPr>
          <w:i/>
          <w:sz w:val="24"/>
          <w:vertAlign w:val="subscript"/>
        </w:rPr>
        <w:t>w</w:t>
      </w:r>
      <w:r>
        <w:rPr>
          <w:sz w:val="24"/>
        </w:rPr>
        <w:t>——水的重度（kN/m</w:t>
      </w:r>
      <w:r>
        <w:rPr>
          <w:sz w:val="24"/>
          <w:vertAlign w:val="superscript"/>
        </w:rPr>
        <w:t>3</w:t>
      </w:r>
      <w:r>
        <w:rPr>
          <w:sz w:val="24"/>
        </w:rPr>
        <w:t>）；</w:t>
      </w:r>
    </w:p>
    <w:p>
      <w:pPr>
        <w:tabs>
          <w:tab w:val="left" w:pos="672"/>
          <w:tab w:val="left" w:pos="1036"/>
          <w:tab w:val="left" w:pos="1620"/>
          <w:tab w:val="left" w:pos="2160"/>
          <w:tab w:val="left" w:pos="7020"/>
        </w:tabs>
        <w:spacing w:line="360" w:lineRule="auto"/>
        <w:ind w:left="630" w:leftChars="300" w:firstLine="120" w:firstLineChars="50"/>
        <w:jc w:val="left"/>
        <w:rPr>
          <w:sz w:val="24"/>
        </w:rPr>
      </w:pPr>
      <w:r>
        <w:rPr>
          <w:i/>
          <w:sz w:val="24"/>
        </w:rPr>
        <w:t>a</w:t>
      </w:r>
      <w:r>
        <w:rPr>
          <w:i/>
          <w:sz w:val="24"/>
          <w:vertAlign w:val="subscript"/>
        </w:rPr>
        <w:t>0</w:t>
      </w:r>
      <w:r>
        <w:rPr>
          <w:sz w:val="24"/>
        </w:rPr>
        <w:t>——计算点至初始地下水位的垂直距离(m)；</w:t>
      </w:r>
    </w:p>
    <w:p>
      <w:pPr>
        <w:tabs>
          <w:tab w:val="left" w:pos="672"/>
          <w:tab w:val="left" w:pos="1036"/>
          <w:tab w:val="left" w:pos="1620"/>
          <w:tab w:val="left" w:pos="2160"/>
          <w:tab w:val="left" w:pos="7020"/>
        </w:tabs>
        <w:spacing w:line="360" w:lineRule="auto"/>
        <w:ind w:firstLine="840" w:firstLineChars="350"/>
        <w:jc w:val="left"/>
        <w:rPr>
          <w:sz w:val="24"/>
        </w:rPr>
      </w:pPr>
      <w:r>
        <w:rPr>
          <w:i/>
          <w:sz w:val="24"/>
        </w:rPr>
        <w:t>s</w:t>
      </w:r>
      <w:r>
        <w:rPr>
          <w:i/>
          <w:sz w:val="24"/>
          <w:vertAlign w:val="subscript"/>
        </w:rPr>
        <w:t>i</w:t>
      </w:r>
      <w:r>
        <w:rPr>
          <w:sz w:val="24"/>
        </w:rPr>
        <w:t>——计算点对应的地下水位降深(m)。</w:t>
      </w:r>
    </w:p>
    <w:p>
      <w:pPr>
        <w:tabs>
          <w:tab w:val="left" w:pos="672"/>
          <w:tab w:val="left" w:pos="1036"/>
          <w:tab w:val="left" w:pos="1620"/>
          <w:tab w:val="left" w:pos="2160"/>
          <w:tab w:val="left" w:pos="7020"/>
        </w:tabs>
        <w:spacing w:line="360" w:lineRule="auto"/>
        <w:ind w:firstLine="840" w:firstLineChars="350"/>
        <w:jc w:val="left"/>
        <w:rPr>
          <w:sz w:val="24"/>
        </w:rPr>
      </w:pPr>
    </w:p>
    <w:p>
      <w:pPr>
        <w:tabs>
          <w:tab w:val="left" w:pos="672"/>
          <w:tab w:val="left" w:pos="1036"/>
          <w:tab w:val="left" w:pos="1620"/>
          <w:tab w:val="left" w:pos="2160"/>
          <w:tab w:val="left" w:pos="7020"/>
        </w:tabs>
        <w:spacing w:line="360" w:lineRule="auto"/>
        <w:ind w:firstLine="840" w:firstLineChars="350"/>
        <w:jc w:val="left"/>
        <w:rPr>
          <w:sz w:val="24"/>
        </w:rPr>
      </w:pPr>
    </w:p>
    <w:p>
      <w:pPr>
        <w:tabs>
          <w:tab w:val="left" w:pos="672"/>
          <w:tab w:val="left" w:pos="1036"/>
          <w:tab w:val="left" w:pos="1620"/>
          <w:tab w:val="left" w:pos="2160"/>
          <w:tab w:val="left" w:pos="7020"/>
        </w:tabs>
        <w:spacing w:line="360" w:lineRule="auto"/>
        <w:ind w:left="2191" w:leftChars="400" w:hanging="1351" w:hangingChars="563"/>
        <w:rPr>
          <w:i/>
          <w:sz w:val="24"/>
        </w:rPr>
      </w:pPr>
      <w:r>
        <w:rPr>
          <w:i/>
          <w:sz w:val="24"/>
        </w:rPr>
        <w:drawing>
          <wp:inline distT="0" distB="0" distL="0" distR="0">
            <wp:extent cx="4536440" cy="1654810"/>
            <wp:effectExtent l="0" t="0" r="0" b="2540"/>
            <wp:docPr id="42" name="图片 42" descr="E:\G规范编制\昆明地区基坑规范编制\2019.6第二次审查修改\插图\图7.2.4  降水引起的附加有效应力计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G规范编制\昆明地区基坑规范编制\2019.6第二次审查修改\插图\图7.2.4  降水引起的附加有效应力计算.jp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a:xfrm>
                      <a:off x="0" y="0"/>
                      <a:ext cx="4536440" cy="1654810"/>
                    </a:xfrm>
                    <a:prstGeom prst="rect">
                      <a:avLst/>
                    </a:prstGeom>
                    <a:noFill/>
                    <a:ln>
                      <a:noFill/>
                    </a:ln>
                  </pic:spPr>
                </pic:pic>
              </a:graphicData>
            </a:graphic>
          </wp:inline>
        </w:drawing>
      </w:r>
    </w:p>
    <w:p>
      <w:pPr>
        <w:tabs>
          <w:tab w:val="left" w:pos="672"/>
          <w:tab w:val="left" w:pos="1036"/>
          <w:tab w:val="left" w:pos="1620"/>
          <w:tab w:val="left" w:pos="2160"/>
          <w:tab w:val="left" w:pos="7020"/>
        </w:tabs>
        <w:spacing w:line="360" w:lineRule="auto"/>
        <w:ind w:left="1356" w:hanging="1356" w:hangingChars="563"/>
        <w:jc w:val="center"/>
        <w:rPr>
          <w:b/>
          <w:sz w:val="24"/>
        </w:rPr>
      </w:pPr>
      <w:r>
        <w:rPr>
          <w:b/>
          <w:sz w:val="24"/>
        </w:rPr>
        <w:t>图</w:t>
      </w:r>
      <w:r>
        <w:rPr>
          <w:rFonts w:hint="eastAsia"/>
          <w:b/>
          <w:sz w:val="24"/>
        </w:rPr>
        <w:t>1</w:t>
      </w:r>
      <w:r>
        <w:rPr>
          <w:b/>
          <w:sz w:val="24"/>
        </w:rPr>
        <w:t xml:space="preserve">  降水引起的附加有效应力计算</w:t>
      </w:r>
    </w:p>
    <w:p>
      <w:pPr>
        <w:spacing w:line="360" w:lineRule="auto"/>
        <w:ind w:firstLine="420"/>
        <w:jc w:val="center"/>
        <w:rPr>
          <w:szCs w:val="21"/>
        </w:rPr>
      </w:pPr>
      <w:r>
        <w:rPr>
          <w:szCs w:val="21"/>
        </w:rPr>
        <w:t>1－计算剖面；2－初始地下水位；3－降水后的水位；4－降水井</w:t>
      </w:r>
    </w:p>
    <w:p>
      <w:pPr>
        <w:spacing w:line="360" w:lineRule="auto"/>
        <w:jc w:val="center"/>
        <w:outlineLvl w:val="3"/>
        <w:rPr>
          <w:b/>
          <w:sz w:val="24"/>
        </w:rPr>
      </w:pPr>
      <w:bookmarkStart w:id="186" w:name="_Toc45197196"/>
      <w:r>
        <w:rPr>
          <w:b/>
          <w:sz w:val="24"/>
        </w:rPr>
        <w:t>7.3  截水帷幕</w:t>
      </w:r>
      <w:bookmarkEnd w:id="186"/>
    </w:p>
    <w:p>
      <w:pPr>
        <w:tabs>
          <w:tab w:val="left" w:pos="672"/>
          <w:tab w:val="left" w:pos="1036"/>
          <w:tab w:val="left" w:pos="1620"/>
          <w:tab w:val="left" w:pos="2160"/>
          <w:tab w:val="left" w:pos="7020"/>
        </w:tabs>
        <w:spacing w:line="360" w:lineRule="auto"/>
        <w:jc w:val="left"/>
        <w:rPr>
          <w:b/>
          <w:sz w:val="24"/>
        </w:rPr>
      </w:pPr>
      <w:r>
        <w:rPr>
          <w:rFonts w:hint="eastAsia"/>
          <w:b/>
          <w:sz w:val="24"/>
        </w:rPr>
        <w:t xml:space="preserve">7.3.1  </w:t>
      </w:r>
      <w:r>
        <w:rPr>
          <w:rFonts w:hint="eastAsia"/>
          <w:sz w:val="24"/>
        </w:rPr>
        <w:t>4 水文地质条件复杂主要是指含水层厚度大、地下水位高、地层的渗透性强等。</w:t>
      </w:r>
    </w:p>
    <w:p>
      <w:pPr>
        <w:autoSpaceDE w:val="0"/>
        <w:autoSpaceDN w:val="0"/>
        <w:adjustRightInd w:val="0"/>
        <w:spacing w:line="360" w:lineRule="auto"/>
        <w:ind w:firstLine="480" w:firstLineChars="200"/>
        <w:jc w:val="left"/>
        <w:rPr>
          <w:sz w:val="24"/>
        </w:rPr>
      </w:pPr>
    </w:p>
    <w:p>
      <w:pPr>
        <w:spacing w:line="360" w:lineRule="auto"/>
        <w:jc w:val="center"/>
        <w:outlineLvl w:val="0"/>
        <w:rPr>
          <w:b/>
          <w:sz w:val="24"/>
        </w:rPr>
        <w:sectPr>
          <w:pgSz w:w="11907" w:h="16840"/>
          <w:pgMar w:top="1418" w:right="1134" w:bottom="1134" w:left="1701" w:header="851" w:footer="851" w:gutter="0"/>
          <w:cols w:space="720" w:num="1"/>
          <w:docGrid w:linePitch="312" w:charSpace="0"/>
        </w:sectPr>
      </w:pPr>
    </w:p>
    <w:p>
      <w:pPr>
        <w:tabs>
          <w:tab w:val="center" w:pos="4536"/>
          <w:tab w:val="left" w:pos="6436"/>
        </w:tabs>
        <w:spacing w:line="360" w:lineRule="auto"/>
        <w:jc w:val="center"/>
        <w:outlineLvl w:val="2"/>
        <w:rPr>
          <w:b/>
          <w:sz w:val="28"/>
          <w:szCs w:val="28"/>
        </w:rPr>
      </w:pPr>
      <w:bookmarkStart w:id="187" w:name="_Toc45197197"/>
      <w:r>
        <w:rPr>
          <w:b/>
          <w:sz w:val="28"/>
          <w:szCs w:val="28"/>
        </w:rPr>
        <w:t>8　基坑及周边环境监测</w:t>
      </w:r>
      <w:bookmarkEnd w:id="187"/>
    </w:p>
    <w:p>
      <w:pPr>
        <w:spacing w:line="360" w:lineRule="auto"/>
        <w:jc w:val="center"/>
        <w:outlineLvl w:val="3"/>
        <w:rPr>
          <w:b/>
          <w:sz w:val="24"/>
        </w:rPr>
      </w:pPr>
      <w:bookmarkStart w:id="188" w:name="_Toc45197198"/>
      <w:r>
        <w:rPr>
          <w:b/>
          <w:sz w:val="24"/>
        </w:rPr>
        <w:t>8.1　一般规定</w:t>
      </w:r>
      <w:bookmarkEnd w:id="188"/>
    </w:p>
    <w:p>
      <w:pPr>
        <w:spacing w:line="360" w:lineRule="auto"/>
        <w:rPr>
          <w:iCs/>
          <w:sz w:val="24"/>
        </w:rPr>
      </w:pPr>
      <w:r>
        <w:rPr>
          <w:rFonts w:hint="eastAsia"/>
          <w:b/>
          <w:bCs/>
          <w:sz w:val="24"/>
        </w:rPr>
        <w:t xml:space="preserve">8.1.2  </w:t>
      </w:r>
      <w:r>
        <w:rPr>
          <w:rFonts w:ascii="宋体" w:hAnsi="宋体"/>
          <w:iCs/>
          <w:sz w:val="24"/>
        </w:rPr>
        <w:t>基坑工程施工期间的各种变化具有时效性和突发性，加强巡视检查是预防基坑工程事故非常简便、经济又有效的方法，是仪器监测很好的补充。</w:t>
      </w:r>
    </w:p>
    <w:p>
      <w:pPr>
        <w:spacing w:line="360" w:lineRule="auto"/>
        <w:ind w:firstLine="480" w:firstLineChars="200"/>
        <w:jc w:val="left"/>
        <w:rPr>
          <w:iCs/>
          <w:sz w:val="24"/>
        </w:rPr>
      </w:pPr>
      <w:r>
        <w:rPr>
          <w:rFonts w:hint="eastAsia" w:ascii="宋体" w:hAnsi="宋体"/>
          <w:iCs/>
          <w:sz w:val="24"/>
        </w:rPr>
        <w:t>基坑监测包括施工方监测和第三方监测，</w:t>
      </w:r>
      <w:r>
        <w:rPr>
          <w:rFonts w:ascii="宋体" w:hAnsi="宋体"/>
          <w:iCs/>
          <w:sz w:val="24"/>
        </w:rPr>
        <w:t>第三方</w:t>
      </w:r>
      <w:r>
        <w:rPr>
          <w:rFonts w:hint="eastAsia" w:ascii="宋体" w:hAnsi="宋体"/>
          <w:iCs/>
          <w:sz w:val="24"/>
        </w:rPr>
        <w:t>同时</w:t>
      </w:r>
      <w:r>
        <w:rPr>
          <w:rFonts w:ascii="宋体" w:hAnsi="宋体"/>
          <w:iCs/>
          <w:sz w:val="24"/>
        </w:rPr>
        <w:t>实施基坑监测有利于保证监测行为的公正性和监测数据的客观性。</w:t>
      </w:r>
    </w:p>
    <w:p>
      <w:pPr>
        <w:spacing w:line="360" w:lineRule="auto"/>
        <w:rPr>
          <w:iCs/>
          <w:sz w:val="24"/>
        </w:rPr>
      </w:pPr>
      <w:r>
        <w:rPr>
          <w:rFonts w:hint="eastAsia"/>
          <w:b/>
          <w:bCs/>
          <w:sz w:val="24"/>
        </w:rPr>
        <w:t xml:space="preserve">8.1.3  </w:t>
      </w:r>
      <w:r>
        <w:rPr>
          <w:rFonts w:ascii="宋体" w:hAnsi="宋体"/>
          <w:iCs/>
          <w:sz w:val="24"/>
        </w:rPr>
        <w:t>基坑工程是一个涉及支护结构、土方开挖、地下水位变化、周边道路、管线、建筑物等在内的系统工程，</w:t>
      </w:r>
      <w:r>
        <w:rPr>
          <w:rFonts w:hint="eastAsia" w:ascii="宋体" w:hAnsi="宋体"/>
          <w:iCs/>
          <w:sz w:val="24"/>
        </w:rPr>
        <w:t>系统监测应能较</w:t>
      </w:r>
      <w:r>
        <w:rPr>
          <w:rFonts w:ascii="宋体" w:hAnsi="宋体"/>
          <w:iCs/>
          <w:sz w:val="24"/>
        </w:rPr>
        <w:t>全面的反映基坑工程的工作状态。</w:t>
      </w:r>
    </w:p>
    <w:p>
      <w:pPr>
        <w:spacing w:line="360" w:lineRule="auto"/>
        <w:jc w:val="center"/>
        <w:outlineLvl w:val="3"/>
        <w:rPr>
          <w:b/>
          <w:sz w:val="24"/>
        </w:rPr>
      </w:pPr>
      <w:bookmarkStart w:id="189" w:name="_Toc45197199"/>
      <w:r>
        <w:rPr>
          <w:b/>
          <w:sz w:val="24"/>
        </w:rPr>
        <w:t>8.3　周边环境监测</w:t>
      </w:r>
      <w:r>
        <w:rPr>
          <w:rFonts w:hint="eastAsia"/>
          <w:b/>
          <w:sz w:val="24"/>
        </w:rPr>
        <w:t>点布置</w:t>
      </w:r>
      <w:bookmarkEnd w:id="189"/>
    </w:p>
    <w:p>
      <w:pPr>
        <w:spacing w:line="360" w:lineRule="auto"/>
        <w:rPr>
          <w:iCs/>
          <w:sz w:val="24"/>
        </w:rPr>
      </w:pPr>
      <w:r>
        <w:rPr>
          <w:rFonts w:hint="eastAsia"/>
          <w:b/>
          <w:bCs/>
          <w:sz w:val="24"/>
        </w:rPr>
        <w:t xml:space="preserve">8.3.4  </w:t>
      </w:r>
      <w:r>
        <w:rPr>
          <w:rFonts w:ascii="宋体" w:hAnsi="宋体"/>
          <w:iCs/>
          <w:sz w:val="24"/>
        </w:rPr>
        <w:t>监测点应布置在基础类型、埋深和荷载有明显不同处及沉降缝、伸缩缝的两侧，并宜布置于通视良好，不易遭受破坏之处。</w:t>
      </w:r>
    </w:p>
    <w:p>
      <w:pPr>
        <w:spacing w:line="360" w:lineRule="auto"/>
        <w:rPr>
          <w:iCs/>
          <w:sz w:val="24"/>
        </w:rPr>
      </w:pPr>
      <w:r>
        <w:rPr>
          <w:rFonts w:hint="eastAsia"/>
          <w:b/>
          <w:bCs/>
          <w:sz w:val="24"/>
        </w:rPr>
        <w:t xml:space="preserve">8.3.7  </w:t>
      </w:r>
      <w:r>
        <w:rPr>
          <w:rFonts w:ascii="宋体" w:hAnsi="宋体"/>
          <w:iCs/>
          <w:sz w:val="24"/>
        </w:rPr>
        <w:t>影响范围内有多条管线时，宜根据管线年份、类型、材质、管径等情况，综合确定监测点，且宜在内侧和外侧的管线上布置监测点。给水、煤气管宜设置直接</w:t>
      </w:r>
      <w:r>
        <w:rPr>
          <w:rFonts w:hint="eastAsia" w:ascii="宋体" w:hAnsi="宋体"/>
          <w:iCs/>
          <w:sz w:val="24"/>
        </w:rPr>
        <w:t>监</w:t>
      </w:r>
      <w:r>
        <w:rPr>
          <w:rFonts w:ascii="宋体" w:hAnsi="宋体"/>
          <w:iCs/>
          <w:sz w:val="24"/>
        </w:rPr>
        <w:t>测点，也可</w:t>
      </w:r>
      <w:r>
        <w:rPr>
          <w:rFonts w:hint="eastAsia" w:ascii="宋体" w:hAnsi="宋体"/>
          <w:iCs/>
          <w:sz w:val="24"/>
        </w:rPr>
        <w:t>在</w:t>
      </w:r>
      <w:r>
        <w:rPr>
          <w:rFonts w:ascii="宋体" w:hAnsi="宋体"/>
          <w:iCs/>
          <w:sz w:val="24"/>
        </w:rPr>
        <w:t>窨井、阀门、抽气孔以及检查井等管线附属构筑物</w:t>
      </w:r>
      <w:r>
        <w:rPr>
          <w:rFonts w:hint="eastAsia" w:ascii="宋体" w:hAnsi="宋体"/>
          <w:iCs/>
          <w:sz w:val="24"/>
        </w:rPr>
        <w:t>上布置</w:t>
      </w:r>
      <w:r>
        <w:rPr>
          <w:rFonts w:ascii="宋体" w:hAnsi="宋体"/>
          <w:iCs/>
          <w:sz w:val="24"/>
        </w:rPr>
        <w:t>监测点。</w:t>
      </w:r>
    </w:p>
    <w:p>
      <w:pPr>
        <w:spacing w:line="360" w:lineRule="auto"/>
        <w:jc w:val="center"/>
        <w:outlineLvl w:val="3"/>
        <w:rPr>
          <w:b/>
          <w:sz w:val="24"/>
        </w:rPr>
      </w:pPr>
      <w:bookmarkStart w:id="190" w:name="_Toc45197200"/>
      <w:r>
        <w:rPr>
          <w:b/>
          <w:sz w:val="24"/>
        </w:rPr>
        <w:t>8.4　监测频率及报警</w:t>
      </w:r>
      <w:bookmarkEnd w:id="190"/>
    </w:p>
    <w:p>
      <w:pPr>
        <w:spacing w:line="360" w:lineRule="auto"/>
        <w:rPr>
          <w:iCs/>
          <w:sz w:val="24"/>
        </w:rPr>
      </w:pPr>
      <w:r>
        <w:rPr>
          <w:rFonts w:hint="eastAsia"/>
          <w:b/>
          <w:bCs/>
          <w:sz w:val="24"/>
        </w:rPr>
        <w:t xml:space="preserve">8.4.3-8.4.4 </w:t>
      </w:r>
      <w:r>
        <w:rPr>
          <w:rFonts w:hint="eastAsia"/>
          <w:iCs/>
          <w:sz w:val="24"/>
        </w:rPr>
        <w:t xml:space="preserve"> </w:t>
      </w:r>
      <w:r>
        <w:rPr>
          <w:rFonts w:ascii="宋体" w:hAnsi="宋体"/>
          <w:iCs/>
          <w:sz w:val="24"/>
        </w:rPr>
        <w:t>基坑工程设计方根据土质特性和周边环境保护要求对支护结构的内力、变形进行必要的计算与分析，并结合工程经验确定合适的</w:t>
      </w:r>
      <w:r>
        <w:rPr>
          <w:rFonts w:hint="eastAsia" w:ascii="宋体" w:hAnsi="宋体"/>
          <w:iCs/>
          <w:sz w:val="24"/>
        </w:rPr>
        <w:t>变形控制</w:t>
      </w:r>
      <w:r>
        <w:rPr>
          <w:rFonts w:ascii="宋体" w:hAnsi="宋体"/>
          <w:iCs/>
          <w:sz w:val="24"/>
        </w:rPr>
        <w:t>值。</w:t>
      </w:r>
    </w:p>
    <w:p>
      <w:pPr>
        <w:spacing w:line="360" w:lineRule="auto"/>
        <w:ind w:firstLine="480" w:firstLineChars="200"/>
        <w:jc w:val="left"/>
        <w:rPr>
          <w:b/>
          <w:sz w:val="24"/>
        </w:rPr>
      </w:pPr>
      <w:r>
        <w:rPr>
          <w:rFonts w:ascii="宋体" w:hAnsi="宋体"/>
          <w:iCs/>
          <w:sz w:val="24"/>
        </w:rPr>
        <w:t>确定基坑工程报警值是一个十分严肃、复杂的课题，建立一个定量化的报警指标体系对于基坑工程的安全监控意义重大。但是由于设计理论的不尽完善</w:t>
      </w:r>
      <w:r>
        <w:rPr>
          <w:rFonts w:hint="eastAsia" w:ascii="宋体" w:hAnsi="宋体"/>
          <w:iCs/>
          <w:sz w:val="24"/>
        </w:rPr>
        <w:t>，</w:t>
      </w:r>
      <w:r>
        <w:rPr>
          <w:rFonts w:ascii="宋体" w:hAnsi="宋体"/>
          <w:iCs/>
          <w:sz w:val="24"/>
        </w:rPr>
        <w:t>基坑</w:t>
      </w:r>
      <w:r>
        <w:rPr>
          <w:rFonts w:hint="eastAsia" w:ascii="宋体" w:hAnsi="宋体"/>
          <w:iCs/>
          <w:sz w:val="24"/>
        </w:rPr>
        <w:t>工</w:t>
      </w:r>
      <w:r>
        <w:rPr>
          <w:rFonts w:ascii="宋体" w:hAnsi="宋体"/>
          <w:iCs/>
          <w:sz w:val="24"/>
        </w:rPr>
        <w:t>程的地质、环境差异性及复杂性，确定基坑监测报警值需要综合考虑。</w:t>
      </w:r>
    </w:p>
    <w:p>
      <w:pPr>
        <w:spacing w:line="360" w:lineRule="auto"/>
        <w:rPr>
          <w:b/>
          <w:sz w:val="24"/>
        </w:rPr>
      </w:pPr>
    </w:p>
    <w:sectPr>
      <w:pgSz w:w="11907" w:h="16840"/>
      <w:pgMar w:top="1418" w:right="1134" w:bottom="1134"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SimSun,Bold">
    <w:altName w:val="宋体"/>
    <w:panose1 w:val="00000000000000000000"/>
    <w:charset w:val="86"/>
    <w:family w:val="auto"/>
    <w:pitch w:val="default"/>
    <w:sig w:usb0="00000000" w:usb1="00000000" w:usb2="00000010" w:usb3="00000000" w:csb0="00040000" w:csb1="00000000"/>
  </w:font>
  <w:font w:name="TimesNewRoman">
    <w:altName w:val="Microsoft JhengHei"/>
    <w:panose1 w:val="00000000000000000000"/>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2</w:t>
    </w:r>
    <w:r>
      <w:rPr>
        <w:lang w:val="zh-CN"/>
      </w:rP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4718457"/>
      <w:docPartObj>
        <w:docPartGallery w:val="AutoText"/>
      </w:docPartObj>
    </w:sdtPr>
    <w:sdtContent>
      <w:p>
        <w:pPr>
          <w:pStyle w:val="16"/>
          <w:jc w:val="center"/>
        </w:pPr>
        <w:r>
          <w:fldChar w:fldCharType="begin"/>
        </w:r>
        <w:r>
          <w:instrText xml:space="preserve">PAGE   \* MERGEFORMAT</w:instrText>
        </w:r>
        <w:r>
          <w:fldChar w:fldCharType="separate"/>
        </w:r>
        <w:r>
          <w:rPr>
            <w:lang w:val="zh-CN" w:eastAsia="zh-CN"/>
          </w:rPr>
          <w:t>1</w:t>
        </w:r>
        <w:r>
          <w:fldChar w:fldCharType="end"/>
        </w:r>
      </w:p>
    </w:sdtContent>
  </w:sdt>
  <w:p>
    <w:pPr>
      <w:pStyle w:val="16"/>
      <w:rPr>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0812905"/>
      <w:docPartObj>
        <w:docPartGallery w:val="AutoText"/>
      </w:docPartObj>
    </w:sdtPr>
    <w:sdtContent>
      <w:p>
        <w:pPr>
          <w:pStyle w:val="16"/>
          <w:jc w:val="center"/>
        </w:pPr>
        <w:r>
          <w:fldChar w:fldCharType="begin"/>
        </w:r>
        <w:r>
          <w:instrText xml:space="preserve">PAGE   \* MERGEFORMAT</w:instrText>
        </w:r>
        <w:r>
          <w:fldChar w:fldCharType="separate"/>
        </w:r>
        <w:r>
          <w:rPr>
            <w:lang w:val="zh-CN" w:eastAsia="zh-CN"/>
          </w:rPr>
          <w:t>1</w:t>
        </w:r>
        <w:r>
          <w:fldChar w:fldCharType="end"/>
        </w:r>
      </w:p>
    </w:sdtContent>
  </w:sdt>
  <w:p>
    <w:pPr>
      <w:pStyle w:val="16"/>
      <w:rPr>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103</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II</w:t>
    </w:r>
    <w:r>
      <w:rPr>
        <w:lang w:val="zh-CN"/>
      </w:rPr>
      <w:fldChar w:fldCharType="end"/>
    </w:r>
  </w:p>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p>
    <w:pPr>
      <w:pStyle w:val="16"/>
      <w:rPr>
        <w:lang w:eastAsia="zh-C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1148138"/>
      <w:docPartObj>
        <w:docPartGallery w:val="AutoText"/>
      </w:docPartObj>
    </w:sdtPr>
    <w:sdtContent>
      <w:p>
        <w:pPr>
          <w:pStyle w:val="16"/>
          <w:jc w:val="center"/>
        </w:pPr>
        <w:r>
          <w:fldChar w:fldCharType="begin"/>
        </w:r>
        <w:r>
          <w:instrText xml:space="preserve">PAGE   \* MERGEFORMAT</w:instrText>
        </w:r>
        <w:r>
          <w:fldChar w:fldCharType="separate"/>
        </w:r>
        <w:r>
          <w:rPr>
            <w:lang w:val="zh-CN" w:eastAsia="zh-CN"/>
          </w:rPr>
          <w:t>108</w:t>
        </w:r>
        <w:r>
          <w:fldChar w:fldCharType="end"/>
        </w:r>
      </w:p>
    </w:sdtContent>
  </w:sdt>
  <w:p>
    <w:pPr>
      <w:pStyle w:val="16"/>
      <w:rPr>
        <w:lang w:eastAsia="zh-C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PAGE   \* MERGEFORMAT</w:instrText>
    </w:r>
    <w:r>
      <w:fldChar w:fldCharType="separate"/>
    </w:r>
    <w:r>
      <w:rPr>
        <w:lang w:val="zh-CN"/>
      </w:rPr>
      <w:t>125</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86A"/>
    <w:rsid w:val="00000A2E"/>
    <w:rsid w:val="00001AED"/>
    <w:rsid w:val="00002C8A"/>
    <w:rsid w:val="00003786"/>
    <w:rsid w:val="00006FB8"/>
    <w:rsid w:val="00007939"/>
    <w:rsid w:val="00012198"/>
    <w:rsid w:val="00014AD9"/>
    <w:rsid w:val="00015957"/>
    <w:rsid w:val="00015B72"/>
    <w:rsid w:val="00015F07"/>
    <w:rsid w:val="000163A8"/>
    <w:rsid w:val="00020380"/>
    <w:rsid w:val="00020549"/>
    <w:rsid w:val="0002082E"/>
    <w:rsid w:val="00020D25"/>
    <w:rsid w:val="00021A29"/>
    <w:rsid w:val="0002233F"/>
    <w:rsid w:val="00022402"/>
    <w:rsid w:val="000227AA"/>
    <w:rsid w:val="000228A8"/>
    <w:rsid w:val="00025104"/>
    <w:rsid w:val="00026448"/>
    <w:rsid w:val="000279FA"/>
    <w:rsid w:val="0003105E"/>
    <w:rsid w:val="0003213E"/>
    <w:rsid w:val="00035CE5"/>
    <w:rsid w:val="00035DD2"/>
    <w:rsid w:val="00036BB1"/>
    <w:rsid w:val="00036DE8"/>
    <w:rsid w:val="00042288"/>
    <w:rsid w:val="00042668"/>
    <w:rsid w:val="00045180"/>
    <w:rsid w:val="00045EC2"/>
    <w:rsid w:val="00046055"/>
    <w:rsid w:val="00047EF1"/>
    <w:rsid w:val="00053367"/>
    <w:rsid w:val="00053B67"/>
    <w:rsid w:val="00056A5A"/>
    <w:rsid w:val="00056CAD"/>
    <w:rsid w:val="00057676"/>
    <w:rsid w:val="00060EFD"/>
    <w:rsid w:val="00061183"/>
    <w:rsid w:val="00063985"/>
    <w:rsid w:val="00066CDE"/>
    <w:rsid w:val="00070420"/>
    <w:rsid w:val="00070BE1"/>
    <w:rsid w:val="00070F31"/>
    <w:rsid w:val="000721EC"/>
    <w:rsid w:val="00072E7D"/>
    <w:rsid w:val="00074591"/>
    <w:rsid w:val="00074882"/>
    <w:rsid w:val="00080625"/>
    <w:rsid w:val="00080EDC"/>
    <w:rsid w:val="000822B5"/>
    <w:rsid w:val="00083402"/>
    <w:rsid w:val="00084E92"/>
    <w:rsid w:val="00086904"/>
    <w:rsid w:val="00086F8F"/>
    <w:rsid w:val="00087345"/>
    <w:rsid w:val="00090BD1"/>
    <w:rsid w:val="00093891"/>
    <w:rsid w:val="0009390F"/>
    <w:rsid w:val="0009465F"/>
    <w:rsid w:val="00094FF7"/>
    <w:rsid w:val="000951B2"/>
    <w:rsid w:val="00095708"/>
    <w:rsid w:val="000969EE"/>
    <w:rsid w:val="00096CFF"/>
    <w:rsid w:val="00097E0B"/>
    <w:rsid w:val="000A164E"/>
    <w:rsid w:val="000A1C82"/>
    <w:rsid w:val="000A2EBE"/>
    <w:rsid w:val="000A413A"/>
    <w:rsid w:val="000A5F47"/>
    <w:rsid w:val="000A6536"/>
    <w:rsid w:val="000A681F"/>
    <w:rsid w:val="000A71B1"/>
    <w:rsid w:val="000B00DF"/>
    <w:rsid w:val="000B14B1"/>
    <w:rsid w:val="000B301D"/>
    <w:rsid w:val="000B3848"/>
    <w:rsid w:val="000B3C69"/>
    <w:rsid w:val="000B57A8"/>
    <w:rsid w:val="000B7190"/>
    <w:rsid w:val="000C03B3"/>
    <w:rsid w:val="000C170A"/>
    <w:rsid w:val="000C3B98"/>
    <w:rsid w:val="000C4AF2"/>
    <w:rsid w:val="000C5225"/>
    <w:rsid w:val="000C5DDA"/>
    <w:rsid w:val="000C6353"/>
    <w:rsid w:val="000D12EA"/>
    <w:rsid w:val="000D1414"/>
    <w:rsid w:val="000D145D"/>
    <w:rsid w:val="000D22A9"/>
    <w:rsid w:val="000D2B50"/>
    <w:rsid w:val="000D3D16"/>
    <w:rsid w:val="000D6C71"/>
    <w:rsid w:val="000E00C6"/>
    <w:rsid w:val="000E069D"/>
    <w:rsid w:val="000E0D25"/>
    <w:rsid w:val="000E2B0A"/>
    <w:rsid w:val="000E3B1F"/>
    <w:rsid w:val="000E3FC2"/>
    <w:rsid w:val="000E428C"/>
    <w:rsid w:val="000E488C"/>
    <w:rsid w:val="000E5D9D"/>
    <w:rsid w:val="000E7BF3"/>
    <w:rsid w:val="000F0B81"/>
    <w:rsid w:val="000F0D5C"/>
    <w:rsid w:val="000F15FB"/>
    <w:rsid w:val="000F1A6B"/>
    <w:rsid w:val="000F23AC"/>
    <w:rsid w:val="000F3195"/>
    <w:rsid w:val="000F4434"/>
    <w:rsid w:val="000F6F53"/>
    <w:rsid w:val="000F76DA"/>
    <w:rsid w:val="00100002"/>
    <w:rsid w:val="00104B3B"/>
    <w:rsid w:val="00105CD0"/>
    <w:rsid w:val="00106EB0"/>
    <w:rsid w:val="00110AEC"/>
    <w:rsid w:val="00111584"/>
    <w:rsid w:val="0011203E"/>
    <w:rsid w:val="00112311"/>
    <w:rsid w:val="00114828"/>
    <w:rsid w:val="001169E5"/>
    <w:rsid w:val="00116A18"/>
    <w:rsid w:val="001172B1"/>
    <w:rsid w:val="00120A5F"/>
    <w:rsid w:val="00122705"/>
    <w:rsid w:val="00125326"/>
    <w:rsid w:val="001267AE"/>
    <w:rsid w:val="00130D36"/>
    <w:rsid w:val="00132867"/>
    <w:rsid w:val="00133C6E"/>
    <w:rsid w:val="00133D73"/>
    <w:rsid w:val="001343E8"/>
    <w:rsid w:val="00135090"/>
    <w:rsid w:val="0013710E"/>
    <w:rsid w:val="001414DC"/>
    <w:rsid w:val="0014224B"/>
    <w:rsid w:val="0014471E"/>
    <w:rsid w:val="00144A06"/>
    <w:rsid w:val="00145580"/>
    <w:rsid w:val="00146632"/>
    <w:rsid w:val="001501A8"/>
    <w:rsid w:val="00150234"/>
    <w:rsid w:val="00153B20"/>
    <w:rsid w:val="00154475"/>
    <w:rsid w:val="00154945"/>
    <w:rsid w:val="00154A14"/>
    <w:rsid w:val="0015549A"/>
    <w:rsid w:val="00155F81"/>
    <w:rsid w:val="001564B8"/>
    <w:rsid w:val="001567D1"/>
    <w:rsid w:val="001601A4"/>
    <w:rsid w:val="00160B5E"/>
    <w:rsid w:val="00161045"/>
    <w:rsid w:val="00161F4A"/>
    <w:rsid w:val="00164E82"/>
    <w:rsid w:val="00166544"/>
    <w:rsid w:val="00167281"/>
    <w:rsid w:val="00167D41"/>
    <w:rsid w:val="0017232B"/>
    <w:rsid w:val="001729BF"/>
    <w:rsid w:val="00172A27"/>
    <w:rsid w:val="0017334A"/>
    <w:rsid w:val="001747FC"/>
    <w:rsid w:val="00176317"/>
    <w:rsid w:val="001805D0"/>
    <w:rsid w:val="00181D24"/>
    <w:rsid w:val="0018225C"/>
    <w:rsid w:val="00185D76"/>
    <w:rsid w:val="00187B35"/>
    <w:rsid w:val="00190268"/>
    <w:rsid w:val="00190DC2"/>
    <w:rsid w:val="00192EFB"/>
    <w:rsid w:val="001931E4"/>
    <w:rsid w:val="00195510"/>
    <w:rsid w:val="00195A27"/>
    <w:rsid w:val="00196C63"/>
    <w:rsid w:val="00196E8F"/>
    <w:rsid w:val="001978ED"/>
    <w:rsid w:val="00197B72"/>
    <w:rsid w:val="001A28D6"/>
    <w:rsid w:val="001A37D9"/>
    <w:rsid w:val="001A56E8"/>
    <w:rsid w:val="001A5D1C"/>
    <w:rsid w:val="001A6466"/>
    <w:rsid w:val="001A6D7D"/>
    <w:rsid w:val="001B0670"/>
    <w:rsid w:val="001B17D1"/>
    <w:rsid w:val="001B2DD2"/>
    <w:rsid w:val="001B364B"/>
    <w:rsid w:val="001B3B9E"/>
    <w:rsid w:val="001B4344"/>
    <w:rsid w:val="001B4ED5"/>
    <w:rsid w:val="001B5FF0"/>
    <w:rsid w:val="001C2AC1"/>
    <w:rsid w:val="001C4764"/>
    <w:rsid w:val="001C4CA3"/>
    <w:rsid w:val="001C6118"/>
    <w:rsid w:val="001C69D6"/>
    <w:rsid w:val="001D07EA"/>
    <w:rsid w:val="001D168B"/>
    <w:rsid w:val="001D399A"/>
    <w:rsid w:val="001D42E5"/>
    <w:rsid w:val="001D5A7D"/>
    <w:rsid w:val="001D5D77"/>
    <w:rsid w:val="001D5D78"/>
    <w:rsid w:val="001D6020"/>
    <w:rsid w:val="001E0BBD"/>
    <w:rsid w:val="001E3050"/>
    <w:rsid w:val="001E326F"/>
    <w:rsid w:val="001E37F8"/>
    <w:rsid w:val="001E3937"/>
    <w:rsid w:val="001E3A79"/>
    <w:rsid w:val="001E4A1C"/>
    <w:rsid w:val="001E4FC1"/>
    <w:rsid w:val="001E55F3"/>
    <w:rsid w:val="001E6D53"/>
    <w:rsid w:val="001F009C"/>
    <w:rsid w:val="001F05D5"/>
    <w:rsid w:val="001F10ED"/>
    <w:rsid w:val="001F1C00"/>
    <w:rsid w:val="001F1D74"/>
    <w:rsid w:val="001F1D7F"/>
    <w:rsid w:val="001F21FB"/>
    <w:rsid w:val="001F25B8"/>
    <w:rsid w:val="001F3606"/>
    <w:rsid w:val="001F4B6E"/>
    <w:rsid w:val="001F4C4A"/>
    <w:rsid w:val="001F5740"/>
    <w:rsid w:val="001F6EED"/>
    <w:rsid w:val="00203FFC"/>
    <w:rsid w:val="00204FC2"/>
    <w:rsid w:val="002051E0"/>
    <w:rsid w:val="00205375"/>
    <w:rsid w:val="00206246"/>
    <w:rsid w:val="002069A4"/>
    <w:rsid w:val="00206F71"/>
    <w:rsid w:val="00210480"/>
    <w:rsid w:val="00213602"/>
    <w:rsid w:val="002213BE"/>
    <w:rsid w:val="00221DA8"/>
    <w:rsid w:val="00224E00"/>
    <w:rsid w:val="0022719F"/>
    <w:rsid w:val="00227A6C"/>
    <w:rsid w:val="002309B9"/>
    <w:rsid w:val="00231C5B"/>
    <w:rsid w:val="00233375"/>
    <w:rsid w:val="002341DB"/>
    <w:rsid w:val="002342E5"/>
    <w:rsid w:val="0023483A"/>
    <w:rsid w:val="00243195"/>
    <w:rsid w:val="00245BBF"/>
    <w:rsid w:val="002469EB"/>
    <w:rsid w:val="002478F9"/>
    <w:rsid w:val="0025084F"/>
    <w:rsid w:val="00251ACE"/>
    <w:rsid w:val="002528DB"/>
    <w:rsid w:val="00252A46"/>
    <w:rsid w:val="002545D2"/>
    <w:rsid w:val="00254A22"/>
    <w:rsid w:val="00255FCC"/>
    <w:rsid w:val="00256551"/>
    <w:rsid w:val="0025667A"/>
    <w:rsid w:val="00256EB3"/>
    <w:rsid w:val="00260029"/>
    <w:rsid w:val="00260713"/>
    <w:rsid w:val="00260E66"/>
    <w:rsid w:val="00261443"/>
    <w:rsid w:val="002626AF"/>
    <w:rsid w:val="00271362"/>
    <w:rsid w:val="00271AE0"/>
    <w:rsid w:val="00271FFD"/>
    <w:rsid w:val="0028045B"/>
    <w:rsid w:val="00280CE9"/>
    <w:rsid w:val="0028250C"/>
    <w:rsid w:val="00284A04"/>
    <w:rsid w:val="002856D5"/>
    <w:rsid w:val="00285F2C"/>
    <w:rsid w:val="00286C38"/>
    <w:rsid w:val="00286F1E"/>
    <w:rsid w:val="002877E5"/>
    <w:rsid w:val="00287E8A"/>
    <w:rsid w:val="00290B0E"/>
    <w:rsid w:val="00290D5C"/>
    <w:rsid w:val="00292BC4"/>
    <w:rsid w:val="002937BB"/>
    <w:rsid w:val="00293C2A"/>
    <w:rsid w:val="0029565F"/>
    <w:rsid w:val="002956F4"/>
    <w:rsid w:val="00297A85"/>
    <w:rsid w:val="002A003F"/>
    <w:rsid w:val="002A19E4"/>
    <w:rsid w:val="002A6710"/>
    <w:rsid w:val="002A736E"/>
    <w:rsid w:val="002B0C62"/>
    <w:rsid w:val="002B0D21"/>
    <w:rsid w:val="002B1E0E"/>
    <w:rsid w:val="002B2AB5"/>
    <w:rsid w:val="002B4E81"/>
    <w:rsid w:val="002B5C18"/>
    <w:rsid w:val="002C14D3"/>
    <w:rsid w:val="002C40D2"/>
    <w:rsid w:val="002C5C61"/>
    <w:rsid w:val="002C608E"/>
    <w:rsid w:val="002C666C"/>
    <w:rsid w:val="002C6855"/>
    <w:rsid w:val="002C7606"/>
    <w:rsid w:val="002D0F90"/>
    <w:rsid w:val="002D2DFA"/>
    <w:rsid w:val="002D61BD"/>
    <w:rsid w:val="002D7DC1"/>
    <w:rsid w:val="002D7E1D"/>
    <w:rsid w:val="002E193A"/>
    <w:rsid w:val="002E370E"/>
    <w:rsid w:val="002E443D"/>
    <w:rsid w:val="002E44B4"/>
    <w:rsid w:val="002E625D"/>
    <w:rsid w:val="002E65C0"/>
    <w:rsid w:val="002E7876"/>
    <w:rsid w:val="002F204D"/>
    <w:rsid w:val="002F2115"/>
    <w:rsid w:val="002F25CD"/>
    <w:rsid w:val="002F266C"/>
    <w:rsid w:val="002F36DF"/>
    <w:rsid w:val="002F3F03"/>
    <w:rsid w:val="002F4FC3"/>
    <w:rsid w:val="002F54E0"/>
    <w:rsid w:val="002F7B37"/>
    <w:rsid w:val="002F7E09"/>
    <w:rsid w:val="0030089C"/>
    <w:rsid w:val="00300EE6"/>
    <w:rsid w:val="00302742"/>
    <w:rsid w:val="00304887"/>
    <w:rsid w:val="00304F06"/>
    <w:rsid w:val="00305F82"/>
    <w:rsid w:val="0030757E"/>
    <w:rsid w:val="00307827"/>
    <w:rsid w:val="00307C76"/>
    <w:rsid w:val="00307DE1"/>
    <w:rsid w:val="0031023C"/>
    <w:rsid w:val="00311967"/>
    <w:rsid w:val="003139B4"/>
    <w:rsid w:val="00313FC5"/>
    <w:rsid w:val="003151AC"/>
    <w:rsid w:val="00315B03"/>
    <w:rsid w:val="00316AAA"/>
    <w:rsid w:val="00316CC9"/>
    <w:rsid w:val="003213C1"/>
    <w:rsid w:val="003219C5"/>
    <w:rsid w:val="003222DC"/>
    <w:rsid w:val="0032242D"/>
    <w:rsid w:val="00322AFF"/>
    <w:rsid w:val="00322D5E"/>
    <w:rsid w:val="0032547C"/>
    <w:rsid w:val="0032608B"/>
    <w:rsid w:val="003262C4"/>
    <w:rsid w:val="00327F15"/>
    <w:rsid w:val="00330AD7"/>
    <w:rsid w:val="00331E0E"/>
    <w:rsid w:val="0033500E"/>
    <w:rsid w:val="00335141"/>
    <w:rsid w:val="0033528B"/>
    <w:rsid w:val="00335849"/>
    <w:rsid w:val="0034063A"/>
    <w:rsid w:val="00340D62"/>
    <w:rsid w:val="00340E3D"/>
    <w:rsid w:val="00342BA3"/>
    <w:rsid w:val="00342C2F"/>
    <w:rsid w:val="00342D1E"/>
    <w:rsid w:val="00343AA5"/>
    <w:rsid w:val="00344BC2"/>
    <w:rsid w:val="00344CCA"/>
    <w:rsid w:val="003452B0"/>
    <w:rsid w:val="00345889"/>
    <w:rsid w:val="00346B7D"/>
    <w:rsid w:val="003501BE"/>
    <w:rsid w:val="00350EA9"/>
    <w:rsid w:val="00351433"/>
    <w:rsid w:val="003525F1"/>
    <w:rsid w:val="0035326F"/>
    <w:rsid w:val="00353FDC"/>
    <w:rsid w:val="00354E3F"/>
    <w:rsid w:val="00356605"/>
    <w:rsid w:val="0035764B"/>
    <w:rsid w:val="00360FD5"/>
    <w:rsid w:val="0036127F"/>
    <w:rsid w:val="00363320"/>
    <w:rsid w:val="00364225"/>
    <w:rsid w:val="003661E4"/>
    <w:rsid w:val="00367B04"/>
    <w:rsid w:val="0037141E"/>
    <w:rsid w:val="00372823"/>
    <w:rsid w:val="0037601B"/>
    <w:rsid w:val="00376E0A"/>
    <w:rsid w:val="00377F35"/>
    <w:rsid w:val="00380D65"/>
    <w:rsid w:val="00383193"/>
    <w:rsid w:val="00387224"/>
    <w:rsid w:val="0039190E"/>
    <w:rsid w:val="0039687F"/>
    <w:rsid w:val="0039769A"/>
    <w:rsid w:val="003A2797"/>
    <w:rsid w:val="003A3A49"/>
    <w:rsid w:val="003A44DE"/>
    <w:rsid w:val="003A6CD9"/>
    <w:rsid w:val="003B2907"/>
    <w:rsid w:val="003B3BED"/>
    <w:rsid w:val="003C292A"/>
    <w:rsid w:val="003C2C0E"/>
    <w:rsid w:val="003C5B24"/>
    <w:rsid w:val="003C5BE5"/>
    <w:rsid w:val="003C6351"/>
    <w:rsid w:val="003C69FA"/>
    <w:rsid w:val="003D157B"/>
    <w:rsid w:val="003D28BC"/>
    <w:rsid w:val="003D568F"/>
    <w:rsid w:val="003D6C24"/>
    <w:rsid w:val="003E003A"/>
    <w:rsid w:val="003E23EC"/>
    <w:rsid w:val="003E2C45"/>
    <w:rsid w:val="003E514E"/>
    <w:rsid w:val="003E5155"/>
    <w:rsid w:val="003E620D"/>
    <w:rsid w:val="003E7E3F"/>
    <w:rsid w:val="003F0B4D"/>
    <w:rsid w:val="003F1A24"/>
    <w:rsid w:val="003F2F78"/>
    <w:rsid w:val="003F41C6"/>
    <w:rsid w:val="003F6FA4"/>
    <w:rsid w:val="003F75D1"/>
    <w:rsid w:val="00400301"/>
    <w:rsid w:val="0040164B"/>
    <w:rsid w:val="00401B75"/>
    <w:rsid w:val="00404006"/>
    <w:rsid w:val="00405C59"/>
    <w:rsid w:val="00406ACE"/>
    <w:rsid w:val="004103AB"/>
    <w:rsid w:val="00414099"/>
    <w:rsid w:val="004149A8"/>
    <w:rsid w:val="00416603"/>
    <w:rsid w:val="004204F0"/>
    <w:rsid w:val="00420618"/>
    <w:rsid w:val="004218F1"/>
    <w:rsid w:val="004225A0"/>
    <w:rsid w:val="0042322D"/>
    <w:rsid w:val="00423A44"/>
    <w:rsid w:val="0042590A"/>
    <w:rsid w:val="00426FCC"/>
    <w:rsid w:val="00430947"/>
    <w:rsid w:val="00431407"/>
    <w:rsid w:val="00433FC3"/>
    <w:rsid w:val="00434C2E"/>
    <w:rsid w:val="0043512E"/>
    <w:rsid w:val="004359B2"/>
    <w:rsid w:val="00435F8E"/>
    <w:rsid w:val="004360DA"/>
    <w:rsid w:val="004362B4"/>
    <w:rsid w:val="0043725F"/>
    <w:rsid w:val="00437B00"/>
    <w:rsid w:val="004402C3"/>
    <w:rsid w:val="0044044E"/>
    <w:rsid w:val="00441942"/>
    <w:rsid w:val="0044199D"/>
    <w:rsid w:val="00441A9C"/>
    <w:rsid w:val="0044215D"/>
    <w:rsid w:val="00444953"/>
    <w:rsid w:val="004449A9"/>
    <w:rsid w:val="00447578"/>
    <w:rsid w:val="00451AB8"/>
    <w:rsid w:val="004522F6"/>
    <w:rsid w:val="004536F4"/>
    <w:rsid w:val="00454890"/>
    <w:rsid w:val="00454C90"/>
    <w:rsid w:val="004554A4"/>
    <w:rsid w:val="00455D8E"/>
    <w:rsid w:val="00461DFF"/>
    <w:rsid w:val="004622AB"/>
    <w:rsid w:val="00463A57"/>
    <w:rsid w:val="00463E65"/>
    <w:rsid w:val="0046443D"/>
    <w:rsid w:val="004646C8"/>
    <w:rsid w:val="00464C8D"/>
    <w:rsid w:val="00465A3F"/>
    <w:rsid w:val="00466604"/>
    <w:rsid w:val="004667AE"/>
    <w:rsid w:val="0046705D"/>
    <w:rsid w:val="0046799C"/>
    <w:rsid w:val="00467D54"/>
    <w:rsid w:val="00470ABD"/>
    <w:rsid w:val="0047120D"/>
    <w:rsid w:val="0047179A"/>
    <w:rsid w:val="00471CBC"/>
    <w:rsid w:val="00475EE6"/>
    <w:rsid w:val="004771B6"/>
    <w:rsid w:val="004804E8"/>
    <w:rsid w:val="00480F88"/>
    <w:rsid w:val="004810DC"/>
    <w:rsid w:val="00482873"/>
    <w:rsid w:val="00483F5E"/>
    <w:rsid w:val="00484394"/>
    <w:rsid w:val="004919F2"/>
    <w:rsid w:val="00492352"/>
    <w:rsid w:val="0049276F"/>
    <w:rsid w:val="0049301E"/>
    <w:rsid w:val="00495658"/>
    <w:rsid w:val="00495BF4"/>
    <w:rsid w:val="004961F1"/>
    <w:rsid w:val="0049792A"/>
    <w:rsid w:val="004A389B"/>
    <w:rsid w:val="004A3B64"/>
    <w:rsid w:val="004A448B"/>
    <w:rsid w:val="004A643C"/>
    <w:rsid w:val="004A79FC"/>
    <w:rsid w:val="004B0A83"/>
    <w:rsid w:val="004B0FCB"/>
    <w:rsid w:val="004B1BD3"/>
    <w:rsid w:val="004B27D8"/>
    <w:rsid w:val="004B2E7F"/>
    <w:rsid w:val="004B37C4"/>
    <w:rsid w:val="004B3B79"/>
    <w:rsid w:val="004B3BB8"/>
    <w:rsid w:val="004B49F3"/>
    <w:rsid w:val="004B77DC"/>
    <w:rsid w:val="004B7B07"/>
    <w:rsid w:val="004B7C6E"/>
    <w:rsid w:val="004C14B1"/>
    <w:rsid w:val="004C2326"/>
    <w:rsid w:val="004C2EE9"/>
    <w:rsid w:val="004C4FD7"/>
    <w:rsid w:val="004C511F"/>
    <w:rsid w:val="004C5F1C"/>
    <w:rsid w:val="004D12B3"/>
    <w:rsid w:val="004D173C"/>
    <w:rsid w:val="004D1837"/>
    <w:rsid w:val="004D22D6"/>
    <w:rsid w:val="004D5505"/>
    <w:rsid w:val="004D754C"/>
    <w:rsid w:val="004D7A58"/>
    <w:rsid w:val="004E0B77"/>
    <w:rsid w:val="004E19EA"/>
    <w:rsid w:val="004E5254"/>
    <w:rsid w:val="004E6541"/>
    <w:rsid w:val="004E7047"/>
    <w:rsid w:val="004E74CF"/>
    <w:rsid w:val="004F315A"/>
    <w:rsid w:val="004F6A71"/>
    <w:rsid w:val="004F75DF"/>
    <w:rsid w:val="0050126C"/>
    <w:rsid w:val="005012CE"/>
    <w:rsid w:val="00501C86"/>
    <w:rsid w:val="005039EA"/>
    <w:rsid w:val="005052F5"/>
    <w:rsid w:val="0050585F"/>
    <w:rsid w:val="005067D5"/>
    <w:rsid w:val="00506DE7"/>
    <w:rsid w:val="00510352"/>
    <w:rsid w:val="00510B42"/>
    <w:rsid w:val="00513039"/>
    <w:rsid w:val="005131D2"/>
    <w:rsid w:val="0051459A"/>
    <w:rsid w:val="00515540"/>
    <w:rsid w:val="0051637C"/>
    <w:rsid w:val="00516A3B"/>
    <w:rsid w:val="00517176"/>
    <w:rsid w:val="00522FBA"/>
    <w:rsid w:val="005236AF"/>
    <w:rsid w:val="00523A90"/>
    <w:rsid w:val="0052689F"/>
    <w:rsid w:val="00526B74"/>
    <w:rsid w:val="00526E2B"/>
    <w:rsid w:val="00530EA7"/>
    <w:rsid w:val="0053198B"/>
    <w:rsid w:val="00531D9C"/>
    <w:rsid w:val="00532182"/>
    <w:rsid w:val="00535D12"/>
    <w:rsid w:val="005361A8"/>
    <w:rsid w:val="00537AC9"/>
    <w:rsid w:val="00537C3B"/>
    <w:rsid w:val="00540598"/>
    <w:rsid w:val="0054188C"/>
    <w:rsid w:val="00541CAC"/>
    <w:rsid w:val="00542362"/>
    <w:rsid w:val="00543BFE"/>
    <w:rsid w:val="00543D8B"/>
    <w:rsid w:val="00544962"/>
    <w:rsid w:val="005477ED"/>
    <w:rsid w:val="00550FF5"/>
    <w:rsid w:val="00551916"/>
    <w:rsid w:val="00551DFE"/>
    <w:rsid w:val="005524AE"/>
    <w:rsid w:val="00554B84"/>
    <w:rsid w:val="0055541B"/>
    <w:rsid w:val="00556088"/>
    <w:rsid w:val="00556AE0"/>
    <w:rsid w:val="00556E4E"/>
    <w:rsid w:val="00557CA4"/>
    <w:rsid w:val="00561BEF"/>
    <w:rsid w:val="0056276D"/>
    <w:rsid w:val="0056376C"/>
    <w:rsid w:val="00563E54"/>
    <w:rsid w:val="0056507F"/>
    <w:rsid w:val="00565B34"/>
    <w:rsid w:val="00566728"/>
    <w:rsid w:val="00571823"/>
    <w:rsid w:val="00572A15"/>
    <w:rsid w:val="00573103"/>
    <w:rsid w:val="005737DE"/>
    <w:rsid w:val="005750F4"/>
    <w:rsid w:val="0057579B"/>
    <w:rsid w:val="00575BBA"/>
    <w:rsid w:val="00577BC5"/>
    <w:rsid w:val="0058751F"/>
    <w:rsid w:val="00587CA2"/>
    <w:rsid w:val="00592F48"/>
    <w:rsid w:val="0059436B"/>
    <w:rsid w:val="0059571A"/>
    <w:rsid w:val="00597D14"/>
    <w:rsid w:val="005A03E4"/>
    <w:rsid w:val="005A1235"/>
    <w:rsid w:val="005A23FA"/>
    <w:rsid w:val="005A2549"/>
    <w:rsid w:val="005A31A5"/>
    <w:rsid w:val="005A3E25"/>
    <w:rsid w:val="005A47A9"/>
    <w:rsid w:val="005A4B28"/>
    <w:rsid w:val="005A4B40"/>
    <w:rsid w:val="005A6635"/>
    <w:rsid w:val="005A7A78"/>
    <w:rsid w:val="005B0493"/>
    <w:rsid w:val="005B0E67"/>
    <w:rsid w:val="005B1F79"/>
    <w:rsid w:val="005B3D5D"/>
    <w:rsid w:val="005B483F"/>
    <w:rsid w:val="005B4E24"/>
    <w:rsid w:val="005B5045"/>
    <w:rsid w:val="005B6532"/>
    <w:rsid w:val="005C0610"/>
    <w:rsid w:val="005C2FCD"/>
    <w:rsid w:val="005D2449"/>
    <w:rsid w:val="005D3400"/>
    <w:rsid w:val="005D41B5"/>
    <w:rsid w:val="005D5C33"/>
    <w:rsid w:val="005D7675"/>
    <w:rsid w:val="005E19E5"/>
    <w:rsid w:val="005E44E7"/>
    <w:rsid w:val="005E5019"/>
    <w:rsid w:val="005E5ACD"/>
    <w:rsid w:val="005E6917"/>
    <w:rsid w:val="005E78AD"/>
    <w:rsid w:val="005F3E1C"/>
    <w:rsid w:val="005F490D"/>
    <w:rsid w:val="005F7F2E"/>
    <w:rsid w:val="006009F5"/>
    <w:rsid w:val="00600E9A"/>
    <w:rsid w:val="00603F1B"/>
    <w:rsid w:val="00605F10"/>
    <w:rsid w:val="00606D01"/>
    <w:rsid w:val="00612006"/>
    <w:rsid w:val="006129FE"/>
    <w:rsid w:val="00614B0C"/>
    <w:rsid w:val="006163B5"/>
    <w:rsid w:val="00620188"/>
    <w:rsid w:val="0062046C"/>
    <w:rsid w:val="00621495"/>
    <w:rsid w:val="00622590"/>
    <w:rsid w:val="00625512"/>
    <w:rsid w:val="00627DA8"/>
    <w:rsid w:val="006303F4"/>
    <w:rsid w:val="00636780"/>
    <w:rsid w:val="00636935"/>
    <w:rsid w:val="00640DDB"/>
    <w:rsid w:val="0064194C"/>
    <w:rsid w:val="006440E1"/>
    <w:rsid w:val="00645607"/>
    <w:rsid w:val="00645B43"/>
    <w:rsid w:val="00646A97"/>
    <w:rsid w:val="00646BE7"/>
    <w:rsid w:val="006502F0"/>
    <w:rsid w:val="006512FA"/>
    <w:rsid w:val="00654EDD"/>
    <w:rsid w:val="006563AB"/>
    <w:rsid w:val="00660E32"/>
    <w:rsid w:val="006618F8"/>
    <w:rsid w:val="006619B3"/>
    <w:rsid w:val="00661FEF"/>
    <w:rsid w:val="00662466"/>
    <w:rsid w:val="00663FF2"/>
    <w:rsid w:val="006650C2"/>
    <w:rsid w:val="00670014"/>
    <w:rsid w:val="0067053D"/>
    <w:rsid w:val="00671DF9"/>
    <w:rsid w:val="00672225"/>
    <w:rsid w:val="00672CA6"/>
    <w:rsid w:val="006744F1"/>
    <w:rsid w:val="00676F6B"/>
    <w:rsid w:val="0068054D"/>
    <w:rsid w:val="00683EC0"/>
    <w:rsid w:val="00686C7C"/>
    <w:rsid w:val="00687846"/>
    <w:rsid w:val="0068797F"/>
    <w:rsid w:val="00690475"/>
    <w:rsid w:val="00690EA3"/>
    <w:rsid w:val="00691BED"/>
    <w:rsid w:val="006937B6"/>
    <w:rsid w:val="00695012"/>
    <w:rsid w:val="00696DAF"/>
    <w:rsid w:val="00696FCB"/>
    <w:rsid w:val="00697F71"/>
    <w:rsid w:val="006A1DD8"/>
    <w:rsid w:val="006A568F"/>
    <w:rsid w:val="006A7BAB"/>
    <w:rsid w:val="006B1145"/>
    <w:rsid w:val="006B1481"/>
    <w:rsid w:val="006B186A"/>
    <w:rsid w:val="006B2097"/>
    <w:rsid w:val="006B2E08"/>
    <w:rsid w:val="006B3784"/>
    <w:rsid w:val="006B39CD"/>
    <w:rsid w:val="006B59CC"/>
    <w:rsid w:val="006C3BB7"/>
    <w:rsid w:val="006C4CC0"/>
    <w:rsid w:val="006C536F"/>
    <w:rsid w:val="006D0B7F"/>
    <w:rsid w:val="006D5627"/>
    <w:rsid w:val="006D5A48"/>
    <w:rsid w:val="006E11A0"/>
    <w:rsid w:val="006E3A5D"/>
    <w:rsid w:val="006E404D"/>
    <w:rsid w:val="006E4878"/>
    <w:rsid w:val="006E4E72"/>
    <w:rsid w:val="006E5CCD"/>
    <w:rsid w:val="006E66AA"/>
    <w:rsid w:val="006E7503"/>
    <w:rsid w:val="006F007F"/>
    <w:rsid w:val="006F0610"/>
    <w:rsid w:val="006F070F"/>
    <w:rsid w:val="006F20A2"/>
    <w:rsid w:val="006F2987"/>
    <w:rsid w:val="006F3546"/>
    <w:rsid w:val="006F6945"/>
    <w:rsid w:val="0070015D"/>
    <w:rsid w:val="00700179"/>
    <w:rsid w:val="007002B3"/>
    <w:rsid w:val="00700AEA"/>
    <w:rsid w:val="00700DDA"/>
    <w:rsid w:val="00701AFA"/>
    <w:rsid w:val="00701CFE"/>
    <w:rsid w:val="00702637"/>
    <w:rsid w:val="00702FC4"/>
    <w:rsid w:val="0070384B"/>
    <w:rsid w:val="0070594B"/>
    <w:rsid w:val="00706F1B"/>
    <w:rsid w:val="0070781A"/>
    <w:rsid w:val="0070787E"/>
    <w:rsid w:val="00710C8D"/>
    <w:rsid w:val="00710D74"/>
    <w:rsid w:val="00710E4A"/>
    <w:rsid w:val="00711897"/>
    <w:rsid w:val="00712082"/>
    <w:rsid w:val="007126EA"/>
    <w:rsid w:val="007133FA"/>
    <w:rsid w:val="00717F35"/>
    <w:rsid w:val="0072029B"/>
    <w:rsid w:val="00722755"/>
    <w:rsid w:val="00723DEE"/>
    <w:rsid w:val="007244BD"/>
    <w:rsid w:val="00724622"/>
    <w:rsid w:val="007249AA"/>
    <w:rsid w:val="007253DD"/>
    <w:rsid w:val="00727A26"/>
    <w:rsid w:val="00727EB6"/>
    <w:rsid w:val="007300BE"/>
    <w:rsid w:val="00730353"/>
    <w:rsid w:val="00731B5A"/>
    <w:rsid w:val="007322B3"/>
    <w:rsid w:val="0073274E"/>
    <w:rsid w:val="00732867"/>
    <w:rsid w:val="00734803"/>
    <w:rsid w:val="007376A5"/>
    <w:rsid w:val="00740679"/>
    <w:rsid w:val="00743881"/>
    <w:rsid w:val="00744BEB"/>
    <w:rsid w:val="00745A7F"/>
    <w:rsid w:val="00746594"/>
    <w:rsid w:val="00746E77"/>
    <w:rsid w:val="007514F2"/>
    <w:rsid w:val="00751B2D"/>
    <w:rsid w:val="00752DCC"/>
    <w:rsid w:val="00752FB6"/>
    <w:rsid w:val="00754E31"/>
    <w:rsid w:val="0075558B"/>
    <w:rsid w:val="007563F3"/>
    <w:rsid w:val="007574FB"/>
    <w:rsid w:val="00757A0F"/>
    <w:rsid w:val="00761FF0"/>
    <w:rsid w:val="00762625"/>
    <w:rsid w:val="00762725"/>
    <w:rsid w:val="00764EA9"/>
    <w:rsid w:val="00765D08"/>
    <w:rsid w:val="00766475"/>
    <w:rsid w:val="007713F9"/>
    <w:rsid w:val="00775B03"/>
    <w:rsid w:val="00775C23"/>
    <w:rsid w:val="00776B7E"/>
    <w:rsid w:val="00777034"/>
    <w:rsid w:val="00782C68"/>
    <w:rsid w:val="00785455"/>
    <w:rsid w:val="00786972"/>
    <w:rsid w:val="00790266"/>
    <w:rsid w:val="0079147B"/>
    <w:rsid w:val="007945E9"/>
    <w:rsid w:val="007951EC"/>
    <w:rsid w:val="007968A4"/>
    <w:rsid w:val="007971BD"/>
    <w:rsid w:val="007976C4"/>
    <w:rsid w:val="00797870"/>
    <w:rsid w:val="00797A8F"/>
    <w:rsid w:val="007A13D2"/>
    <w:rsid w:val="007A21DF"/>
    <w:rsid w:val="007A3486"/>
    <w:rsid w:val="007A469A"/>
    <w:rsid w:val="007A61D4"/>
    <w:rsid w:val="007A64A6"/>
    <w:rsid w:val="007A72D5"/>
    <w:rsid w:val="007A7CAD"/>
    <w:rsid w:val="007B1168"/>
    <w:rsid w:val="007B1BA2"/>
    <w:rsid w:val="007B2BDC"/>
    <w:rsid w:val="007C0A96"/>
    <w:rsid w:val="007C51BE"/>
    <w:rsid w:val="007D2315"/>
    <w:rsid w:val="007D2330"/>
    <w:rsid w:val="007D28B7"/>
    <w:rsid w:val="007D39E1"/>
    <w:rsid w:val="007D4814"/>
    <w:rsid w:val="007D4DE4"/>
    <w:rsid w:val="007D589D"/>
    <w:rsid w:val="007D6040"/>
    <w:rsid w:val="007D68AF"/>
    <w:rsid w:val="007E121B"/>
    <w:rsid w:val="007E2910"/>
    <w:rsid w:val="007E3E2A"/>
    <w:rsid w:val="007E41D1"/>
    <w:rsid w:val="007E4D82"/>
    <w:rsid w:val="007E5193"/>
    <w:rsid w:val="007E51D9"/>
    <w:rsid w:val="007E5CD9"/>
    <w:rsid w:val="007F0BFA"/>
    <w:rsid w:val="007F2244"/>
    <w:rsid w:val="007F2259"/>
    <w:rsid w:val="007F275C"/>
    <w:rsid w:val="007F4B78"/>
    <w:rsid w:val="007F5669"/>
    <w:rsid w:val="007F5B0D"/>
    <w:rsid w:val="007F5DAF"/>
    <w:rsid w:val="007F685E"/>
    <w:rsid w:val="007F6F1C"/>
    <w:rsid w:val="007F701C"/>
    <w:rsid w:val="007F7FA2"/>
    <w:rsid w:val="00800970"/>
    <w:rsid w:val="008025D2"/>
    <w:rsid w:val="00806BDA"/>
    <w:rsid w:val="00806F48"/>
    <w:rsid w:val="008122A4"/>
    <w:rsid w:val="00812EA7"/>
    <w:rsid w:val="00814272"/>
    <w:rsid w:val="008175FC"/>
    <w:rsid w:val="0082066B"/>
    <w:rsid w:val="00824A2E"/>
    <w:rsid w:val="00824BE3"/>
    <w:rsid w:val="00825D2F"/>
    <w:rsid w:val="008262FF"/>
    <w:rsid w:val="008329DA"/>
    <w:rsid w:val="00832BDD"/>
    <w:rsid w:val="0084081D"/>
    <w:rsid w:val="0084436D"/>
    <w:rsid w:val="00845467"/>
    <w:rsid w:val="00846154"/>
    <w:rsid w:val="00847803"/>
    <w:rsid w:val="008503C5"/>
    <w:rsid w:val="00850618"/>
    <w:rsid w:val="00850CC1"/>
    <w:rsid w:val="0085137C"/>
    <w:rsid w:val="00852771"/>
    <w:rsid w:val="008537E5"/>
    <w:rsid w:val="00854462"/>
    <w:rsid w:val="00857060"/>
    <w:rsid w:val="00857BE1"/>
    <w:rsid w:val="00861644"/>
    <w:rsid w:val="00863911"/>
    <w:rsid w:val="00866146"/>
    <w:rsid w:val="00866FB5"/>
    <w:rsid w:val="008674EE"/>
    <w:rsid w:val="008702F5"/>
    <w:rsid w:val="0087076B"/>
    <w:rsid w:val="0087492C"/>
    <w:rsid w:val="00874A6B"/>
    <w:rsid w:val="00874B4E"/>
    <w:rsid w:val="00876218"/>
    <w:rsid w:val="008767D5"/>
    <w:rsid w:val="00876827"/>
    <w:rsid w:val="00880498"/>
    <w:rsid w:val="00885750"/>
    <w:rsid w:val="00886E32"/>
    <w:rsid w:val="00887AC2"/>
    <w:rsid w:val="00890362"/>
    <w:rsid w:val="0089163F"/>
    <w:rsid w:val="008923CB"/>
    <w:rsid w:val="00894418"/>
    <w:rsid w:val="00894DFA"/>
    <w:rsid w:val="00896699"/>
    <w:rsid w:val="00896973"/>
    <w:rsid w:val="00897118"/>
    <w:rsid w:val="00897CCB"/>
    <w:rsid w:val="008A0AD2"/>
    <w:rsid w:val="008A1467"/>
    <w:rsid w:val="008A1D2B"/>
    <w:rsid w:val="008A20FE"/>
    <w:rsid w:val="008A2BC8"/>
    <w:rsid w:val="008A4FCA"/>
    <w:rsid w:val="008A6481"/>
    <w:rsid w:val="008A7EFB"/>
    <w:rsid w:val="008B04EE"/>
    <w:rsid w:val="008B0EC1"/>
    <w:rsid w:val="008B1004"/>
    <w:rsid w:val="008B3FFE"/>
    <w:rsid w:val="008B76B0"/>
    <w:rsid w:val="008B7DC8"/>
    <w:rsid w:val="008C076A"/>
    <w:rsid w:val="008C1D59"/>
    <w:rsid w:val="008C2D95"/>
    <w:rsid w:val="008C3821"/>
    <w:rsid w:val="008C45E1"/>
    <w:rsid w:val="008C4ED2"/>
    <w:rsid w:val="008C7232"/>
    <w:rsid w:val="008D0630"/>
    <w:rsid w:val="008D06EF"/>
    <w:rsid w:val="008D0921"/>
    <w:rsid w:val="008D0BDD"/>
    <w:rsid w:val="008D155D"/>
    <w:rsid w:val="008D3C79"/>
    <w:rsid w:val="008D3F7C"/>
    <w:rsid w:val="008D49C3"/>
    <w:rsid w:val="008D61CD"/>
    <w:rsid w:val="008D7610"/>
    <w:rsid w:val="008D78FF"/>
    <w:rsid w:val="008D79BE"/>
    <w:rsid w:val="008D7E15"/>
    <w:rsid w:val="008E02A5"/>
    <w:rsid w:val="008E18C9"/>
    <w:rsid w:val="008E245F"/>
    <w:rsid w:val="008E24B6"/>
    <w:rsid w:val="008E26E5"/>
    <w:rsid w:val="008E33D8"/>
    <w:rsid w:val="008E555F"/>
    <w:rsid w:val="008E5AD7"/>
    <w:rsid w:val="008E6449"/>
    <w:rsid w:val="008F0E3A"/>
    <w:rsid w:val="008F0E56"/>
    <w:rsid w:val="008F4A26"/>
    <w:rsid w:val="008F5485"/>
    <w:rsid w:val="008F5F9F"/>
    <w:rsid w:val="008F6403"/>
    <w:rsid w:val="008F669A"/>
    <w:rsid w:val="008F6A6B"/>
    <w:rsid w:val="0090255E"/>
    <w:rsid w:val="00902A42"/>
    <w:rsid w:val="00902D48"/>
    <w:rsid w:val="009032A4"/>
    <w:rsid w:val="0090450A"/>
    <w:rsid w:val="009055D0"/>
    <w:rsid w:val="00906507"/>
    <w:rsid w:val="00910EC9"/>
    <w:rsid w:val="00911D04"/>
    <w:rsid w:val="00911F5C"/>
    <w:rsid w:val="00913C2E"/>
    <w:rsid w:val="00914DC5"/>
    <w:rsid w:val="00916342"/>
    <w:rsid w:val="009202FB"/>
    <w:rsid w:val="0092098C"/>
    <w:rsid w:val="00923270"/>
    <w:rsid w:val="00925176"/>
    <w:rsid w:val="00925420"/>
    <w:rsid w:val="0092620B"/>
    <w:rsid w:val="00927AF9"/>
    <w:rsid w:val="00931034"/>
    <w:rsid w:val="00932FA1"/>
    <w:rsid w:val="009330BB"/>
    <w:rsid w:val="00933268"/>
    <w:rsid w:val="00933383"/>
    <w:rsid w:val="00934C53"/>
    <w:rsid w:val="00935922"/>
    <w:rsid w:val="00935C1A"/>
    <w:rsid w:val="009376EA"/>
    <w:rsid w:val="00937A5C"/>
    <w:rsid w:val="00941C6F"/>
    <w:rsid w:val="00942537"/>
    <w:rsid w:val="00943D5A"/>
    <w:rsid w:val="009458F6"/>
    <w:rsid w:val="00946DB4"/>
    <w:rsid w:val="00953EF2"/>
    <w:rsid w:val="00956306"/>
    <w:rsid w:val="009565C9"/>
    <w:rsid w:val="00956B3A"/>
    <w:rsid w:val="0095719C"/>
    <w:rsid w:val="00957961"/>
    <w:rsid w:val="009614B9"/>
    <w:rsid w:val="0096286E"/>
    <w:rsid w:val="00963211"/>
    <w:rsid w:val="00964E23"/>
    <w:rsid w:val="00965128"/>
    <w:rsid w:val="009658EB"/>
    <w:rsid w:val="009709AB"/>
    <w:rsid w:val="00971363"/>
    <w:rsid w:val="0097496D"/>
    <w:rsid w:val="00976AB9"/>
    <w:rsid w:val="00976BDA"/>
    <w:rsid w:val="00977C9F"/>
    <w:rsid w:val="00983514"/>
    <w:rsid w:val="00985E58"/>
    <w:rsid w:val="0098667D"/>
    <w:rsid w:val="009902F8"/>
    <w:rsid w:val="00991C60"/>
    <w:rsid w:val="0099291C"/>
    <w:rsid w:val="00993710"/>
    <w:rsid w:val="009939A2"/>
    <w:rsid w:val="009939FB"/>
    <w:rsid w:val="00994469"/>
    <w:rsid w:val="00994B1F"/>
    <w:rsid w:val="00995000"/>
    <w:rsid w:val="0099608C"/>
    <w:rsid w:val="009A2F8C"/>
    <w:rsid w:val="009A43F0"/>
    <w:rsid w:val="009A451B"/>
    <w:rsid w:val="009A4AD0"/>
    <w:rsid w:val="009A670D"/>
    <w:rsid w:val="009B0EBD"/>
    <w:rsid w:val="009B2F38"/>
    <w:rsid w:val="009B3316"/>
    <w:rsid w:val="009B5B00"/>
    <w:rsid w:val="009B72E9"/>
    <w:rsid w:val="009B7A14"/>
    <w:rsid w:val="009C2D2B"/>
    <w:rsid w:val="009C3C6C"/>
    <w:rsid w:val="009C439F"/>
    <w:rsid w:val="009C4ACF"/>
    <w:rsid w:val="009C57AC"/>
    <w:rsid w:val="009C5F0E"/>
    <w:rsid w:val="009C5FE4"/>
    <w:rsid w:val="009D556E"/>
    <w:rsid w:val="009D5D9F"/>
    <w:rsid w:val="009D6160"/>
    <w:rsid w:val="009D6DA2"/>
    <w:rsid w:val="009D7533"/>
    <w:rsid w:val="009D78C2"/>
    <w:rsid w:val="009E0471"/>
    <w:rsid w:val="009E192D"/>
    <w:rsid w:val="009E3618"/>
    <w:rsid w:val="009E4494"/>
    <w:rsid w:val="009E47BA"/>
    <w:rsid w:val="009E519D"/>
    <w:rsid w:val="009E5D4C"/>
    <w:rsid w:val="009E6765"/>
    <w:rsid w:val="009E6937"/>
    <w:rsid w:val="009F08E7"/>
    <w:rsid w:val="009F0F5C"/>
    <w:rsid w:val="009F1618"/>
    <w:rsid w:val="009F266B"/>
    <w:rsid w:val="009F28F1"/>
    <w:rsid w:val="009F490D"/>
    <w:rsid w:val="009F5832"/>
    <w:rsid w:val="009F59E1"/>
    <w:rsid w:val="009F5CC9"/>
    <w:rsid w:val="009F6764"/>
    <w:rsid w:val="00A00472"/>
    <w:rsid w:val="00A00E98"/>
    <w:rsid w:val="00A0411D"/>
    <w:rsid w:val="00A0557D"/>
    <w:rsid w:val="00A07D9E"/>
    <w:rsid w:val="00A10964"/>
    <w:rsid w:val="00A11506"/>
    <w:rsid w:val="00A13620"/>
    <w:rsid w:val="00A146B5"/>
    <w:rsid w:val="00A152D9"/>
    <w:rsid w:val="00A15FBF"/>
    <w:rsid w:val="00A167B3"/>
    <w:rsid w:val="00A208EA"/>
    <w:rsid w:val="00A232BF"/>
    <w:rsid w:val="00A278C5"/>
    <w:rsid w:val="00A31049"/>
    <w:rsid w:val="00A312B5"/>
    <w:rsid w:val="00A31408"/>
    <w:rsid w:val="00A320CA"/>
    <w:rsid w:val="00A3261F"/>
    <w:rsid w:val="00A330E3"/>
    <w:rsid w:val="00A3350D"/>
    <w:rsid w:val="00A36182"/>
    <w:rsid w:val="00A40FD0"/>
    <w:rsid w:val="00A423AB"/>
    <w:rsid w:val="00A43B24"/>
    <w:rsid w:val="00A44381"/>
    <w:rsid w:val="00A44568"/>
    <w:rsid w:val="00A44BF8"/>
    <w:rsid w:val="00A478FE"/>
    <w:rsid w:val="00A47FDA"/>
    <w:rsid w:val="00A519C2"/>
    <w:rsid w:val="00A52A01"/>
    <w:rsid w:val="00A55911"/>
    <w:rsid w:val="00A5610D"/>
    <w:rsid w:val="00A57763"/>
    <w:rsid w:val="00A60232"/>
    <w:rsid w:val="00A609EB"/>
    <w:rsid w:val="00A6166A"/>
    <w:rsid w:val="00A62DCA"/>
    <w:rsid w:val="00A63A64"/>
    <w:rsid w:val="00A63E94"/>
    <w:rsid w:val="00A64E84"/>
    <w:rsid w:val="00A653F9"/>
    <w:rsid w:val="00A65BCA"/>
    <w:rsid w:val="00A66658"/>
    <w:rsid w:val="00A66F50"/>
    <w:rsid w:val="00A67C3B"/>
    <w:rsid w:val="00A7039B"/>
    <w:rsid w:val="00A713FC"/>
    <w:rsid w:val="00A73A22"/>
    <w:rsid w:val="00A74E87"/>
    <w:rsid w:val="00A770DA"/>
    <w:rsid w:val="00A77938"/>
    <w:rsid w:val="00A84B43"/>
    <w:rsid w:val="00A87258"/>
    <w:rsid w:val="00A966A0"/>
    <w:rsid w:val="00AA0B02"/>
    <w:rsid w:val="00AA0EFC"/>
    <w:rsid w:val="00AA3510"/>
    <w:rsid w:val="00AA3E51"/>
    <w:rsid w:val="00AA4C11"/>
    <w:rsid w:val="00AA6ABE"/>
    <w:rsid w:val="00AA706E"/>
    <w:rsid w:val="00AA71EE"/>
    <w:rsid w:val="00AA798F"/>
    <w:rsid w:val="00AB009A"/>
    <w:rsid w:val="00AB0E14"/>
    <w:rsid w:val="00AB1FF5"/>
    <w:rsid w:val="00AB2F57"/>
    <w:rsid w:val="00AB3284"/>
    <w:rsid w:val="00AB3D03"/>
    <w:rsid w:val="00AB43F4"/>
    <w:rsid w:val="00AB5A2A"/>
    <w:rsid w:val="00AB6914"/>
    <w:rsid w:val="00AB76C0"/>
    <w:rsid w:val="00AB7B0A"/>
    <w:rsid w:val="00AC4576"/>
    <w:rsid w:val="00AC4748"/>
    <w:rsid w:val="00AC49B3"/>
    <w:rsid w:val="00AC7C2B"/>
    <w:rsid w:val="00AD05F6"/>
    <w:rsid w:val="00AD09B1"/>
    <w:rsid w:val="00AD0CC8"/>
    <w:rsid w:val="00AD1F22"/>
    <w:rsid w:val="00AD2DAE"/>
    <w:rsid w:val="00AD34E6"/>
    <w:rsid w:val="00AD34EF"/>
    <w:rsid w:val="00AD49AB"/>
    <w:rsid w:val="00AD6B6A"/>
    <w:rsid w:val="00AE37A4"/>
    <w:rsid w:val="00AE45B3"/>
    <w:rsid w:val="00AE6FC8"/>
    <w:rsid w:val="00AE75B7"/>
    <w:rsid w:val="00AF0434"/>
    <w:rsid w:val="00AF14C0"/>
    <w:rsid w:val="00AF260B"/>
    <w:rsid w:val="00AF309B"/>
    <w:rsid w:val="00AF65F0"/>
    <w:rsid w:val="00B00D93"/>
    <w:rsid w:val="00B02FB2"/>
    <w:rsid w:val="00B03E7D"/>
    <w:rsid w:val="00B066C7"/>
    <w:rsid w:val="00B0686C"/>
    <w:rsid w:val="00B07A47"/>
    <w:rsid w:val="00B07A9A"/>
    <w:rsid w:val="00B13661"/>
    <w:rsid w:val="00B16841"/>
    <w:rsid w:val="00B168BB"/>
    <w:rsid w:val="00B16957"/>
    <w:rsid w:val="00B178F7"/>
    <w:rsid w:val="00B17F48"/>
    <w:rsid w:val="00B22CB0"/>
    <w:rsid w:val="00B24352"/>
    <w:rsid w:val="00B2458E"/>
    <w:rsid w:val="00B25F86"/>
    <w:rsid w:val="00B27615"/>
    <w:rsid w:val="00B27ED5"/>
    <w:rsid w:val="00B30A56"/>
    <w:rsid w:val="00B348FB"/>
    <w:rsid w:val="00B34E6B"/>
    <w:rsid w:val="00B35BDF"/>
    <w:rsid w:val="00B36538"/>
    <w:rsid w:val="00B3658B"/>
    <w:rsid w:val="00B36DB6"/>
    <w:rsid w:val="00B40975"/>
    <w:rsid w:val="00B41218"/>
    <w:rsid w:val="00B42B7D"/>
    <w:rsid w:val="00B43D8A"/>
    <w:rsid w:val="00B468B4"/>
    <w:rsid w:val="00B46F59"/>
    <w:rsid w:val="00B47582"/>
    <w:rsid w:val="00B5010D"/>
    <w:rsid w:val="00B502EE"/>
    <w:rsid w:val="00B520B2"/>
    <w:rsid w:val="00B54D17"/>
    <w:rsid w:val="00B56236"/>
    <w:rsid w:val="00B56C80"/>
    <w:rsid w:val="00B56FD3"/>
    <w:rsid w:val="00B650E2"/>
    <w:rsid w:val="00B657D3"/>
    <w:rsid w:val="00B658EA"/>
    <w:rsid w:val="00B67845"/>
    <w:rsid w:val="00B72E28"/>
    <w:rsid w:val="00B7380E"/>
    <w:rsid w:val="00B74A43"/>
    <w:rsid w:val="00B81A9C"/>
    <w:rsid w:val="00B825E9"/>
    <w:rsid w:val="00B8457D"/>
    <w:rsid w:val="00B85A05"/>
    <w:rsid w:val="00B864FE"/>
    <w:rsid w:val="00B9032B"/>
    <w:rsid w:val="00B90D25"/>
    <w:rsid w:val="00B91565"/>
    <w:rsid w:val="00B92030"/>
    <w:rsid w:val="00B9276A"/>
    <w:rsid w:val="00B930D6"/>
    <w:rsid w:val="00B93500"/>
    <w:rsid w:val="00B94C53"/>
    <w:rsid w:val="00B96B3B"/>
    <w:rsid w:val="00BA0F84"/>
    <w:rsid w:val="00BA1234"/>
    <w:rsid w:val="00BA16A1"/>
    <w:rsid w:val="00BA38B9"/>
    <w:rsid w:val="00BA5583"/>
    <w:rsid w:val="00BA64D6"/>
    <w:rsid w:val="00BB411A"/>
    <w:rsid w:val="00BB4444"/>
    <w:rsid w:val="00BB45B4"/>
    <w:rsid w:val="00BB4866"/>
    <w:rsid w:val="00BB5279"/>
    <w:rsid w:val="00BB5ADD"/>
    <w:rsid w:val="00BC129B"/>
    <w:rsid w:val="00BC5644"/>
    <w:rsid w:val="00BC6159"/>
    <w:rsid w:val="00BC6F9C"/>
    <w:rsid w:val="00BC73A2"/>
    <w:rsid w:val="00BD00C3"/>
    <w:rsid w:val="00BD024C"/>
    <w:rsid w:val="00BD0FDE"/>
    <w:rsid w:val="00BD12E5"/>
    <w:rsid w:val="00BD1ABD"/>
    <w:rsid w:val="00BD2C2D"/>
    <w:rsid w:val="00BD2E85"/>
    <w:rsid w:val="00BD40B6"/>
    <w:rsid w:val="00BD40C6"/>
    <w:rsid w:val="00BD53B0"/>
    <w:rsid w:val="00BD7F7A"/>
    <w:rsid w:val="00BE1D20"/>
    <w:rsid w:val="00BE2B42"/>
    <w:rsid w:val="00BE361C"/>
    <w:rsid w:val="00BE49B1"/>
    <w:rsid w:val="00BE49E1"/>
    <w:rsid w:val="00BE4D75"/>
    <w:rsid w:val="00BE5EEE"/>
    <w:rsid w:val="00BE7327"/>
    <w:rsid w:val="00BF0734"/>
    <w:rsid w:val="00BF0FC9"/>
    <w:rsid w:val="00BF105E"/>
    <w:rsid w:val="00BF2117"/>
    <w:rsid w:val="00BF23F9"/>
    <w:rsid w:val="00BF25FA"/>
    <w:rsid w:val="00BF2FA3"/>
    <w:rsid w:val="00BF6337"/>
    <w:rsid w:val="00BF7D1F"/>
    <w:rsid w:val="00C01EC1"/>
    <w:rsid w:val="00C027F2"/>
    <w:rsid w:val="00C029FC"/>
    <w:rsid w:val="00C02FA6"/>
    <w:rsid w:val="00C05654"/>
    <w:rsid w:val="00C0574A"/>
    <w:rsid w:val="00C05D82"/>
    <w:rsid w:val="00C073B5"/>
    <w:rsid w:val="00C109B6"/>
    <w:rsid w:val="00C11426"/>
    <w:rsid w:val="00C119AD"/>
    <w:rsid w:val="00C11C52"/>
    <w:rsid w:val="00C12C64"/>
    <w:rsid w:val="00C12CCF"/>
    <w:rsid w:val="00C14D0C"/>
    <w:rsid w:val="00C16B90"/>
    <w:rsid w:val="00C17D8F"/>
    <w:rsid w:val="00C20277"/>
    <w:rsid w:val="00C20FCF"/>
    <w:rsid w:val="00C213C3"/>
    <w:rsid w:val="00C213FB"/>
    <w:rsid w:val="00C2228C"/>
    <w:rsid w:val="00C22AC0"/>
    <w:rsid w:val="00C2709B"/>
    <w:rsid w:val="00C27EF1"/>
    <w:rsid w:val="00C30B2B"/>
    <w:rsid w:val="00C32900"/>
    <w:rsid w:val="00C33FD7"/>
    <w:rsid w:val="00C344D0"/>
    <w:rsid w:val="00C37083"/>
    <w:rsid w:val="00C40747"/>
    <w:rsid w:val="00C44A0F"/>
    <w:rsid w:val="00C46A80"/>
    <w:rsid w:val="00C46B0D"/>
    <w:rsid w:val="00C503D0"/>
    <w:rsid w:val="00C509F8"/>
    <w:rsid w:val="00C53481"/>
    <w:rsid w:val="00C54FEC"/>
    <w:rsid w:val="00C55599"/>
    <w:rsid w:val="00C55CAD"/>
    <w:rsid w:val="00C56535"/>
    <w:rsid w:val="00C57107"/>
    <w:rsid w:val="00C656E7"/>
    <w:rsid w:val="00C65BFF"/>
    <w:rsid w:val="00C70872"/>
    <w:rsid w:val="00C70947"/>
    <w:rsid w:val="00C727DC"/>
    <w:rsid w:val="00C734AC"/>
    <w:rsid w:val="00C7710A"/>
    <w:rsid w:val="00C773F0"/>
    <w:rsid w:val="00C775B6"/>
    <w:rsid w:val="00C77885"/>
    <w:rsid w:val="00C80ED8"/>
    <w:rsid w:val="00C81025"/>
    <w:rsid w:val="00C81E68"/>
    <w:rsid w:val="00C838EC"/>
    <w:rsid w:val="00C83CFB"/>
    <w:rsid w:val="00C83D26"/>
    <w:rsid w:val="00C85AFE"/>
    <w:rsid w:val="00C97B55"/>
    <w:rsid w:val="00CA00F1"/>
    <w:rsid w:val="00CA0DCB"/>
    <w:rsid w:val="00CA1DB0"/>
    <w:rsid w:val="00CA37A7"/>
    <w:rsid w:val="00CA4009"/>
    <w:rsid w:val="00CA4E52"/>
    <w:rsid w:val="00CA5371"/>
    <w:rsid w:val="00CA77AD"/>
    <w:rsid w:val="00CB10CF"/>
    <w:rsid w:val="00CB1C33"/>
    <w:rsid w:val="00CB1D60"/>
    <w:rsid w:val="00CB4705"/>
    <w:rsid w:val="00CB5BB8"/>
    <w:rsid w:val="00CB774D"/>
    <w:rsid w:val="00CC03C5"/>
    <w:rsid w:val="00CC1564"/>
    <w:rsid w:val="00CC75B9"/>
    <w:rsid w:val="00CC7EF3"/>
    <w:rsid w:val="00CD0F82"/>
    <w:rsid w:val="00CD16BE"/>
    <w:rsid w:val="00CD2792"/>
    <w:rsid w:val="00CD3824"/>
    <w:rsid w:val="00CE12B3"/>
    <w:rsid w:val="00CE13D9"/>
    <w:rsid w:val="00CE2FB1"/>
    <w:rsid w:val="00CE526B"/>
    <w:rsid w:val="00CE5945"/>
    <w:rsid w:val="00CE6112"/>
    <w:rsid w:val="00CE65C9"/>
    <w:rsid w:val="00CE71D1"/>
    <w:rsid w:val="00CF160B"/>
    <w:rsid w:val="00CF5EE3"/>
    <w:rsid w:val="00CF7464"/>
    <w:rsid w:val="00D01A61"/>
    <w:rsid w:val="00D01D17"/>
    <w:rsid w:val="00D03351"/>
    <w:rsid w:val="00D039D3"/>
    <w:rsid w:val="00D056B0"/>
    <w:rsid w:val="00D05730"/>
    <w:rsid w:val="00D06493"/>
    <w:rsid w:val="00D12638"/>
    <w:rsid w:val="00D1344E"/>
    <w:rsid w:val="00D14AF2"/>
    <w:rsid w:val="00D17A93"/>
    <w:rsid w:val="00D2025D"/>
    <w:rsid w:val="00D202B1"/>
    <w:rsid w:val="00D2052C"/>
    <w:rsid w:val="00D22511"/>
    <w:rsid w:val="00D237BC"/>
    <w:rsid w:val="00D240EF"/>
    <w:rsid w:val="00D2620D"/>
    <w:rsid w:val="00D278B2"/>
    <w:rsid w:val="00D3031C"/>
    <w:rsid w:val="00D31A5C"/>
    <w:rsid w:val="00D31BA7"/>
    <w:rsid w:val="00D31CE1"/>
    <w:rsid w:val="00D32866"/>
    <w:rsid w:val="00D339C9"/>
    <w:rsid w:val="00D345E6"/>
    <w:rsid w:val="00D35596"/>
    <w:rsid w:val="00D35E88"/>
    <w:rsid w:val="00D37B34"/>
    <w:rsid w:val="00D40471"/>
    <w:rsid w:val="00D40C2C"/>
    <w:rsid w:val="00D417C4"/>
    <w:rsid w:val="00D419F0"/>
    <w:rsid w:val="00D42CF2"/>
    <w:rsid w:val="00D4301E"/>
    <w:rsid w:val="00D457DD"/>
    <w:rsid w:val="00D459A2"/>
    <w:rsid w:val="00D51AF8"/>
    <w:rsid w:val="00D57F86"/>
    <w:rsid w:val="00D607F7"/>
    <w:rsid w:val="00D608B6"/>
    <w:rsid w:val="00D608E2"/>
    <w:rsid w:val="00D61659"/>
    <w:rsid w:val="00D62220"/>
    <w:rsid w:val="00D63EA5"/>
    <w:rsid w:val="00D6524C"/>
    <w:rsid w:val="00D657CB"/>
    <w:rsid w:val="00D666D2"/>
    <w:rsid w:val="00D66770"/>
    <w:rsid w:val="00D73CE4"/>
    <w:rsid w:val="00D7424D"/>
    <w:rsid w:val="00D775CA"/>
    <w:rsid w:val="00D80656"/>
    <w:rsid w:val="00D81215"/>
    <w:rsid w:val="00D83125"/>
    <w:rsid w:val="00D84049"/>
    <w:rsid w:val="00D84236"/>
    <w:rsid w:val="00D861BE"/>
    <w:rsid w:val="00D876CD"/>
    <w:rsid w:val="00D90A22"/>
    <w:rsid w:val="00D91393"/>
    <w:rsid w:val="00D9268F"/>
    <w:rsid w:val="00D96A71"/>
    <w:rsid w:val="00D97532"/>
    <w:rsid w:val="00DA05E3"/>
    <w:rsid w:val="00DA1AA2"/>
    <w:rsid w:val="00DA2916"/>
    <w:rsid w:val="00DA2995"/>
    <w:rsid w:val="00DA48D0"/>
    <w:rsid w:val="00DA4DD0"/>
    <w:rsid w:val="00DA5976"/>
    <w:rsid w:val="00DA65AE"/>
    <w:rsid w:val="00DA7961"/>
    <w:rsid w:val="00DB0055"/>
    <w:rsid w:val="00DB3CBE"/>
    <w:rsid w:val="00DD07BF"/>
    <w:rsid w:val="00DD1EA2"/>
    <w:rsid w:val="00DD2829"/>
    <w:rsid w:val="00DD28AA"/>
    <w:rsid w:val="00DD2D97"/>
    <w:rsid w:val="00DD32A1"/>
    <w:rsid w:val="00DD38E6"/>
    <w:rsid w:val="00DD55DB"/>
    <w:rsid w:val="00DD6743"/>
    <w:rsid w:val="00DD6869"/>
    <w:rsid w:val="00DD6D83"/>
    <w:rsid w:val="00DD706C"/>
    <w:rsid w:val="00DE1C96"/>
    <w:rsid w:val="00DE1ED7"/>
    <w:rsid w:val="00DE2909"/>
    <w:rsid w:val="00DE5C55"/>
    <w:rsid w:val="00DE698E"/>
    <w:rsid w:val="00DE7343"/>
    <w:rsid w:val="00DF1415"/>
    <w:rsid w:val="00DF1714"/>
    <w:rsid w:val="00DF195C"/>
    <w:rsid w:val="00DF19A0"/>
    <w:rsid w:val="00DF22BE"/>
    <w:rsid w:val="00DF29FA"/>
    <w:rsid w:val="00DF3BA2"/>
    <w:rsid w:val="00DF584C"/>
    <w:rsid w:val="00E0250B"/>
    <w:rsid w:val="00E02D60"/>
    <w:rsid w:val="00E030F1"/>
    <w:rsid w:val="00E052D2"/>
    <w:rsid w:val="00E07148"/>
    <w:rsid w:val="00E07240"/>
    <w:rsid w:val="00E07C77"/>
    <w:rsid w:val="00E07C8C"/>
    <w:rsid w:val="00E102BE"/>
    <w:rsid w:val="00E105D7"/>
    <w:rsid w:val="00E13AA5"/>
    <w:rsid w:val="00E2001B"/>
    <w:rsid w:val="00E2081C"/>
    <w:rsid w:val="00E20A36"/>
    <w:rsid w:val="00E20DB7"/>
    <w:rsid w:val="00E2280D"/>
    <w:rsid w:val="00E22A48"/>
    <w:rsid w:val="00E24A27"/>
    <w:rsid w:val="00E27F6D"/>
    <w:rsid w:val="00E325F2"/>
    <w:rsid w:val="00E32C6A"/>
    <w:rsid w:val="00E35BF6"/>
    <w:rsid w:val="00E36454"/>
    <w:rsid w:val="00E36512"/>
    <w:rsid w:val="00E3797B"/>
    <w:rsid w:val="00E40890"/>
    <w:rsid w:val="00E421C1"/>
    <w:rsid w:val="00E429F2"/>
    <w:rsid w:val="00E42C2A"/>
    <w:rsid w:val="00E42CC6"/>
    <w:rsid w:val="00E44F56"/>
    <w:rsid w:val="00E4670A"/>
    <w:rsid w:val="00E516D2"/>
    <w:rsid w:val="00E5175B"/>
    <w:rsid w:val="00E52EB7"/>
    <w:rsid w:val="00E536D6"/>
    <w:rsid w:val="00E54188"/>
    <w:rsid w:val="00E54C7D"/>
    <w:rsid w:val="00E55CA7"/>
    <w:rsid w:val="00E612B7"/>
    <w:rsid w:val="00E62306"/>
    <w:rsid w:val="00E64377"/>
    <w:rsid w:val="00E64C24"/>
    <w:rsid w:val="00E65A80"/>
    <w:rsid w:val="00E70181"/>
    <w:rsid w:val="00E70600"/>
    <w:rsid w:val="00E72A0A"/>
    <w:rsid w:val="00E84797"/>
    <w:rsid w:val="00E86D46"/>
    <w:rsid w:val="00E86EAA"/>
    <w:rsid w:val="00E875C8"/>
    <w:rsid w:val="00E919A0"/>
    <w:rsid w:val="00E91A5D"/>
    <w:rsid w:val="00E92FD9"/>
    <w:rsid w:val="00E937DE"/>
    <w:rsid w:val="00E96DF6"/>
    <w:rsid w:val="00E97C87"/>
    <w:rsid w:val="00EA01C8"/>
    <w:rsid w:val="00EA2670"/>
    <w:rsid w:val="00EA337A"/>
    <w:rsid w:val="00EA341F"/>
    <w:rsid w:val="00EA6A49"/>
    <w:rsid w:val="00EA6E00"/>
    <w:rsid w:val="00EA70CE"/>
    <w:rsid w:val="00EB03BF"/>
    <w:rsid w:val="00EB2A6C"/>
    <w:rsid w:val="00EB5020"/>
    <w:rsid w:val="00EB59AF"/>
    <w:rsid w:val="00EB5AC1"/>
    <w:rsid w:val="00EB665A"/>
    <w:rsid w:val="00EB77F4"/>
    <w:rsid w:val="00EC0B61"/>
    <w:rsid w:val="00EC1752"/>
    <w:rsid w:val="00EC38C0"/>
    <w:rsid w:val="00EC432C"/>
    <w:rsid w:val="00EC4B9B"/>
    <w:rsid w:val="00EC5C0E"/>
    <w:rsid w:val="00EC637E"/>
    <w:rsid w:val="00ED4655"/>
    <w:rsid w:val="00ED6633"/>
    <w:rsid w:val="00ED6840"/>
    <w:rsid w:val="00ED6DC1"/>
    <w:rsid w:val="00ED7417"/>
    <w:rsid w:val="00ED751A"/>
    <w:rsid w:val="00EE21A4"/>
    <w:rsid w:val="00EE5C0B"/>
    <w:rsid w:val="00EE7683"/>
    <w:rsid w:val="00EE7BB8"/>
    <w:rsid w:val="00EF02A8"/>
    <w:rsid w:val="00EF0F11"/>
    <w:rsid w:val="00EF1BBF"/>
    <w:rsid w:val="00EF23E0"/>
    <w:rsid w:val="00EF2D9D"/>
    <w:rsid w:val="00EF308A"/>
    <w:rsid w:val="00EF31A9"/>
    <w:rsid w:val="00EF445B"/>
    <w:rsid w:val="00EF44C5"/>
    <w:rsid w:val="00EF4870"/>
    <w:rsid w:val="00EF5E06"/>
    <w:rsid w:val="00EF7339"/>
    <w:rsid w:val="00F0157F"/>
    <w:rsid w:val="00F0291C"/>
    <w:rsid w:val="00F030A2"/>
    <w:rsid w:val="00F035CE"/>
    <w:rsid w:val="00F044E8"/>
    <w:rsid w:val="00F0669C"/>
    <w:rsid w:val="00F07550"/>
    <w:rsid w:val="00F10C79"/>
    <w:rsid w:val="00F11A29"/>
    <w:rsid w:val="00F132EE"/>
    <w:rsid w:val="00F1384C"/>
    <w:rsid w:val="00F14E1E"/>
    <w:rsid w:val="00F15BEF"/>
    <w:rsid w:val="00F15FFE"/>
    <w:rsid w:val="00F162C8"/>
    <w:rsid w:val="00F16621"/>
    <w:rsid w:val="00F16BAF"/>
    <w:rsid w:val="00F20535"/>
    <w:rsid w:val="00F206B4"/>
    <w:rsid w:val="00F21155"/>
    <w:rsid w:val="00F246F4"/>
    <w:rsid w:val="00F24965"/>
    <w:rsid w:val="00F2497B"/>
    <w:rsid w:val="00F24DF5"/>
    <w:rsid w:val="00F25AED"/>
    <w:rsid w:val="00F27C3F"/>
    <w:rsid w:val="00F308F7"/>
    <w:rsid w:val="00F31443"/>
    <w:rsid w:val="00F3494B"/>
    <w:rsid w:val="00F34E73"/>
    <w:rsid w:val="00F36C1F"/>
    <w:rsid w:val="00F403CC"/>
    <w:rsid w:val="00F40D91"/>
    <w:rsid w:val="00F413AA"/>
    <w:rsid w:val="00F424B4"/>
    <w:rsid w:val="00F4400B"/>
    <w:rsid w:val="00F47F23"/>
    <w:rsid w:val="00F50340"/>
    <w:rsid w:val="00F50540"/>
    <w:rsid w:val="00F524A5"/>
    <w:rsid w:val="00F54480"/>
    <w:rsid w:val="00F556E4"/>
    <w:rsid w:val="00F56784"/>
    <w:rsid w:val="00F56D50"/>
    <w:rsid w:val="00F57908"/>
    <w:rsid w:val="00F61570"/>
    <w:rsid w:val="00F618FC"/>
    <w:rsid w:val="00F619E7"/>
    <w:rsid w:val="00F62B2A"/>
    <w:rsid w:val="00F63603"/>
    <w:rsid w:val="00F6361A"/>
    <w:rsid w:val="00F64338"/>
    <w:rsid w:val="00F65C18"/>
    <w:rsid w:val="00F65DCC"/>
    <w:rsid w:val="00F70B6A"/>
    <w:rsid w:val="00F722E2"/>
    <w:rsid w:val="00F74AB1"/>
    <w:rsid w:val="00F74ED0"/>
    <w:rsid w:val="00F76B91"/>
    <w:rsid w:val="00F77CED"/>
    <w:rsid w:val="00F77D7A"/>
    <w:rsid w:val="00F83158"/>
    <w:rsid w:val="00F832D4"/>
    <w:rsid w:val="00F845E0"/>
    <w:rsid w:val="00F84FBE"/>
    <w:rsid w:val="00F85656"/>
    <w:rsid w:val="00F85B9F"/>
    <w:rsid w:val="00F8620D"/>
    <w:rsid w:val="00F92DAD"/>
    <w:rsid w:val="00F93185"/>
    <w:rsid w:val="00F93E44"/>
    <w:rsid w:val="00F95693"/>
    <w:rsid w:val="00F95AD1"/>
    <w:rsid w:val="00F95D49"/>
    <w:rsid w:val="00F9799F"/>
    <w:rsid w:val="00FA1D7A"/>
    <w:rsid w:val="00FA3D83"/>
    <w:rsid w:val="00FA4A89"/>
    <w:rsid w:val="00FA5AEB"/>
    <w:rsid w:val="00FA6E51"/>
    <w:rsid w:val="00FA73FE"/>
    <w:rsid w:val="00FA79B3"/>
    <w:rsid w:val="00FA7F71"/>
    <w:rsid w:val="00FB04E9"/>
    <w:rsid w:val="00FB32FF"/>
    <w:rsid w:val="00FB4C53"/>
    <w:rsid w:val="00FB61EF"/>
    <w:rsid w:val="00FC0803"/>
    <w:rsid w:val="00FC10B0"/>
    <w:rsid w:val="00FC30CD"/>
    <w:rsid w:val="00FC7622"/>
    <w:rsid w:val="00FC77AD"/>
    <w:rsid w:val="00FD0109"/>
    <w:rsid w:val="00FD03A5"/>
    <w:rsid w:val="00FD0518"/>
    <w:rsid w:val="00FD060B"/>
    <w:rsid w:val="00FD073A"/>
    <w:rsid w:val="00FD4617"/>
    <w:rsid w:val="00FD540D"/>
    <w:rsid w:val="00FD549B"/>
    <w:rsid w:val="00FD7957"/>
    <w:rsid w:val="00FE1B31"/>
    <w:rsid w:val="00FE253B"/>
    <w:rsid w:val="00FE254A"/>
    <w:rsid w:val="00FE471B"/>
    <w:rsid w:val="00FE494D"/>
    <w:rsid w:val="00FF103E"/>
    <w:rsid w:val="00FF13CC"/>
    <w:rsid w:val="00FF496F"/>
    <w:rsid w:val="017E2D36"/>
    <w:rsid w:val="01CC744C"/>
    <w:rsid w:val="03591030"/>
    <w:rsid w:val="077826A3"/>
    <w:rsid w:val="08B11777"/>
    <w:rsid w:val="0A1A1668"/>
    <w:rsid w:val="0AC748F3"/>
    <w:rsid w:val="0C354676"/>
    <w:rsid w:val="0C415DCB"/>
    <w:rsid w:val="0FB755C0"/>
    <w:rsid w:val="12A50412"/>
    <w:rsid w:val="12EC37F2"/>
    <w:rsid w:val="14735CB2"/>
    <w:rsid w:val="14C7447A"/>
    <w:rsid w:val="16CD1162"/>
    <w:rsid w:val="17613214"/>
    <w:rsid w:val="1A6E1CB8"/>
    <w:rsid w:val="1F0E37F0"/>
    <w:rsid w:val="1F7218A2"/>
    <w:rsid w:val="20FE2F67"/>
    <w:rsid w:val="24B41D3D"/>
    <w:rsid w:val="27AF3B3D"/>
    <w:rsid w:val="283065FA"/>
    <w:rsid w:val="28773D44"/>
    <w:rsid w:val="2886490F"/>
    <w:rsid w:val="29173B6C"/>
    <w:rsid w:val="29DF569D"/>
    <w:rsid w:val="2EAA4BFB"/>
    <w:rsid w:val="2FB72D33"/>
    <w:rsid w:val="33963C23"/>
    <w:rsid w:val="34FE431C"/>
    <w:rsid w:val="36004E36"/>
    <w:rsid w:val="363304AD"/>
    <w:rsid w:val="3AC17104"/>
    <w:rsid w:val="3ACE185D"/>
    <w:rsid w:val="3D4A1645"/>
    <w:rsid w:val="3E7A6DFA"/>
    <w:rsid w:val="3EE239ED"/>
    <w:rsid w:val="41004E75"/>
    <w:rsid w:val="445C2A4B"/>
    <w:rsid w:val="44CE4E6F"/>
    <w:rsid w:val="46960D09"/>
    <w:rsid w:val="46CB41DA"/>
    <w:rsid w:val="477B0F78"/>
    <w:rsid w:val="47D11B87"/>
    <w:rsid w:val="489736A1"/>
    <w:rsid w:val="49B96246"/>
    <w:rsid w:val="4CAF0D5D"/>
    <w:rsid w:val="4E7E3C52"/>
    <w:rsid w:val="4EEF5E26"/>
    <w:rsid w:val="4FCE5511"/>
    <w:rsid w:val="529056B5"/>
    <w:rsid w:val="52C0719E"/>
    <w:rsid w:val="53FF4A36"/>
    <w:rsid w:val="54284EC8"/>
    <w:rsid w:val="54EA4030"/>
    <w:rsid w:val="5578738B"/>
    <w:rsid w:val="55F65EC5"/>
    <w:rsid w:val="56165880"/>
    <w:rsid w:val="593321DF"/>
    <w:rsid w:val="5C2B4E79"/>
    <w:rsid w:val="5DB518DF"/>
    <w:rsid w:val="5EEE554F"/>
    <w:rsid w:val="60C66339"/>
    <w:rsid w:val="64C62129"/>
    <w:rsid w:val="64EA2474"/>
    <w:rsid w:val="689F17ED"/>
    <w:rsid w:val="69D93F2D"/>
    <w:rsid w:val="6ACE1A44"/>
    <w:rsid w:val="6B666898"/>
    <w:rsid w:val="6B9C45A7"/>
    <w:rsid w:val="6BFD08BC"/>
    <w:rsid w:val="6D647BEE"/>
    <w:rsid w:val="6E806073"/>
    <w:rsid w:val="6ED92AB5"/>
    <w:rsid w:val="70E352C5"/>
    <w:rsid w:val="71431992"/>
    <w:rsid w:val="7479077C"/>
    <w:rsid w:val="74C009E1"/>
    <w:rsid w:val="75481DA4"/>
    <w:rsid w:val="754A062D"/>
    <w:rsid w:val="75EA582B"/>
    <w:rsid w:val="788672C2"/>
    <w:rsid w:val="7AA77466"/>
    <w:rsid w:val="7BAF2C91"/>
    <w:rsid w:val="7D8345F3"/>
    <w:rsid w:val="7E382851"/>
  </w:rsids>
  <m:mathPr>
    <m:mathFont m:val="Cambria Math"/>
    <m:brkBin m:val="before"/>
    <m:brkBinSub m:val="--"/>
    <m:smallFrac m:val="1"/>
    <m:dispDef/>
    <m:lMargin m:val="0"/>
    <m:rMargin m:val="0"/>
    <m:defJc m:val="center"/>
    <m:wrapIndent m:val="1440"/>
    <m:intLim m:val="subSup"/>
    <m:naryLim m:val="undOvr"/>
    <m:wrapRight m:val="1"/>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0" w:name="Normal Indent"/>
    <w:lsdException w:uiPriority="0" w:name="footnote text"/>
    <w:lsdException w:qFormat="1" w:unhideWhenUsed="0" w:uiPriority="0" w:semiHidden="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nhideWhenUsed="0" w:uiPriority="0" w:semiHidden="0" w:name="Body Text Indent 3"/>
    <w:lsdException w:uiPriority="0" w:name="Block Text"/>
    <w:lsdException w:qFormat="1" w:uiPriority="99" w:semiHidden="0" w:name="Hyperlink"/>
    <w:lsdException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semiHidden="0" w:name="HTML Acronym"/>
    <w:lsdException w:uiPriority="0" w:name="HTML Address"/>
    <w:lsdException w:uiPriority="0" w:semiHidden="0" w:name="HTML Cite"/>
    <w:lsdException w:uiPriority="0" w:semiHidden="0" w:name="HTML Code"/>
    <w:lsdException w:uiPriority="0" w:semiHidden="0" w:name="HTML Definition"/>
    <w:lsdException w:uiPriority="0" w:semiHidden="0" w:name="HTML Keyboard"/>
    <w:lsdException w:uiPriority="0" w:name="HTML Preformatted"/>
    <w:lsdException w:uiPriority="0" w:semiHidden="0" w:name="HTML Sample"/>
    <w:lsdException w:uiPriority="0" w:name="HTML Typewriter"/>
    <w:lsdException w:uiPriority="0"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iPriority="0" w:semiHidden="0" w:name="Table Grid"/>
    <w:lsdException w:uiPriority="99" w:name="Table Theme"/>
    <w:lsdException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0"/>
    <w:qFormat/>
    <w:uiPriority w:val="0"/>
    <w:pPr>
      <w:keepNext/>
      <w:keepLines/>
      <w:spacing w:before="340" w:after="330" w:line="578" w:lineRule="auto"/>
      <w:outlineLvl w:val="0"/>
    </w:pPr>
    <w:rPr>
      <w:b/>
      <w:bCs/>
      <w:kern w:val="44"/>
      <w:sz w:val="44"/>
      <w:szCs w:val="44"/>
      <w:lang w:val="zh-CN" w:eastAsia="zh-CN"/>
    </w:rPr>
  </w:style>
  <w:style w:type="paragraph" w:styleId="3">
    <w:name w:val="heading 2"/>
    <w:basedOn w:val="1"/>
    <w:next w:val="1"/>
    <w:link w:val="71"/>
    <w:qFormat/>
    <w:uiPriority w:val="0"/>
    <w:pPr>
      <w:keepNext/>
      <w:keepLines/>
      <w:spacing w:before="260" w:after="260" w:line="416" w:lineRule="auto"/>
      <w:outlineLvl w:val="1"/>
    </w:pPr>
    <w:rPr>
      <w:rFonts w:ascii="Cambria" w:hAnsi="Cambria"/>
      <w:b/>
      <w:bCs/>
      <w:sz w:val="32"/>
      <w:szCs w:val="32"/>
      <w:lang w:val="zh-CN" w:eastAsia="zh-CN"/>
    </w:rPr>
  </w:style>
  <w:style w:type="paragraph" w:styleId="4">
    <w:name w:val="heading 3"/>
    <w:basedOn w:val="1"/>
    <w:next w:val="1"/>
    <w:link w:val="91"/>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9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semiHidden/>
    <w:unhideWhenUsed/>
    <w:uiPriority w:val="1"/>
  </w:style>
  <w:style w:type="table" w:default="1" w:styleId="26">
    <w:name w:val="Normal Table"/>
    <w:semiHidden/>
    <w:unhideWhenUsed/>
    <w:uiPriority w:val="99"/>
    <w:tblPr>
      <w:tblLayout w:type="fixed"/>
      <w:tblCellMar>
        <w:top w:w="0" w:type="dxa"/>
        <w:left w:w="108" w:type="dxa"/>
        <w:bottom w:w="0" w:type="dxa"/>
        <w:right w:w="108" w:type="dxa"/>
      </w:tblCellMar>
    </w:tblPr>
  </w:style>
  <w:style w:type="paragraph" w:styleId="6">
    <w:name w:val="toc 7"/>
    <w:basedOn w:val="1"/>
    <w:next w:val="1"/>
    <w:unhideWhenUsed/>
    <w:uiPriority w:val="39"/>
    <w:pPr>
      <w:ind w:left="1260"/>
      <w:jc w:val="left"/>
    </w:pPr>
    <w:rPr>
      <w:rFonts w:ascii="Calibri" w:hAnsi="Calibri"/>
      <w:sz w:val="18"/>
      <w:szCs w:val="18"/>
    </w:rPr>
  </w:style>
  <w:style w:type="paragraph" w:styleId="7">
    <w:name w:val="Document Map"/>
    <w:basedOn w:val="1"/>
    <w:link w:val="88"/>
    <w:semiHidden/>
    <w:unhideWhenUsed/>
    <w:uiPriority w:val="0"/>
    <w:rPr>
      <w:rFonts w:ascii="宋体"/>
      <w:sz w:val="18"/>
      <w:szCs w:val="18"/>
      <w:lang w:val="zh-CN" w:eastAsia="zh-CN"/>
    </w:rPr>
  </w:style>
  <w:style w:type="paragraph" w:styleId="8">
    <w:name w:val="annotation text"/>
    <w:basedOn w:val="1"/>
    <w:link w:val="84"/>
    <w:qFormat/>
    <w:uiPriority w:val="0"/>
    <w:pPr>
      <w:spacing w:line="440" w:lineRule="atLeast"/>
      <w:ind w:firstLine="760" w:firstLineChars="200"/>
      <w:jc w:val="left"/>
    </w:pPr>
    <w:rPr>
      <w:rFonts w:ascii="Calibri" w:hAnsi="Calibri"/>
      <w:sz w:val="24"/>
      <w:lang w:val="zh-CN" w:eastAsia="zh-CN"/>
    </w:rPr>
  </w:style>
  <w:style w:type="paragraph" w:styleId="9">
    <w:name w:val="Body Text"/>
    <w:basedOn w:val="1"/>
    <w:link w:val="81"/>
    <w:unhideWhenUsed/>
    <w:qFormat/>
    <w:uiPriority w:val="99"/>
    <w:pPr>
      <w:spacing w:after="120"/>
    </w:pPr>
    <w:rPr>
      <w:szCs w:val="20"/>
      <w:lang w:val="zh-CN" w:eastAsia="zh-CN"/>
    </w:rPr>
  </w:style>
  <w:style w:type="paragraph" w:styleId="10">
    <w:name w:val="Body Text Indent"/>
    <w:basedOn w:val="1"/>
    <w:link w:val="85"/>
    <w:qFormat/>
    <w:uiPriority w:val="0"/>
    <w:pPr>
      <w:tabs>
        <w:tab w:val="left" w:pos="5220"/>
      </w:tabs>
      <w:spacing w:line="360" w:lineRule="auto"/>
      <w:ind w:firstLine="420" w:firstLineChars="200"/>
    </w:pPr>
    <w:rPr>
      <w:rFonts w:ascii="宋体" w:hAnsi="宋体"/>
      <w:sz w:val="24"/>
      <w:lang w:val="zh-CN" w:eastAsia="zh-CN"/>
    </w:rPr>
  </w:style>
  <w:style w:type="paragraph" w:styleId="11">
    <w:name w:val="toc 5"/>
    <w:basedOn w:val="1"/>
    <w:next w:val="1"/>
    <w:unhideWhenUsed/>
    <w:uiPriority w:val="39"/>
    <w:pPr>
      <w:ind w:left="840"/>
      <w:jc w:val="left"/>
    </w:pPr>
    <w:rPr>
      <w:rFonts w:ascii="Calibri" w:hAnsi="Calibri"/>
      <w:sz w:val="18"/>
      <w:szCs w:val="18"/>
    </w:rPr>
  </w:style>
  <w:style w:type="paragraph" w:styleId="12">
    <w:name w:val="toc 3"/>
    <w:basedOn w:val="1"/>
    <w:next w:val="1"/>
    <w:unhideWhenUsed/>
    <w:qFormat/>
    <w:uiPriority w:val="39"/>
    <w:pPr>
      <w:ind w:left="420"/>
      <w:jc w:val="left"/>
    </w:pPr>
    <w:rPr>
      <w:rFonts w:ascii="Calibri" w:hAnsi="Calibri"/>
      <w:i/>
      <w:iCs/>
      <w:sz w:val="20"/>
      <w:szCs w:val="20"/>
    </w:rPr>
  </w:style>
  <w:style w:type="paragraph" w:styleId="13">
    <w:name w:val="toc 8"/>
    <w:basedOn w:val="1"/>
    <w:next w:val="1"/>
    <w:unhideWhenUsed/>
    <w:uiPriority w:val="39"/>
    <w:pPr>
      <w:ind w:left="1470"/>
      <w:jc w:val="left"/>
    </w:pPr>
    <w:rPr>
      <w:rFonts w:ascii="Calibri" w:hAnsi="Calibri"/>
      <w:sz w:val="18"/>
      <w:szCs w:val="18"/>
    </w:rPr>
  </w:style>
  <w:style w:type="paragraph" w:styleId="14">
    <w:name w:val="Date"/>
    <w:basedOn w:val="1"/>
    <w:next w:val="1"/>
    <w:link w:val="78"/>
    <w:uiPriority w:val="0"/>
    <w:pPr>
      <w:ind w:left="100" w:leftChars="2500"/>
    </w:pPr>
    <w:rPr>
      <w:lang w:val="zh-CN" w:eastAsia="zh-CN"/>
    </w:rPr>
  </w:style>
  <w:style w:type="paragraph" w:styleId="15">
    <w:name w:val="Balloon Text"/>
    <w:basedOn w:val="1"/>
    <w:link w:val="75"/>
    <w:unhideWhenUsed/>
    <w:uiPriority w:val="99"/>
    <w:rPr>
      <w:rFonts w:ascii="Calibri" w:hAnsi="Calibri"/>
      <w:sz w:val="18"/>
      <w:szCs w:val="18"/>
      <w:lang w:val="zh-CN" w:eastAsia="zh-CN"/>
    </w:rPr>
  </w:style>
  <w:style w:type="paragraph" w:styleId="16">
    <w:name w:val="footer"/>
    <w:basedOn w:val="1"/>
    <w:link w:val="73"/>
    <w:unhideWhenUsed/>
    <w:uiPriority w:val="99"/>
    <w:pPr>
      <w:tabs>
        <w:tab w:val="center" w:pos="4153"/>
        <w:tab w:val="right" w:pos="8306"/>
      </w:tabs>
      <w:snapToGrid w:val="0"/>
      <w:jc w:val="left"/>
    </w:pPr>
    <w:rPr>
      <w:sz w:val="18"/>
      <w:szCs w:val="18"/>
      <w:lang w:val="zh-CN" w:eastAsia="zh-CN"/>
    </w:rPr>
  </w:style>
  <w:style w:type="paragraph" w:styleId="17">
    <w:name w:val="header"/>
    <w:basedOn w:val="1"/>
    <w:link w:val="69"/>
    <w:unhideWhenUsed/>
    <w:uiPriority w:val="99"/>
    <w:pPr>
      <w:pBdr>
        <w:bottom w:val="single" w:color="auto" w:sz="6" w:space="1"/>
      </w:pBdr>
      <w:tabs>
        <w:tab w:val="center" w:pos="4153"/>
        <w:tab w:val="right" w:pos="8306"/>
      </w:tabs>
      <w:snapToGrid w:val="0"/>
      <w:jc w:val="center"/>
    </w:pPr>
    <w:rPr>
      <w:sz w:val="18"/>
      <w:szCs w:val="18"/>
      <w:lang w:val="zh-CN" w:eastAsia="zh-CN"/>
    </w:rPr>
  </w:style>
  <w:style w:type="paragraph" w:styleId="18">
    <w:name w:val="toc 1"/>
    <w:basedOn w:val="1"/>
    <w:next w:val="1"/>
    <w:unhideWhenUsed/>
    <w:qFormat/>
    <w:uiPriority w:val="39"/>
    <w:pPr>
      <w:tabs>
        <w:tab w:val="right" w:leader="dot" w:pos="9072"/>
      </w:tabs>
      <w:spacing w:before="120" w:after="120" w:line="312" w:lineRule="auto"/>
      <w:ind w:left="1418" w:hanging="1418" w:hangingChars="709"/>
      <w:jc w:val="left"/>
    </w:pPr>
    <w:rPr>
      <w:rFonts w:ascii="Calibri" w:hAnsi="Calibri"/>
      <w:b/>
      <w:bCs/>
      <w:caps/>
      <w:sz w:val="20"/>
      <w:szCs w:val="20"/>
    </w:rPr>
  </w:style>
  <w:style w:type="paragraph" w:styleId="19">
    <w:name w:val="toc 4"/>
    <w:basedOn w:val="1"/>
    <w:next w:val="1"/>
    <w:unhideWhenUsed/>
    <w:uiPriority w:val="39"/>
    <w:pPr>
      <w:ind w:left="630"/>
      <w:jc w:val="left"/>
    </w:pPr>
    <w:rPr>
      <w:rFonts w:ascii="Calibri" w:hAnsi="Calibri"/>
      <w:sz w:val="18"/>
      <w:szCs w:val="18"/>
    </w:rPr>
  </w:style>
  <w:style w:type="paragraph" w:styleId="20">
    <w:name w:val="toc 6"/>
    <w:basedOn w:val="1"/>
    <w:next w:val="1"/>
    <w:unhideWhenUsed/>
    <w:uiPriority w:val="39"/>
    <w:pPr>
      <w:ind w:left="1050"/>
      <w:jc w:val="left"/>
    </w:pPr>
    <w:rPr>
      <w:rFonts w:ascii="Calibri" w:hAnsi="Calibri"/>
      <w:sz w:val="18"/>
      <w:szCs w:val="18"/>
    </w:rPr>
  </w:style>
  <w:style w:type="paragraph" w:styleId="21">
    <w:name w:val="Body Text Indent 3"/>
    <w:basedOn w:val="1"/>
    <w:link w:val="72"/>
    <w:uiPriority w:val="0"/>
    <w:pPr>
      <w:spacing w:line="360" w:lineRule="auto"/>
      <w:ind w:firstLine="420"/>
    </w:pPr>
    <w:rPr>
      <w:rFonts w:ascii="宋体" w:hAnsi="宋体"/>
      <w:color w:val="0000FF"/>
      <w:sz w:val="28"/>
      <w:szCs w:val="28"/>
      <w:lang w:val="zh-CN" w:eastAsia="zh-CN"/>
    </w:rPr>
  </w:style>
  <w:style w:type="paragraph" w:styleId="22">
    <w:name w:val="toc 2"/>
    <w:basedOn w:val="1"/>
    <w:next w:val="1"/>
    <w:unhideWhenUsed/>
    <w:qFormat/>
    <w:uiPriority w:val="39"/>
    <w:pPr>
      <w:tabs>
        <w:tab w:val="right" w:leader="dot" w:pos="9062"/>
      </w:tabs>
      <w:spacing w:line="312" w:lineRule="auto"/>
      <w:ind w:firstLine="482"/>
      <w:jc w:val="left"/>
    </w:pPr>
    <w:rPr>
      <w:b/>
      <w:smallCaps/>
      <w:sz w:val="24"/>
    </w:rPr>
  </w:style>
  <w:style w:type="paragraph" w:styleId="23">
    <w:name w:val="toc 9"/>
    <w:basedOn w:val="1"/>
    <w:next w:val="1"/>
    <w:unhideWhenUsed/>
    <w:uiPriority w:val="39"/>
    <w:pPr>
      <w:ind w:left="1680"/>
      <w:jc w:val="left"/>
    </w:pPr>
    <w:rPr>
      <w:rFonts w:ascii="Calibri" w:hAnsi="Calibri"/>
      <w:sz w:val="18"/>
      <w:szCs w:val="18"/>
    </w:rPr>
  </w:style>
  <w:style w:type="paragraph" w:styleId="24">
    <w:name w:val="Normal (Web)"/>
    <w:basedOn w:val="1"/>
    <w:unhideWhenUsed/>
    <w:qFormat/>
    <w:uiPriority w:val="99"/>
    <w:pPr>
      <w:jc w:val="left"/>
    </w:pPr>
    <w:rPr>
      <w:kern w:val="0"/>
      <w:sz w:val="24"/>
    </w:rPr>
  </w:style>
  <w:style w:type="paragraph" w:styleId="25">
    <w:name w:val="annotation subject"/>
    <w:basedOn w:val="8"/>
    <w:next w:val="8"/>
    <w:link w:val="86"/>
    <w:qFormat/>
    <w:uiPriority w:val="0"/>
    <w:pPr>
      <w:spacing w:line="240" w:lineRule="auto"/>
      <w:ind w:firstLine="0" w:firstLineChars="0"/>
    </w:pPr>
    <w:rPr>
      <w:b/>
      <w:bCs/>
      <w:sz w:val="21"/>
    </w:rPr>
  </w:style>
  <w:style w:type="table" w:styleId="27">
    <w:name w:val="Table Grid"/>
    <w:basedOn w:val="26"/>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9">
    <w:name w:val="Strong"/>
    <w:qFormat/>
    <w:uiPriority w:val="22"/>
    <w:rPr>
      <w:b/>
    </w:rPr>
  </w:style>
  <w:style w:type="character" w:styleId="30">
    <w:name w:val="Emphasis"/>
    <w:qFormat/>
    <w:uiPriority w:val="20"/>
    <w:rPr>
      <w:i/>
    </w:rPr>
  </w:style>
  <w:style w:type="character" w:styleId="31">
    <w:name w:val="HTML Definition"/>
    <w:unhideWhenUsed/>
    <w:uiPriority w:val="0"/>
  </w:style>
  <w:style w:type="character" w:styleId="32">
    <w:name w:val="HTML Acronym"/>
    <w:basedOn w:val="28"/>
    <w:unhideWhenUsed/>
    <w:uiPriority w:val="0"/>
  </w:style>
  <w:style w:type="character" w:styleId="33">
    <w:name w:val="HTML Variable"/>
    <w:unhideWhenUsed/>
    <w:uiPriority w:val="0"/>
  </w:style>
  <w:style w:type="character" w:styleId="34">
    <w:name w:val="Hyperlink"/>
    <w:unhideWhenUsed/>
    <w:qFormat/>
    <w:uiPriority w:val="99"/>
    <w:rPr>
      <w:color w:val="0000FF"/>
      <w:u w:val="single"/>
    </w:rPr>
  </w:style>
  <w:style w:type="character" w:styleId="35">
    <w:name w:val="HTML Code"/>
    <w:unhideWhenUsed/>
    <w:uiPriority w:val="0"/>
    <w:rPr>
      <w:rFonts w:hint="default" w:ascii="monospace" w:hAnsi="monospace" w:eastAsia="monospace" w:cs="monospace"/>
      <w:sz w:val="24"/>
      <w:szCs w:val="24"/>
    </w:rPr>
  </w:style>
  <w:style w:type="character" w:styleId="36">
    <w:name w:val="annotation reference"/>
    <w:qFormat/>
    <w:uiPriority w:val="0"/>
    <w:rPr>
      <w:sz w:val="21"/>
      <w:szCs w:val="21"/>
    </w:rPr>
  </w:style>
  <w:style w:type="character" w:styleId="37">
    <w:name w:val="HTML Cite"/>
    <w:unhideWhenUsed/>
    <w:uiPriority w:val="0"/>
  </w:style>
  <w:style w:type="character" w:styleId="38">
    <w:name w:val="HTML Keyboard"/>
    <w:unhideWhenUsed/>
    <w:uiPriority w:val="0"/>
    <w:rPr>
      <w:rFonts w:hint="default" w:ascii="monospace" w:hAnsi="monospace" w:eastAsia="monospace" w:cs="monospace"/>
      <w:sz w:val="24"/>
      <w:szCs w:val="24"/>
    </w:rPr>
  </w:style>
  <w:style w:type="character" w:styleId="39">
    <w:name w:val="HTML Sample"/>
    <w:unhideWhenUsed/>
    <w:uiPriority w:val="0"/>
    <w:rPr>
      <w:rFonts w:ascii="monospace" w:hAnsi="monospace" w:eastAsia="monospace" w:cs="monospace"/>
      <w:sz w:val="24"/>
      <w:szCs w:val="24"/>
    </w:rPr>
  </w:style>
  <w:style w:type="character" w:customStyle="1" w:styleId="40">
    <w:name w:val="bds_nopic1"/>
    <w:basedOn w:val="28"/>
    <w:uiPriority w:val="0"/>
  </w:style>
  <w:style w:type="character" w:customStyle="1" w:styleId="41">
    <w:name w:val="orange6"/>
    <w:uiPriority w:val="0"/>
    <w:rPr>
      <w:color w:val="3FB58F"/>
    </w:rPr>
  </w:style>
  <w:style w:type="character" w:customStyle="1" w:styleId="42">
    <w:name w:val="bds_nopic"/>
    <w:basedOn w:val="28"/>
    <w:uiPriority w:val="0"/>
  </w:style>
  <w:style w:type="character" w:customStyle="1" w:styleId="43">
    <w:name w:val="bds_more1"/>
    <w:basedOn w:val="28"/>
    <w:uiPriority w:val="0"/>
  </w:style>
  <w:style w:type="character" w:customStyle="1" w:styleId="44">
    <w:name w:val="no6"/>
    <w:basedOn w:val="28"/>
    <w:uiPriority w:val="0"/>
  </w:style>
  <w:style w:type="character" w:customStyle="1" w:styleId="45">
    <w:name w:val="org_name2"/>
    <w:basedOn w:val="28"/>
    <w:uiPriority w:val="0"/>
  </w:style>
  <w:style w:type="character" w:customStyle="1" w:styleId="46">
    <w:name w:val="已访问的超链接1"/>
    <w:unhideWhenUsed/>
    <w:uiPriority w:val="0"/>
    <w:rPr>
      <w:color w:val="555555"/>
      <w:u w:val="none"/>
    </w:rPr>
  </w:style>
  <w:style w:type="character" w:customStyle="1" w:styleId="47">
    <w:name w:val="bds_more"/>
    <w:uiPriority w:val="0"/>
    <w:rPr>
      <w:rFonts w:hint="eastAsia" w:ascii="宋体" w:hAnsi="宋体" w:eastAsia="宋体" w:cs="宋体"/>
    </w:rPr>
  </w:style>
  <w:style w:type="character" w:customStyle="1" w:styleId="48">
    <w:name w:val="ico-jiang1"/>
    <w:basedOn w:val="28"/>
    <w:uiPriority w:val="0"/>
  </w:style>
  <w:style w:type="character" w:customStyle="1" w:styleId="49">
    <w:name w:val="bds_more2"/>
    <w:basedOn w:val="28"/>
    <w:uiPriority w:val="0"/>
  </w:style>
  <w:style w:type="character" w:customStyle="1" w:styleId="50">
    <w:name w:val="top-icon"/>
    <w:basedOn w:val="28"/>
    <w:uiPriority w:val="0"/>
  </w:style>
  <w:style w:type="character" w:customStyle="1" w:styleId="51">
    <w:name w:val="bds_nopic2"/>
    <w:basedOn w:val="28"/>
    <w:uiPriority w:val="0"/>
  </w:style>
  <w:style w:type="character" w:customStyle="1" w:styleId="52">
    <w:name w:val="ico-jiang"/>
    <w:basedOn w:val="28"/>
    <w:uiPriority w:val="0"/>
  </w:style>
  <w:style w:type="character" w:customStyle="1" w:styleId="53">
    <w:name w:val="no72"/>
    <w:basedOn w:val="28"/>
    <w:uiPriority w:val="0"/>
  </w:style>
  <w:style w:type="character" w:customStyle="1" w:styleId="54">
    <w:name w:val="fc2e1"/>
    <w:uiPriority w:val="0"/>
    <w:rPr>
      <w:color w:val="2EAE84"/>
    </w:rPr>
  </w:style>
  <w:style w:type="character" w:customStyle="1" w:styleId="55">
    <w:name w:val="f-star"/>
    <w:uiPriority w:val="0"/>
    <w:rPr>
      <w:color w:val="999999"/>
      <w:sz w:val="21"/>
      <w:szCs w:val="21"/>
    </w:rPr>
  </w:style>
  <w:style w:type="character" w:customStyle="1" w:styleId="56">
    <w:name w:val="ui-bz-bg-hover1"/>
    <w:basedOn w:val="28"/>
    <w:uiPriority w:val="0"/>
  </w:style>
  <w:style w:type="character" w:customStyle="1" w:styleId="57">
    <w:name w:val="no52"/>
    <w:basedOn w:val="28"/>
    <w:uiPriority w:val="0"/>
  </w:style>
  <w:style w:type="character" w:customStyle="1" w:styleId="58">
    <w:name w:val="ui-bz-bg-hover"/>
    <w:uiPriority w:val="0"/>
    <w:rPr>
      <w:shd w:val="clear" w:color="auto" w:fill="000000"/>
    </w:rPr>
  </w:style>
  <w:style w:type="character" w:customStyle="1" w:styleId="59">
    <w:name w:val="tip13"/>
    <w:uiPriority w:val="0"/>
    <w:rPr>
      <w:vanish/>
      <w:color w:val="FF0000"/>
      <w:sz w:val="18"/>
      <w:szCs w:val="18"/>
    </w:rPr>
  </w:style>
  <w:style w:type="character" w:customStyle="1" w:styleId="60">
    <w:name w:val="my-class"/>
    <w:basedOn w:val="28"/>
    <w:uiPriority w:val="0"/>
  </w:style>
  <w:style w:type="character" w:customStyle="1" w:styleId="61">
    <w:name w:val="my-notice1"/>
    <w:basedOn w:val="28"/>
    <w:uiPriority w:val="0"/>
  </w:style>
  <w:style w:type="character" w:customStyle="1" w:styleId="62">
    <w:name w:val="no42"/>
    <w:basedOn w:val="28"/>
    <w:uiPriority w:val="0"/>
  </w:style>
  <w:style w:type="character" w:customStyle="1" w:styleId="63">
    <w:name w:val="t-tag"/>
    <w:uiPriority w:val="0"/>
    <w:rPr>
      <w:color w:val="FFFFFF"/>
      <w:sz w:val="18"/>
      <w:szCs w:val="18"/>
      <w:shd w:val="clear" w:color="auto" w:fill="FE8833"/>
    </w:rPr>
  </w:style>
  <w:style w:type="character" w:customStyle="1" w:styleId="64">
    <w:name w:val="fcff1"/>
    <w:uiPriority w:val="0"/>
    <w:rPr>
      <w:color w:val="FF7200"/>
    </w:rPr>
  </w:style>
  <w:style w:type="paragraph" w:customStyle="1" w:styleId="65">
    <w:name w:val="banner-more-info"/>
    <w:basedOn w:val="1"/>
    <w:uiPriority w:val="0"/>
    <w:pPr>
      <w:spacing w:after="240" w:line="210" w:lineRule="atLeast"/>
      <w:jc w:val="left"/>
    </w:pPr>
    <w:rPr>
      <w:kern w:val="0"/>
      <w:szCs w:val="21"/>
    </w:rPr>
  </w:style>
  <w:style w:type="paragraph" w:customStyle="1" w:styleId="66">
    <w:name w:val="banner-more-title"/>
    <w:basedOn w:val="1"/>
    <w:uiPriority w:val="0"/>
    <w:pPr>
      <w:spacing w:before="480" w:after="300" w:line="270" w:lineRule="atLeast"/>
      <w:jc w:val="left"/>
    </w:pPr>
    <w:rPr>
      <w:kern w:val="0"/>
      <w:sz w:val="27"/>
      <w:szCs w:val="27"/>
    </w:rPr>
  </w:style>
  <w:style w:type="paragraph" w:customStyle="1" w:styleId="67">
    <w:name w:val="款"/>
    <w:basedOn w:val="1"/>
    <w:qFormat/>
    <w:uiPriority w:val="0"/>
    <w:pPr>
      <w:ind w:firstLine="560" w:firstLineChars="200"/>
    </w:pPr>
    <w:rPr>
      <w:rFonts w:cs="宋体"/>
      <w:sz w:val="28"/>
      <w:szCs w:val="20"/>
    </w:rPr>
  </w:style>
  <w:style w:type="paragraph" w:customStyle="1" w:styleId="68">
    <w:name w:val="条"/>
    <w:basedOn w:val="1"/>
    <w:next w:val="67"/>
    <w:qFormat/>
    <w:uiPriority w:val="0"/>
    <w:rPr>
      <w:sz w:val="28"/>
      <w:szCs w:val="21"/>
    </w:rPr>
  </w:style>
  <w:style w:type="character" w:customStyle="1" w:styleId="69">
    <w:name w:val="页眉 Char"/>
    <w:link w:val="17"/>
    <w:uiPriority w:val="99"/>
    <w:rPr>
      <w:kern w:val="2"/>
      <w:sz w:val="18"/>
      <w:szCs w:val="18"/>
    </w:rPr>
  </w:style>
  <w:style w:type="character" w:customStyle="1" w:styleId="70">
    <w:name w:val="标题 1 Char"/>
    <w:link w:val="2"/>
    <w:uiPriority w:val="0"/>
    <w:rPr>
      <w:b/>
      <w:bCs/>
      <w:kern w:val="44"/>
      <w:sz w:val="44"/>
      <w:szCs w:val="44"/>
    </w:rPr>
  </w:style>
  <w:style w:type="character" w:customStyle="1" w:styleId="71">
    <w:name w:val="标题 2 Char"/>
    <w:link w:val="3"/>
    <w:uiPriority w:val="0"/>
    <w:rPr>
      <w:rFonts w:ascii="Cambria" w:hAnsi="Cambria"/>
      <w:b/>
      <w:bCs/>
      <w:kern w:val="2"/>
      <w:sz w:val="32"/>
      <w:szCs w:val="32"/>
    </w:rPr>
  </w:style>
  <w:style w:type="character" w:customStyle="1" w:styleId="72">
    <w:name w:val="正文文本缩进 3 Char"/>
    <w:link w:val="21"/>
    <w:uiPriority w:val="0"/>
    <w:rPr>
      <w:rFonts w:ascii="宋体" w:hAnsi="宋体"/>
      <w:color w:val="0000FF"/>
      <w:kern w:val="2"/>
      <w:sz w:val="28"/>
      <w:szCs w:val="28"/>
    </w:rPr>
  </w:style>
  <w:style w:type="character" w:customStyle="1" w:styleId="73">
    <w:name w:val="页脚 Char"/>
    <w:link w:val="16"/>
    <w:uiPriority w:val="99"/>
    <w:rPr>
      <w:kern w:val="2"/>
      <w:sz w:val="18"/>
      <w:szCs w:val="18"/>
    </w:rPr>
  </w:style>
  <w:style w:type="paragraph" w:customStyle="1" w:styleId="74">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75">
    <w:name w:val="批注框文本 Char"/>
    <w:link w:val="15"/>
    <w:uiPriority w:val="99"/>
    <w:rPr>
      <w:rFonts w:ascii="Calibri" w:hAnsi="Calibri"/>
      <w:kern w:val="2"/>
      <w:sz w:val="18"/>
      <w:szCs w:val="18"/>
    </w:rPr>
  </w:style>
  <w:style w:type="paragraph" w:styleId="76">
    <w:name w:val="List Paragraph"/>
    <w:basedOn w:val="1"/>
    <w:qFormat/>
    <w:uiPriority w:val="34"/>
    <w:pPr>
      <w:ind w:firstLine="420" w:firstLineChars="200"/>
    </w:pPr>
    <w:rPr>
      <w:rFonts w:ascii="Calibri" w:hAnsi="Calibri"/>
      <w:szCs w:val="22"/>
    </w:rPr>
  </w:style>
  <w:style w:type="paragraph" w:customStyle="1" w:styleId="77">
    <w:name w:val="段"/>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78">
    <w:name w:val="日期 Char"/>
    <w:link w:val="14"/>
    <w:uiPriority w:val="0"/>
    <w:rPr>
      <w:kern w:val="2"/>
      <w:sz w:val="21"/>
      <w:szCs w:val="24"/>
    </w:rPr>
  </w:style>
  <w:style w:type="paragraph" w:customStyle="1" w:styleId="79">
    <w:name w:val="列出段落1"/>
    <w:basedOn w:val="1"/>
    <w:qFormat/>
    <w:uiPriority w:val="99"/>
    <w:pPr>
      <w:ind w:firstLine="420" w:firstLineChars="200"/>
    </w:pPr>
    <w:rPr>
      <w:rFonts w:ascii="Calibri" w:hAnsi="Calibri"/>
    </w:rPr>
  </w:style>
  <w:style w:type="paragraph" w:customStyle="1" w:styleId="80">
    <w:name w:val="Char"/>
    <w:basedOn w:val="1"/>
    <w:uiPriority w:val="0"/>
    <w:pPr>
      <w:widowControl/>
      <w:tabs>
        <w:tab w:val="left" w:pos="840"/>
      </w:tabs>
      <w:spacing w:line="440" w:lineRule="atLeast"/>
      <w:ind w:left="840" w:hanging="360" w:firstLineChars="200"/>
      <w:jc w:val="left"/>
    </w:pPr>
    <w:rPr>
      <w:sz w:val="24"/>
    </w:rPr>
  </w:style>
  <w:style w:type="character" w:customStyle="1" w:styleId="81">
    <w:name w:val="正文文本 Char"/>
    <w:link w:val="9"/>
    <w:qFormat/>
    <w:uiPriority w:val="99"/>
    <w:rPr>
      <w:kern w:val="2"/>
      <w:sz w:val="21"/>
    </w:rPr>
  </w:style>
  <w:style w:type="paragraph" w:customStyle="1" w:styleId="82">
    <w:name w:val="正文1"/>
    <w:basedOn w:val="1"/>
    <w:link w:val="83"/>
    <w:qFormat/>
    <w:uiPriority w:val="0"/>
    <w:pPr>
      <w:spacing w:line="440" w:lineRule="exact"/>
      <w:jc w:val="left"/>
    </w:pPr>
    <w:rPr>
      <w:sz w:val="24"/>
      <w:lang w:val="zh-CN" w:eastAsia="zh-CN"/>
    </w:rPr>
  </w:style>
  <w:style w:type="character" w:customStyle="1" w:styleId="83">
    <w:name w:val="正文1 Char"/>
    <w:link w:val="82"/>
    <w:qFormat/>
    <w:uiPriority w:val="0"/>
    <w:rPr>
      <w:kern w:val="2"/>
      <w:sz w:val="24"/>
      <w:szCs w:val="24"/>
    </w:rPr>
  </w:style>
  <w:style w:type="character" w:customStyle="1" w:styleId="84">
    <w:name w:val="批注文字 Char"/>
    <w:link w:val="8"/>
    <w:qFormat/>
    <w:uiPriority w:val="0"/>
    <w:rPr>
      <w:rFonts w:ascii="Calibri" w:hAnsi="Calibri" w:eastAsia="宋体" w:cs="Times New Roman"/>
      <w:kern w:val="2"/>
      <w:sz w:val="24"/>
      <w:szCs w:val="24"/>
    </w:rPr>
  </w:style>
  <w:style w:type="character" w:customStyle="1" w:styleId="85">
    <w:name w:val="正文文本缩进 Char"/>
    <w:link w:val="10"/>
    <w:qFormat/>
    <w:uiPriority w:val="0"/>
    <w:rPr>
      <w:rFonts w:ascii="宋体" w:hAnsi="宋体" w:eastAsia="宋体" w:cs="Times New Roman"/>
      <w:kern w:val="2"/>
      <w:sz w:val="24"/>
      <w:szCs w:val="24"/>
    </w:rPr>
  </w:style>
  <w:style w:type="character" w:customStyle="1" w:styleId="86">
    <w:name w:val="批注主题 Char"/>
    <w:link w:val="25"/>
    <w:qFormat/>
    <w:uiPriority w:val="0"/>
    <w:rPr>
      <w:rFonts w:ascii="Calibri" w:hAnsi="Calibri" w:eastAsia="宋体" w:cs="Times New Roman"/>
      <w:b/>
      <w:bCs/>
      <w:kern w:val="2"/>
      <w:sz w:val="21"/>
      <w:szCs w:val="24"/>
      <w:lang w:val="zh-CN" w:eastAsia="zh-CN"/>
    </w:rPr>
  </w:style>
  <w:style w:type="character" w:customStyle="1" w:styleId="87">
    <w:name w:val="15"/>
    <w:uiPriority w:val="0"/>
    <w:rPr>
      <w:rFonts w:hint="default" w:ascii="Times New Roman" w:hAnsi="Times New Roman" w:cs="Times New Roman"/>
      <w:color w:val="0000FF"/>
      <w:u w:val="single"/>
    </w:rPr>
  </w:style>
  <w:style w:type="character" w:customStyle="1" w:styleId="88">
    <w:name w:val="文档结构图 Char"/>
    <w:link w:val="7"/>
    <w:semiHidden/>
    <w:uiPriority w:val="0"/>
    <w:rPr>
      <w:rFonts w:ascii="宋体"/>
      <w:kern w:val="2"/>
      <w:sz w:val="18"/>
      <w:szCs w:val="18"/>
    </w:rPr>
  </w:style>
  <w:style w:type="character" w:styleId="89">
    <w:name w:val="Placeholder Text"/>
    <w:basedOn w:val="28"/>
    <w:unhideWhenUsed/>
    <w:uiPriority w:val="99"/>
    <w:rPr>
      <w:color w:val="808080"/>
    </w:rPr>
  </w:style>
  <w:style w:type="paragraph" w:styleId="90">
    <w:name w:val="No Spacing"/>
    <w:qFormat/>
    <w:uiPriority w:val="0"/>
    <w:pPr>
      <w:widowControl w:val="0"/>
      <w:spacing w:line="440" w:lineRule="exact"/>
      <w:jc w:val="both"/>
    </w:pPr>
    <w:rPr>
      <w:rFonts w:ascii="Times New Roman" w:hAnsi="Times New Roman" w:eastAsia="宋体" w:cs="黑体"/>
      <w:color w:val="C00000"/>
      <w:kern w:val="2"/>
      <w:sz w:val="24"/>
      <w:szCs w:val="22"/>
      <w:lang w:val="en-US" w:eastAsia="zh-CN" w:bidi="ar-SA"/>
    </w:rPr>
  </w:style>
  <w:style w:type="character" w:customStyle="1" w:styleId="91">
    <w:name w:val="标题 3 Char"/>
    <w:basedOn w:val="28"/>
    <w:link w:val="4"/>
    <w:semiHidden/>
    <w:uiPriority w:val="9"/>
    <w:rPr>
      <w:b/>
      <w:bCs/>
      <w:kern w:val="2"/>
      <w:sz w:val="32"/>
      <w:szCs w:val="32"/>
    </w:rPr>
  </w:style>
  <w:style w:type="character" w:customStyle="1" w:styleId="92">
    <w:name w:val="标题 4 Char"/>
    <w:basedOn w:val="28"/>
    <w:link w:val="5"/>
    <w:semiHidden/>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45.wmf"/><Relationship Id="rId98" Type="http://schemas.openxmlformats.org/officeDocument/2006/relationships/oleObject" Target="embeddings/oleObject39.bin"/><Relationship Id="rId97" Type="http://schemas.openxmlformats.org/officeDocument/2006/relationships/image" Target="media/image44.jpeg"/><Relationship Id="rId96" Type="http://schemas.openxmlformats.org/officeDocument/2006/relationships/image" Target="media/image43.jpeg"/><Relationship Id="rId95" Type="http://schemas.openxmlformats.org/officeDocument/2006/relationships/image" Target="media/image42.wmf"/><Relationship Id="rId94" Type="http://schemas.openxmlformats.org/officeDocument/2006/relationships/oleObject" Target="embeddings/oleObject38.bin"/><Relationship Id="rId93" Type="http://schemas.openxmlformats.org/officeDocument/2006/relationships/image" Target="media/image41.wmf"/><Relationship Id="rId92" Type="http://schemas.openxmlformats.org/officeDocument/2006/relationships/oleObject" Target="embeddings/oleObject37.bin"/><Relationship Id="rId91" Type="http://schemas.openxmlformats.org/officeDocument/2006/relationships/image" Target="media/image40.wmf"/><Relationship Id="rId90" Type="http://schemas.openxmlformats.org/officeDocument/2006/relationships/oleObject" Target="embeddings/oleObject36.bin"/><Relationship Id="rId9" Type="http://schemas.openxmlformats.org/officeDocument/2006/relationships/header" Target="header3.xml"/><Relationship Id="rId89" Type="http://schemas.openxmlformats.org/officeDocument/2006/relationships/image" Target="media/image39.wmf"/><Relationship Id="rId88" Type="http://schemas.openxmlformats.org/officeDocument/2006/relationships/oleObject" Target="embeddings/oleObject35.bin"/><Relationship Id="rId87" Type="http://schemas.openxmlformats.org/officeDocument/2006/relationships/image" Target="media/image38.wmf"/><Relationship Id="rId86" Type="http://schemas.openxmlformats.org/officeDocument/2006/relationships/oleObject" Target="embeddings/oleObject34.bin"/><Relationship Id="rId85" Type="http://schemas.openxmlformats.org/officeDocument/2006/relationships/image" Target="media/image37.wmf"/><Relationship Id="rId84" Type="http://schemas.openxmlformats.org/officeDocument/2006/relationships/oleObject" Target="embeddings/oleObject33.bin"/><Relationship Id="rId83" Type="http://schemas.openxmlformats.org/officeDocument/2006/relationships/image" Target="media/image36.wmf"/><Relationship Id="rId82" Type="http://schemas.openxmlformats.org/officeDocument/2006/relationships/oleObject" Target="embeddings/oleObject32.bin"/><Relationship Id="rId81" Type="http://schemas.openxmlformats.org/officeDocument/2006/relationships/image" Target="media/image35.jpeg"/><Relationship Id="rId80" Type="http://schemas.openxmlformats.org/officeDocument/2006/relationships/image" Target="media/image34.wmf"/><Relationship Id="rId8" Type="http://schemas.openxmlformats.org/officeDocument/2006/relationships/footer" Target="footer4.xml"/><Relationship Id="rId79" Type="http://schemas.openxmlformats.org/officeDocument/2006/relationships/oleObject" Target="embeddings/oleObject31.bin"/><Relationship Id="rId78" Type="http://schemas.openxmlformats.org/officeDocument/2006/relationships/image" Target="media/image33.wmf"/><Relationship Id="rId77" Type="http://schemas.openxmlformats.org/officeDocument/2006/relationships/oleObject" Target="embeddings/oleObject30.bin"/><Relationship Id="rId76" Type="http://schemas.openxmlformats.org/officeDocument/2006/relationships/image" Target="media/image32.wmf"/><Relationship Id="rId75" Type="http://schemas.openxmlformats.org/officeDocument/2006/relationships/oleObject" Target="embeddings/oleObject29.bin"/><Relationship Id="rId74" Type="http://schemas.openxmlformats.org/officeDocument/2006/relationships/image" Target="media/image31.wmf"/><Relationship Id="rId73" Type="http://schemas.openxmlformats.org/officeDocument/2006/relationships/oleObject" Target="embeddings/oleObject28.bin"/><Relationship Id="rId72" Type="http://schemas.openxmlformats.org/officeDocument/2006/relationships/image" Target="media/image30.jpeg"/><Relationship Id="rId71" Type="http://schemas.openxmlformats.org/officeDocument/2006/relationships/image" Target="media/image29.jpeg"/><Relationship Id="rId70" Type="http://schemas.openxmlformats.org/officeDocument/2006/relationships/image" Target="media/image28.wmf"/><Relationship Id="rId7" Type="http://schemas.openxmlformats.org/officeDocument/2006/relationships/footer" Target="footer3.xml"/><Relationship Id="rId69" Type="http://schemas.openxmlformats.org/officeDocument/2006/relationships/oleObject" Target="embeddings/oleObject27.bin"/><Relationship Id="rId68" Type="http://schemas.openxmlformats.org/officeDocument/2006/relationships/image" Target="media/image27.wmf"/><Relationship Id="rId67" Type="http://schemas.openxmlformats.org/officeDocument/2006/relationships/oleObject" Target="embeddings/oleObject26.bin"/><Relationship Id="rId66" Type="http://schemas.openxmlformats.org/officeDocument/2006/relationships/image" Target="media/image26.jpeg"/><Relationship Id="rId65" Type="http://schemas.openxmlformats.org/officeDocument/2006/relationships/image" Target="media/image25.wmf"/><Relationship Id="rId64" Type="http://schemas.openxmlformats.org/officeDocument/2006/relationships/oleObject" Target="embeddings/oleObject25.bin"/><Relationship Id="rId63" Type="http://schemas.openxmlformats.org/officeDocument/2006/relationships/image" Target="media/image24.wmf"/><Relationship Id="rId62" Type="http://schemas.openxmlformats.org/officeDocument/2006/relationships/oleObject" Target="embeddings/oleObject24.bin"/><Relationship Id="rId61" Type="http://schemas.openxmlformats.org/officeDocument/2006/relationships/image" Target="media/image23.wmf"/><Relationship Id="rId60" Type="http://schemas.openxmlformats.org/officeDocument/2006/relationships/oleObject" Target="embeddings/oleObject23.bin"/><Relationship Id="rId6" Type="http://schemas.openxmlformats.org/officeDocument/2006/relationships/footer" Target="footer2.xml"/><Relationship Id="rId59" Type="http://schemas.openxmlformats.org/officeDocument/2006/relationships/image" Target="media/image22.wmf"/><Relationship Id="rId58" Type="http://schemas.openxmlformats.org/officeDocument/2006/relationships/oleObject" Target="embeddings/oleObject22.bin"/><Relationship Id="rId57" Type="http://schemas.openxmlformats.org/officeDocument/2006/relationships/image" Target="media/image21.wmf"/><Relationship Id="rId56" Type="http://schemas.openxmlformats.org/officeDocument/2006/relationships/oleObject" Target="embeddings/oleObject21.bin"/><Relationship Id="rId55" Type="http://schemas.openxmlformats.org/officeDocument/2006/relationships/image" Target="media/image20.wmf"/><Relationship Id="rId54" Type="http://schemas.openxmlformats.org/officeDocument/2006/relationships/oleObject" Target="embeddings/oleObject20.bin"/><Relationship Id="rId53" Type="http://schemas.openxmlformats.org/officeDocument/2006/relationships/image" Target="media/image19.wmf"/><Relationship Id="rId52" Type="http://schemas.openxmlformats.org/officeDocument/2006/relationships/oleObject" Target="embeddings/oleObject19.bin"/><Relationship Id="rId51" Type="http://schemas.openxmlformats.org/officeDocument/2006/relationships/image" Target="media/image18.wmf"/><Relationship Id="rId50" Type="http://schemas.openxmlformats.org/officeDocument/2006/relationships/oleObject" Target="embeddings/oleObject18.bin"/><Relationship Id="rId5" Type="http://schemas.openxmlformats.org/officeDocument/2006/relationships/footer" Target="footer1.xml"/><Relationship Id="rId49" Type="http://schemas.openxmlformats.org/officeDocument/2006/relationships/image" Target="media/image17.wmf"/><Relationship Id="rId48" Type="http://schemas.openxmlformats.org/officeDocument/2006/relationships/oleObject" Target="embeddings/oleObject17.bin"/><Relationship Id="rId47" Type="http://schemas.openxmlformats.org/officeDocument/2006/relationships/image" Target="media/image16.wmf"/><Relationship Id="rId46" Type="http://schemas.openxmlformats.org/officeDocument/2006/relationships/oleObject" Target="embeddings/oleObject16.bin"/><Relationship Id="rId45" Type="http://schemas.openxmlformats.org/officeDocument/2006/relationships/image" Target="media/image15.wmf"/><Relationship Id="rId44" Type="http://schemas.openxmlformats.org/officeDocument/2006/relationships/oleObject" Target="embeddings/oleObject15.bin"/><Relationship Id="rId43" Type="http://schemas.openxmlformats.org/officeDocument/2006/relationships/image" Target="media/image14.jpeg"/><Relationship Id="rId42" Type="http://schemas.openxmlformats.org/officeDocument/2006/relationships/image" Target="media/image13.wmf"/><Relationship Id="rId41" Type="http://schemas.openxmlformats.org/officeDocument/2006/relationships/oleObject" Target="embeddings/oleObject14.bin"/><Relationship Id="rId40" Type="http://schemas.openxmlformats.org/officeDocument/2006/relationships/image" Target="media/image12.wmf"/><Relationship Id="rId4" Type="http://schemas.openxmlformats.org/officeDocument/2006/relationships/header" Target="header2.xml"/><Relationship Id="rId39" Type="http://schemas.openxmlformats.org/officeDocument/2006/relationships/oleObject" Target="embeddings/oleObject13.bin"/><Relationship Id="rId38" Type="http://schemas.openxmlformats.org/officeDocument/2006/relationships/image" Target="media/image11.wmf"/><Relationship Id="rId37" Type="http://schemas.openxmlformats.org/officeDocument/2006/relationships/oleObject" Target="embeddings/oleObject12.bin"/><Relationship Id="rId36" Type="http://schemas.openxmlformats.org/officeDocument/2006/relationships/oleObject" Target="embeddings/oleObject11.bin"/><Relationship Id="rId35" Type="http://schemas.openxmlformats.org/officeDocument/2006/relationships/image" Target="media/image10.wmf"/><Relationship Id="rId34" Type="http://schemas.openxmlformats.org/officeDocument/2006/relationships/oleObject" Target="embeddings/oleObject10.bin"/><Relationship Id="rId33" Type="http://schemas.openxmlformats.org/officeDocument/2006/relationships/image" Target="media/image9.wmf"/><Relationship Id="rId32" Type="http://schemas.openxmlformats.org/officeDocument/2006/relationships/oleObject" Target="embeddings/oleObject9.bin"/><Relationship Id="rId31" Type="http://schemas.openxmlformats.org/officeDocument/2006/relationships/image" Target="media/image8.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7.wmf"/><Relationship Id="rId28" Type="http://schemas.openxmlformats.org/officeDocument/2006/relationships/oleObject" Target="embeddings/oleObject7.bin"/><Relationship Id="rId27" Type="http://schemas.openxmlformats.org/officeDocument/2006/relationships/image" Target="media/image6.wmf"/><Relationship Id="rId265" Type="http://schemas.openxmlformats.org/officeDocument/2006/relationships/fontTable" Target="fontTable.xml"/><Relationship Id="rId264" Type="http://schemas.openxmlformats.org/officeDocument/2006/relationships/customXml" Target="../customXml/item2.xml"/><Relationship Id="rId263" Type="http://schemas.openxmlformats.org/officeDocument/2006/relationships/customXml" Target="../customXml/item1.xml"/><Relationship Id="rId262" Type="http://schemas.openxmlformats.org/officeDocument/2006/relationships/image" Target="media/image144.jpeg"/><Relationship Id="rId261" Type="http://schemas.openxmlformats.org/officeDocument/2006/relationships/image" Target="media/image143.wmf"/><Relationship Id="rId260" Type="http://schemas.openxmlformats.org/officeDocument/2006/relationships/oleObject" Target="embeddings/oleObject103.bin"/><Relationship Id="rId26" Type="http://schemas.openxmlformats.org/officeDocument/2006/relationships/oleObject" Target="embeddings/oleObject6.bin"/><Relationship Id="rId259" Type="http://schemas.openxmlformats.org/officeDocument/2006/relationships/image" Target="media/image142.wmf"/><Relationship Id="rId258" Type="http://schemas.openxmlformats.org/officeDocument/2006/relationships/oleObject" Target="embeddings/oleObject102.bin"/><Relationship Id="rId257" Type="http://schemas.openxmlformats.org/officeDocument/2006/relationships/image" Target="media/image141.wmf"/><Relationship Id="rId256" Type="http://schemas.openxmlformats.org/officeDocument/2006/relationships/oleObject" Target="embeddings/oleObject101.bin"/><Relationship Id="rId255" Type="http://schemas.openxmlformats.org/officeDocument/2006/relationships/image" Target="media/image140.wmf"/><Relationship Id="rId254" Type="http://schemas.openxmlformats.org/officeDocument/2006/relationships/oleObject" Target="embeddings/oleObject100.bin"/><Relationship Id="rId253" Type="http://schemas.openxmlformats.org/officeDocument/2006/relationships/image" Target="media/image139.jpeg"/><Relationship Id="rId252" Type="http://schemas.openxmlformats.org/officeDocument/2006/relationships/image" Target="media/image138.jpeg"/><Relationship Id="rId251" Type="http://schemas.openxmlformats.org/officeDocument/2006/relationships/image" Target="media/image137.jpeg"/><Relationship Id="rId250" Type="http://schemas.openxmlformats.org/officeDocument/2006/relationships/image" Target="media/image136.jpeg"/><Relationship Id="rId25" Type="http://schemas.openxmlformats.org/officeDocument/2006/relationships/image" Target="media/image5.wmf"/><Relationship Id="rId249" Type="http://schemas.openxmlformats.org/officeDocument/2006/relationships/image" Target="media/image135.jpeg"/><Relationship Id="rId248" Type="http://schemas.openxmlformats.org/officeDocument/2006/relationships/image" Target="media/image134.jpeg"/><Relationship Id="rId247" Type="http://schemas.openxmlformats.org/officeDocument/2006/relationships/image" Target="media/image133.jpeg"/><Relationship Id="rId246" Type="http://schemas.openxmlformats.org/officeDocument/2006/relationships/image" Target="media/image132.png"/><Relationship Id="rId245" Type="http://schemas.openxmlformats.org/officeDocument/2006/relationships/image" Target="media/image131.png"/><Relationship Id="rId244" Type="http://schemas.openxmlformats.org/officeDocument/2006/relationships/image" Target="media/image130.png"/><Relationship Id="rId243" Type="http://schemas.openxmlformats.org/officeDocument/2006/relationships/image" Target="media/image129.wmf"/><Relationship Id="rId242" Type="http://schemas.openxmlformats.org/officeDocument/2006/relationships/oleObject" Target="embeddings/oleObject99.bin"/><Relationship Id="rId241" Type="http://schemas.openxmlformats.org/officeDocument/2006/relationships/image" Target="media/image128.wmf"/><Relationship Id="rId240" Type="http://schemas.openxmlformats.org/officeDocument/2006/relationships/oleObject" Target="embeddings/oleObject98.bin"/><Relationship Id="rId24" Type="http://schemas.openxmlformats.org/officeDocument/2006/relationships/oleObject" Target="embeddings/oleObject5.bin"/><Relationship Id="rId239" Type="http://schemas.openxmlformats.org/officeDocument/2006/relationships/image" Target="media/image127.wmf"/><Relationship Id="rId238" Type="http://schemas.openxmlformats.org/officeDocument/2006/relationships/oleObject" Target="embeddings/oleObject97.bin"/><Relationship Id="rId237" Type="http://schemas.openxmlformats.org/officeDocument/2006/relationships/image" Target="media/image126.wmf"/><Relationship Id="rId236" Type="http://schemas.openxmlformats.org/officeDocument/2006/relationships/oleObject" Target="embeddings/oleObject96.bin"/><Relationship Id="rId235" Type="http://schemas.openxmlformats.org/officeDocument/2006/relationships/image" Target="media/image125.emf"/><Relationship Id="rId234" Type="http://schemas.openxmlformats.org/officeDocument/2006/relationships/image" Target="media/image124.emf"/><Relationship Id="rId233" Type="http://schemas.openxmlformats.org/officeDocument/2006/relationships/image" Target="media/image123.wmf"/><Relationship Id="rId232" Type="http://schemas.openxmlformats.org/officeDocument/2006/relationships/oleObject" Target="embeddings/oleObject95.bin"/><Relationship Id="rId231" Type="http://schemas.openxmlformats.org/officeDocument/2006/relationships/image" Target="media/image122.wmf"/><Relationship Id="rId230" Type="http://schemas.openxmlformats.org/officeDocument/2006/relationships/oleObject" Target="embeddings/oleObject94.bin"/><Relationship Id="rId23" Type="http://schemas.openxmlformats.org/officeDocument/2006/relationships/image" Target="media/image4.wmf"/><Relationship Id="rId229" Type="http://schemas.openxmlformats.org/officeDocument/2006/relationships/image" Target="media/image121.wmf"/><Relationship Id="rId228" Type="http://schemas.openxmlformats.org/officeDocument/2006/relationships/oleObject" Target="embeddings/oleObject93.bin"/><Relationship Id="rId227" Type="http://schemas.openxmlformats.org/officeDocument/2006/relationships/image" Target="media/image120.wmf"/><Relationship Id="rId226" Type="http://schemas.openxmlformats.org/officeDocument/2006/relationships/oleObject" Target="embeddings/oleObject92.bin"/><Relationship Id="rId225" Type="http://schemas.openxmlformats.org/officeDocument/2006/relationships/image" Target="media/image119.wmf"/><Relationship Id="rId224" Type="http://schemas.openxmlformats.org/officeDocument/2006/relationships/oleObject" Target="embeddings/oleObject91.bin"/><Relationship Id="rId223" Type="http://schemas.openxmlformats.org/officeDocument/2006/relationships/image" Target="media/image118.wmf"/><Relationship Id="rId222" Type="http://schemas.openxmlformats.org/officeDocument/2006/relationships/oleObject" Target="embeddings/oleObject90.bin"/><Relationship Id="rId221" Type="http://schemas.openxmlformats.org/officeDocument/2006/relationships/image" Target="media/image117.jpeg"/><Relationship Id="rId220" Type="http://schemas.openxmlformats.org/officeDocument/2006/relationships/image" Target="media/image116.wmf"/><Relationship Id="rId22" Type="http://schemas.openxmlformats.org/officeDocument/2006/relationships/oleObject" Target="embeddings/oleObject4.bin"/><Relationship Id="rId219" Type="http://schemas.openxmlformats.org/officeDocument/2006/relationships/oleObject" Target="embeddings/oleObject89.bin"/><Relationship Id="rId218" Type="http://schemas.openxmlformats.org/officeDocument/2006/relationships/image" Target="media/image115.jpeg"/><Relationship Id="rId217" Type="http://schemas.openxmlformats.org/officeDocument/2006/relationships/image" Target="media/image114.jpeg"/><Relationship Id="rId216" Type="http://schemas.openxmlformats.org/officeDocument/2006/relationships/image" Target="media/image113.wmf"/><Relationship Id="rId215" Type="http://schemas.openxmlformats.org/officeDocument/2006/relationships/oleObject" Target="embeddings/oleObject88.bin"/><Relationship Id="rId214" Type="http://schemas.openxmlformats.org/officeDocument/2006/relationships/image" Target="media/image112.wmf"/><Relationship Id="rId213" Type="http://schemas.openxmlformats.org/officeDocument/2006/relationships/oleObject" Target="embeddings/oleObject87.bin"/><Relationship Id="rId212" Type="http://schemas.openxmlformats.org/officeDocument/2006/relationships/image" Target="media/image111.wmf"/><Relationship Id="rId211" Type="http://schemas.openxmlformats.org/officeDocument/2006/relationships/oleObject" Target="embeddings/oleObject86.bin"/><Relationship Id="rId210" Type="http://schemas.openxmlformats.org/officeDocument/2006/relationships/image" Target="media/image110.wmf"/><Relationship Id="rId21" Type="http://schemas.openxmlformats.org/officeDocument/2006/relationships/image" Target="media/image3.wmf"/><Relationship Id="rId209" Type="http://schemas.openxmlformats.org/officeDocument/2006/relationships/oleObject" Target="embeddings/oleObject85.bin"/><Relationship Id="rId208" Type="http://schemas.openxmlformats.org/officeDocument/2006/relationships/image" Target="media/image109.wmf"/><Relationship Id="rId207" Type="http://schemas.openxmlformats.org/officeDocument/2006/relationships/oleObject" Target="embeddings/oleObject84.bin"/><Relationship Id="rId206" Type="http://schemas.openxmlformats.org/officeDocument/2006/relationships/image" Target="media/image108.wmf"/><Relationship Id="rId205" Type="http://schemas.openxmlformats.org/officeDocument/2006/relationships/oleObject" Target="embeddings/oleObject83.bin"/><Relationship Id="rId204" Type="http://schemas.openxmlformats.org/officeDocument/2006/relationships/image" Target="media/image107.wmf"/><Relationship Id="rId203" Type="http://schemas.openxmlformats.org/officeDocument/2006/relationships/oleObject" Target="embeddings/oleObject82.bin"/><Relationship Id="rId202" Type="http://schemas.openxmlformats.org/officeDocument/2006/relationships/image" Target="media/image106.emf"/><Relationship Id="rId201" Type="http://schemas.openxmlformats.org/officeDocument/2006/relationships/image" Target="media/image105.emf"/><Relationship Id="rId200" Type="http://schemas.openxmlformats.org/officeDocument/2006/relationships/image" Target="media/image104.emf"/><Relationship Id="rId20" Type="http://schemas.openxmlformats.org/officeDocument/2006/relationships/oleObject" Target="embeddings/oleObject3.bin"/><Relationship Id="rId2" Type="http://schemas.openxmlformats.org/officeDocument/2006/relationships/settings" Target="settings.xml"/><Relationship Id="rId199" Type="http://schemas.openxmlformats.org/officeDocument/2006/relationships/image" Target="media/image103.wmf"/><Relationship Id="rId198" Type="http://schemas.openxmlformats.org/officeDocument/2006/relationships/oleObject" Target="embeddings/oleObject81.bin"/><Relationship Id="rId197" Type="http://schemas.openxmlformats.org/officeDocument/2006/relationships/image" Target="media/image102.wmf"/><Relationship Id="rId196" Type="http://schemas.openxmlformats.org/officeDocument/2006/relationships/oleObject" Target="embeddings/oleObject80.bin"/><Relationship Id="rId195" Type="http://schemas.openxmlformats.org/officeDocument/2006/relationships/image" Target="media/image101.wmf"/><Relationship Id="rId194" Type="http://schemas.openxmlformats.org/officeDocument/2006/relationships/oleObject" Target="embeddings/oleObject79.bin"/><Relationship Id="rId193" Type="http://schemas.openxmlformats.org/officeDocument/2006/relationships/image" Target="media/image100.jpeg"/><Relationship Id="rId192" Type="http://schemas.openxmlformats.org/officeDocument/2006/relationships/image" Target="media/image99.wmf"/><Relationship Id="rId191" Type="http://schemas.openxmlformats.org/officeDocument/2006/relationships/oleObject" Target="embeddings/oleObject78.bin"/><Relationship Id="rId190" Type="http://schemas.openxmlformats.org/officeDocument/2006/relationships/image" Target="media/image98.wmf"/><Relationship Id="rId19" Type="http://schemas.openxmlformats.org/officeDocument/2006/relationships/image" Target="media/image2.wmf"/><Relationship Id="rId189" Type="http://schemas.openxmlformats.org/officeDocument/2006/relationships/oleObject" Target="embeddings/oleObject77.bin"/><Relationship Id="rId188" Type="http://schemas.openxmlformats.org/officeDocument/2006/relationships/image" Target="media/image97.wmf"/><Relationship Id="rId187" Type="http://schemas.openxmlformats.org/officeDocument/2006/relationships/oleObject" Target="embeddings/oleObject76.bin"/><Relationship Id="rId186" Type="http://schemas.openxmlformats.org/officeDocument/2006/relationships/image" Target="media/image96.wmf"/><Relationship Id="rId185" Type="http://schemas.openxmlformats.org/officeDocument/2006/relationships/oleObject" Target="embeddings/oleObject75.bin"/><Relationship Id="rId184" Type="http://schemas.openxmlformats.org/officeDocument/2006/relationships/image" Target="media/image95.wmf"/><Relationship Id="rId183" Type="http://schemas.openxmlformats.org/officeDocument/2006/relationships/oleObject" Target="embeddings/oleObject74.bin"/><Relationship Id="rId182" Type="http://schemas.openxmlformats.org/officeDocument/2006/relationships/image" Target="media/image94.wmf"/><Relationship Id="rId181" Type="http://schemas.openxmlformats.org/officeDocument/2006/relationships/oleObject" Target="embeddings/oleObject73.bin"/><Relationship Id="rId180" Type="http://schemas.openxmlformats.org/officeDocument/2006/relationships/image" Target="media/image93.wmf"/><Relationship Id="rId18" Type="http://schemas.openxmlformats.org/officeDocument/2006/relationships/oleObject" Target="embeddings/oleObject2.bin"/><Relationship Id="rId179" Type="http://schemas.openxmlformats.org/officeDocument/2006/relationships/oleObject" Target="embeddings/oleObject72.bin"/><Relationship Id="rId178" Type="http://schemas.openxmlformats.org/officeDocument/2006/relationships/image" Target="media/image92.jpeg"/><Relationship Id="rId177" Type="http://schemas.openxmlformats.org/officeDocument/2006/relationships/image" Target="media/image91.jpeg"/><Relationship Id="rId176" Type="http://schemas.openxmlformats.org/officeDocument/2006/relationships/image" Target="media/image90.wmf"/><Relationship Id="rId175" Type="http://schemas.openxmlformats.org/officeDocument/2006/relationships/oleObject" Target="embeddings/oleObject71.bin"/><Relationship Id="rId174" Type="http://schemas.openxmlformats.org/officeDocument/2006/relationships/image" Target="media/image89.wmf"/><Relationship Id="rId173" Type="http://schemas.openxmlformats.org/officeDocument/2006/relationships/oleObject" Target="embeddings/oleObject70.bin"/><Relationship Id="rId172" Type="http://schemas.openxmlformats.org/officeDocument/2006/relationships/image" Target="media/image88.wmf"/><Relationship Id="rId171" Type="http://schemas.openxmlformats.org/officeDocument/2006/relationships/oleObject" Target="embeddings/oleObject69.bin"/><Relationship Id="rId170" Type="http://schemas.openxmlformats.org/officeDocument/2006/relationships/image" Target="media/image87.wmf"/><Relationship Id="rId17" Type="http://schemas.openxmlformats.org/officeDocument/2006/relationships/image" Target="media/image1.wmf"/><Relationship Id="rId169" Type="http://schemas.openxmlformats.org/officeDocument/2006/relationships/oleObject" Target="embeddings/oleObject68.bin"/><Relationship Id="rId168" Type="http://schemas.openxmlformats.org/officeDocument/2006/relationships/image" Target="media/image86.wmf"/><Relationship Id="rId167" Type="http://schemas.openxmlformats.org/officeDocument/2006/relationships/oleObject" Target="embeddings/oleObject67.bin"/><Relationship Id="rId166" Type="http://schemas.openxmlformats.org/officeDocument/2006/relationships/image" Target="media/image85.wmf"/><Relationship Id="rId165" Type="http://schemas.openxmlformats.org/officeDocument/2006/relationships/oleObject" Target="embeddings/oleObject66.bin"/><Relationship Id="rId164" Type="http://schemas.openxmlformats.org/officeDocument/2006/relationships/image" Target="media/image84.wmf"/><Relationship Id="rId163" Type="http://schemas.openxmlformats.org/officeDocument/2006/relationships/oleObject" Target="embeddings/oleObject65.bin"/><Relationship Id="rId162" Type="http://schemas.openxmlformats.org/officeDocument/2006/relationships/image" Target="media/image83.wmf"/><Relationship Id="rId161" Type="http://schemas.openxmlformats.org/officeDocument/2006/relationships/oleObject" Target="embeddings/oleObject64.bin"/><Relationship Id="rId160" Type="http://schemas.openxmlformats.org/officeDocument/2006/relationships/image" Target="media/image82.jpeg"/><Relationship Id="rId16" Type="http://schemas.openxmlformats.org/officeDocument/2006/relationships/oleObject" Target="embeddings/oleObject1.bin"/><Relationship Id="rId159" Type="http://schemas.openxmlformats.org/officeDocument/2006/relationships/image" Target="media/image81.wmf"/><Relationship Id="rId158" Type="http://schemas.openxmlformats.org/officeDocument/2006/relationships/oleObject" Target="embeddings/oleObject63.bin"/><Relationship Id="rId157" Type="http://schemas.openxmlformats.org/officeDocument/2006/relationships/image" Target="media/image80.wmf"/><Relationship Id="rId156" Type="http://schemas.openxmlformats.org/officeDocument/2006/relationships/oleObject" Target="embeddings/oleObject62.bin"/><Relationship Id="rId155" Type="http://schemas.openxmlformats.org/officeDocument/2006/relationships/image" Target="media/image79.wmf"/><Relationship Id="rId154" Type="http://schemas.openxmlformats.org/officeDocument/2006/relationships/oleObject" Target="embeddings/oleObject61.bin"/><Relationship Id="rId153" Type="http://schemas.openxmlformats.org/officeDocument/2006/relationships/image" Target="media/image78.wmf"/><Relationship Id="rId152" Type="http://schemas.openxmlformats.org/officeDocument/2006/relationships/oleObject" Target="embeddings/oleObject60.bin"/><Relationship Id="rId151" Type="http://schemas.openxmlformats.org/officeDocument/2006/relationships/image" Target="media/image77.jpeg"/><Relationship Id="rId150" Type="http://schemas.openxmlformats.org/officeDocument/2006/relationships/image" Target="media/image76.wmf"/><Relationship Id="rId15" Type="http://schemas.openxmlformats.org/officeDocument/2006/relationships/theme" Target="theme/theme1.xml"/><Relationship Id="rId149" Type="http://schemas.openxmlformats.org/officeDocument/2006/relationships/oleObject" Target="embeddings/oleObject59.bin"/><Relationship Id="rId148" Type="http://schemas.openxmlformats.org/officeDocument/2006/relationships/image" Target="media/image75.wmf"/><Relationship Id="rId147" Type="http://schemas.openxmlformats.org/officeDocument/2006/relationships/oleObject" Target="embeddings/oleObject58.bin"/><Relationship Id="rId146" Type="http://schemas.openxmlformats.org/officeDocument/2006/relationships/image" Target="media/image74.wmf"/><Relationship Id="rId145" Type="http://schemas.openxmlformats.org/officeDocument/2006/relationships/oleObject" Target="embeddings/oleObject57.bin"/><Relationship Id="rId144" Type="http://schemas.openxmlformats.org/officeDocument/2006/relationships/image" Target="media/image73.wmf"/><Relationship Id="rId143" Type="http://schemas.openxmlformats.org/officeDocument/2006/relationships/oleObject" Target="embeddings/oleObject56.bin"/><Relationship Id="rId142" Type="http://schemas.openxmlformats.org/officeDocument/2006/relationships/image" Target="media/image72.jpeg"/><Relationship Id="rId141" Type="http://schemas.openxmlformats.org/officeDocument/2006/relationships/image" Target="media/image71.jpeg"/><Relationship Id="rId140" Type="http://schemas.openxmlformats.org/officeDocument/2006/relationships/image" Target="media/image70.jpeg"/><Relationship Id="rId14" Type="http://schemas.openxmlformats.org/officeDocument/2006/relationships/footer" Target="footer8.xml"/><Relationship Id="rId139" Type="http://schemas.openxmlformats.org/officeDocument/2006/relationships/image" Target="media/image69.wmf"/><Relationship Id="rId138" Type="http://schemas.openxmlformats.org/officeDocument/2006/relationships/oleObject" Target="embeddings/oleObject55.bin"/><Relationship Id="rId137" Type="http://schemas.openxmlformats.org/officeDocument/2006/relationships/image" Target="media/image68.wmf"/><Relationship Id="rId136" Type="http://schemas.openxmlformats.org/officeDocument/2006/relationships/oleObject" Target="embeddings/oleObject54.bin"/><Relationship Id="rId135" Type="http://schemas.openxmlformats.org/officeDocument/2006/relationships/image" Target="media/image67.wmf"/><Relationship Id="rId134" Type="http://schemas.openxmlformats.org/officeDocument/2006/relationships/oleObject" Target="embeddings/oleObject53.bin"/><Relationship Id="rId133" Type="http://schemas.openxmlformats.org/officeDocument/2006/relationships/image" Target="media/image66.jpeg"/><Relationship Id="rId132" Type="http://schemas.openxmlformats.org/officeDocument/2006/relationships/image" Target="media/image65.jpeg"/><Relationship Id="rId131" Type="http://schemas.openxmlformats.org/officeDocument/2006/relationships/image" Target="media/image64.wmf"/><Relationship Id="rId130" Type="http://schemas.openxmlformats.org/officeDocument/2006/relationships/oleObject" Target="embeddings/oleObject52.bin"/><Relationship Id="rId13" Type="http://schemas.openxmlformats.org/officeDocument/2006/relationships/footer" Target="footer7.xml"/><Relationship Id="rId129" Type="http://schemas.openxmlformats.org/officeDocument/2006/relationships/image" Target="media/image63.jpeg"/><Relationship Id="rId128" Type="http://schemas.openxmlformats.org/officeDocument/2006/relationships/image" Target="media/image62.wmf"/><Relationship Id="rId127" Type="http://schemas.openxmlformats.org/officeDocument/2006/relationships/oleObject" Target="embeddings/oleObject51.bin"/><Relationship Id="rId126" Type="http://schemas.openxmlformats.org/officeDocument/2006/relationships/image" Target="media/image61.wmf"/><Relationship Id="rId125" Type="http://schemas.openxmlformats.org/officeDocument/2006/relationships/oleObject" Target="embeddings/oleObject50.bin"/><Relationship Id="rId124" Type="http://schemas.openxmlformats.org/officeDocument/2006/relationships/image" Target="media/image60.jpeg"/><Relationship Id="rId123" Type="http://schemas.openxmlformats.org/officeDocument/2006/relationships/image" Target="media/image59.wmf"/><Relationship Id="rId122" Type="http://schemas.openxmlformats.org/officeDocument/2006/relationships/oleObject" Target="embeddings/oleObject49.bin"/><Relationship Id="rId121" Type="http://schemas.openxmlformats.org/officeDocument/2006/relationships/image" Target="media/image58.jpeg"/><Relationship Id="rId120" Type="http://schemas.openxmlformats.org/officeDocument/2006/relationships/image" Target="media/image57.wmf"/><Relationship Id="rId12" Type="http://schemas.openxmlformats.org/officeDocument/2006/relationships/footer" Target="footer6.xml"/><Relationship Id="rId119" Type="http://schemas.openxmlformats.org/officeDocument/2006/relationships/oleObject" Target="embeddings/oleObject48.bin"/><Relationship Id="rId118" Type="http://schemas.openxmlformats.org/officeDocument/2006/relationships/image" Target="media/image56.jpeg"/><Relationship Id="rId117" Type="http://schemas.openxmlformats.org/officeDocument/2006/relationships/image" Target="media/image55.wmf"/><Relationship Id="rId116" Type="http://schemas.openxmlformats.org/officeDocument/2006/relationships/oleObject" Target="embeddings/oleObject47.bin"/><Relationship Id="rId115" Type="http://schemas.openxmlformats.org/officeDocument/2006/relationships/image" Target="media/image54.wmf"/><Relationship Id="rId114" Type="http://schemas.openxmlformats.org/officeDocument/2006/relationships/oleObject" Target="embeddings/oleObject46.bin"/><Relationship Id="rId113" Type="http://schemas.openxmlformats.org/officeDocument/2006/relationships/image" Target="media/image53.wmf"/><Relationship Id="rId112" Type="http://schemas.openxmlformats.org/officeDocument/2006/relationships/oleObject" Target="embeddings/oleObject45.bin"/><Relationship Id="rId111" Type="http://schemas.openxmlformats.org/officeDocument/2006/relationships/image" Target="media/image52.wmf"/><Relationship Id="rId110" Type="http://schemas.openxmlformats.org/officeDocument/2006/relationships/oleObject" Target="embeddings/oleObject44.bin"/><Relationship Id="rId11" Type="http://schemas.openxmlformats.org/officeDocument/2006/relationships/footer" Target="footer5.xml"/><Relationship Id="rId109" Type="http://schemas.openxmlformats.org/officeDocument/2006/relationships/image" Target="media/image51.wmf"/><Relationship Id="rId108" Type="http://schemas.openxmlformats.org/officeDocument/2006/relationships/oleObject" Target="embeddings/oleObject43.bin"/><Relationship Id="rId107" Type="http://schemas.openxmlformats.org/officeDocument/2006/relationships/image" Target="media/image50.wmf"/><Relationship Id="rId106" Type="http://schemas.openxmlformats.org/officeDocument/2006/relationships/oleObject" Target="embeddings/oleObject42.bin"/><Relationship Id="rId105" Type="http://schemas.openxmlformats.org/officeDocument/2006/relationships/image" Target="media/image49.jpeg"/><Relationship Id="rId104" Type="http://schemas.openxmlformats.org/officeDocument/2006/relationships/image" Target="media/image48.jpeg"/><Relationship Id="rId103" Type="http://schemas.openxmlformats.org/officeDocument/2006/relationships/image" Target="media/image47.wmf"/><Relationship Id="rId102" Type="http://schemas.openxmlformats.org/officeDocument/2006/relationships/oleObject" Target="embeddings/oleObject41.bin"/><Relationship Id="rId101" Type="http://schemas.openxmlformats.org/officeDocument/2006/relationships/image" Target="media/image46.wmf"/><Relationship Id="rId100" Type="http://schemas.openxmlformats.org/officeDocument/2006/relationships/oleObject" Target="embeddings/oleObject40.bin"/><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Users\Zhao\Desktop\&#26118;&#26126;&#22320;&#21306;&#28145;&#22522;&#22353;&#21208;&#23519;&#35774;&#35745;&#35268;&#33539;&#65288;&#23457;&#26597;&#31295;&#65289;2017092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B6A94A-228C-4663-8F76-5505FA5AAE86}">
  <ds:schemaRefs/>
</ds:datastoreItem>
</file>

<file path=docProps/app.xml><?xml version="1.0" encoding="utf-8"?>
<Properties xmlns="http://schemas.openxmlformats.org/officeDocument/2006/extended-properties" xmlns:vt="http://schemas.openxmlformats.org/officeDocument/2006/docPropsVTypes">
  <Template>昆明地区深基坑勘察设计规范（审查稿）20170921.dot</Template>
  <Company>KAD</Company>
  <Pages>134</Pages>
  <Words>70532</Words>
  <Characters>31965</Characters>
  <Lines>266</Lines>
  <Paragraphs>204</Paragraphs>
  <TotalTime>10149</TotalTime>
  <ScaleCrop>false</ScaleCrop>
  <LinksUpToDate>false</LinksUpToDate>
  <CharactersWithSpaces>102293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2019-06-27T07:18:00Z</dcterms:created>
  <dc:creator>ZhaoBo</dc:creator>
  <cp:lastModifiedBy>郭虹燕</cp:lastModifiedBy>
  <cp:lastPrinted>2020-07-08T03:04:00Z</cp:lastPrinted>
  <dcterms:modified xsi:type="dcterms:W3CDTF">2021-11-25T01:28:02Z</dcterms:modified>
  <dc:title>4  岩土工程勘察与环境调查</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