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附件</w:t>
      </w:r>
    </w:p>
    <w:tbl>
      <w:tblPr>
        <w:tblStyle w:val="4"/>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1965"/>
        <w:gridCol w:w="1485"/>
        <w:gridCol w:w="3826"/>
        <w:gridCol w:w="1919"/>
        <w:gridCol w:w="154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3797" w:type="dxa"/>
            <w:gridSpan w:val="7"/>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center"/>
              <w:textAlignment w:val="auto"/>
              <w:outlineLvl w:val="9"/>
              <w:rPr>
                <w:rFonts w:hint="default" w:ascii="宋体" w:hAnsi="宋体" w:eastAsia="宋体" w:cs="宋体"/>
                <w:i w:val="0"/>
                <w:color w:val="000000"/>
                <w:sz w:val="36"/>
                <w:szCs w:val="36"/>
                <w:u w:val="none"/>
                <w:lang w:val="en-US" w:eastAsia="zh-CN"/>
              </w:rPr>
            </w:pPr>
            <w:r>
              <w:rPr>
                <w:rFonts w:hint="eastAsia" w:ascii="Times New Roman" w:hAnsi="Times New Roman" w:eastAsia="方正小标宋简体" w:cs="方正小标宋简体"/>
                <w:b w:val="0"/>
                <w:bCs w:val="0"/>
                <w:color w:val="auto"/>
                <w:sz w:val="44"/>
                <w:szCs w:val="44"/>
                <w:shd w:val="clear" w:color="auto" w:fill="auto"/>
              </w:rPr>
              <w:t>20</w:t>
            </w:r>
            <w:r>
              <w:rPr>
                <w:rFonts w:hint="eastAsia" w:ascii="Times New Roman" w:hAnsi="Times New Roman" w:eastAsia="方正小标宋简体" w:cs="方正小标宋简体"/>
                <w:b w:val="0"/>
                <w:bCs w:val="0"/>
                <w:color w:val="auto"/>
                <w:sz w:val="44"/>
                <w:szCs w:val="44"/>
                <w:shd w:val="clear" w:color="auto" w:fill="auto"/>
                <w:lang w:val="en-US" w:eastAsia="zh-CN"/>
              </w:rPr>
              <w:t>20</w:t>
            </w:r>
            <w:r>
              <w:rPr>
                <w:rFonts w:hint="eastAsia" w:ascii="Times New Roman" w:hAnsi="Times New Roman" w:eastAsia="方正小标宋简体" w:cs="方正小标宋简体"/>
                <w:b w:val="0"/>
                <w:bCs w:val="0"/>
                <w:color w:val="auto"/>
                <w:sz w:val="44"/>
                <w:szCs w:val="44"/>
                <w:shd w:val="clear" w:color="auto" w:fill="auto"/>
              </w:rPr>
              <w:t>年云</w:t>
            </w:r>
            <w:r>
              <w:rPr>
                <w:rFonts w:hint="eastAsia" w:ascii="方正小标宋简体" w:hAnsi="方正小标宋简体" w:eastAsia="方正小标宋简体" w:cs="方正小标宋简体"/>
                <w:b w:val="0"/>
                <w:bCs w:val="0"/>
                <w:color w:val="auto"/>
                <w:sz w:val="44"/>
                <w:szCs w:val="44"/>
                <w:shd w:val="clear" w:color="auto" w:fill="auto"/>
              </w:rPr>
              <w:t>南省工程建设地方标</w:t>
            </w:r>
            <w:r>
              <w:rPr>
                <w:rFonts w:hint="eastAsia" w:ascii="方正小标宋简体" w:hAnsi="方正小标宋简体" w:eastAsia="方正小标宋简体" w:cs="方正小标宋简体"/>
                <w:b w:val="0"/>
                <w:bCs w:val="0"/>
                <w:color w:val="auto"/>
                <w:sz w:val="44"/>
                <w:szCs w:val="44"/>
                <w:shd w:val="clear" w:color="auto" w:fill="auto"/>
                <w:lang w:eastAsia="zh-CN"/>
              </w:rPr>
              <w:t>准编制</w:t>
            </w:r>
            <w:r>
              <w:rPr>
                <w:rFonts w:hint="eastAsia" w:ascii="方正小标宋简体" w:hAnsi="方正小标宋简体" w:eastAsia="方正小标宋简体" w:cs="方正小标宋简体"/>
                <w:b w:val="0"/>
                <w:bCs w:val="0"/>
                <w:color w:val="auto"/>
                <w:sz w:val="44"/>
                <w:szCs w:val="44"/>
                <w:shd w:val="clear" w:color="auto" w:fill="auto"/>
              </w:rPr>
              <w:t>计划</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立项</w:t>
            </w:r>
            <w:r>
              <w:rPr>
                <w:rFonts w:hint="eastAsia" w:ascii="方正小标宋简体" w:hAnsi="方正小标宋简体" w:eastAsia="方正小标宋简体" w:cs="方正小标宋简体"/>
                <w:b w:val="0"/>
                <w:bCs w:val="0"/>
                <w:color w:val="auto"/>
                <w:sz w:val="44"/>
                <w:szCs w:val="44"/>
                <w:shd w:val="clear" w:color="auto" w:fill="auto"/>
                <w:lang w:eastAsia="zh-CN"/>
              </w:rPr>
              <w:t>（</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第一批次</w:t>
            </w:r>
            <w:r>
              <w:rPr>
                <w:rFonts w:hint="eastAsia" w:ascii="方正小标宋简体" w:hAnsi="方正小标宋简体" w:eastAsia="方正小标宋简体" w:cs="方正小标宋简体"/>
                <w:b w:val="0"/>
                <w:bCs w:val="0"/>
                <w:color w:val="auto"/>
                <w:sz w:val="44"/>
                <w:szCs w:val="4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196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Style w:val="8"/>
                <w:rFonts w:hint="eastAsia" w:ascii="黑体" w:hAnsi="黑体" w:eastAsia="黑体" w:cs="黑体"/>
                <w:lang w:val="en-US" w:eastAsia="zh-CN" w:bidi="ar"/>
              </w:rPr>
              <w:t>制定</w:t>
            </w:r>
            <w:r>
              <w:rPr>
                <w:rStyle w:val="9"/>
                <w:rFonts w:hint="eastAsia" w:ascii="黑体" w:hAnsi="黑体" w:eastAsia="黑体" w:cs="黑体"/>
                <w:lang w:val="en-US" w:eastAsia="zh-CN" w:bidi="ar"/>
              </w:rPr>
              <w:t>/</w:t>
            </w:r>
            <w:r>
              <w:rPr>
                <w:rStyle w:val="8"/>
                <w:rFonts w:hint="eastAsia" w:ascii="黑体" w:hAnsi="黑体" w:eastAsia="黑体" w:cs="黑体"/>
                <w:lang w:val="en-US" w:eastAsia="zh-CN" w:bidi="ar"/>
              </w:rPr>
              <w:t>修订</w:t>
            </w:r>
          </w:p>
        </w:tc>
        <w:tc>
          <w:tcPr>
            <w:tcW w:w="3826"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主要内容</w:t>
            </w:r>
          </w:p>
        </w:tc>
        <w:tc>
          <w:tcPr>
            <w:tcW w:w="1919"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主编单位</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完成期限</w:t>
            </w:r>
          </w:p>
        </w:tc>
        <w:tc>
          <w:tcPr>
            <w:tcW w:w="2325" w:type="dxa"/>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云南省建筑超长桩检测技术规程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适用于L/D＞50或桩长＞50m的灌注桩。主要技术内容：基本规定、基桩成孔质量检测、高应变法、声波透射法、钻芯法、抗压静载试验、抗拔静载试验、桩身内力测试、桩身位移测测量等。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云南省工程检测协会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云南合信工程检测咨询有限公司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刘迎霞18388041786             邮箱 ynhxjc@126.com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云南省高大支模体系监测技术规程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适用于房屋建筑与市政基础设施等施工过程中高大模板支撑系统工程的安全监测。主要技术内容：监测项目、监测点布置、监测方法及精度要求、监测频率、监测报警值、数据处理及信息反馈等。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云南省工程检测协会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云南合信工程检测咨询有限公司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刘迎霞18388041786           邮箱 ynhxjc@126.com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云南省建筑工程联合测绘技术规程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建筑工程项目的可研设计、报批、实施、竣工和运维阶段的规划、绿地、用地、消防、人防、形变、地下管线和权籍的测量工作。主要技术内容：控制测量、联合测绘、建筑面积计算规则、成果数据要求、成果质量检验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云南省基础测绘技术中心                 云南省测绘产品检测站</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王瑾13769131903    邮箱 1396356835@qq.com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云南省工程建设材料及设备通用编码标准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适用于云南省范围内流通的材料及设备，主要对直观反映材料及设备价格成本的要素进行编码规范。本标准编码宜使用信息技术进行自动编制。主要技术内容：标准编码框架、材料及设备编码数据库等。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云南省工程建设技术经济室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昆明行列科技有限公司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黄轩13888279920    邮箱396186844@qq.com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南亚东南亚工程建设材料及设备价格信息数据应用标准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标准适用于我国“一带一路”沿线南亚东南亚国家对外承包工程、对外投资项目出口材料及设备。主要技术内容：1.数据标准；2.材料价格数据制作规范；3.材料价格信息使用规范；4.价格信息信息发布规范；5.价格信息数据接口标准。</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云南省工程建设技术经济室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昆明行列科技有限公司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卢泰霖13648844981  邮箱13648844981@163.com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云南省装配式建筑构件通用编码标准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云南省内装配式建筑PC构件，钢构件的设计、生产制作、进场验收、吊装定位等适宜以编码进行控制管理的环节。本标准编码宜使用信息技术进行自动编制生成。主要技术内容：装配式建筑构件的编码范围、装配式建筑构件的编码规则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云南省工程建设技术经济室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昆明行列科技有限公司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黄轩 13888279920    邮箱 396186844@qq.com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云南省美丽公路景观绿化设计标准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要针对云南省美丽公路景观绿化设计中存在的问题进行规范化、标准化，形成完整的美丽公路设计要求体系，对美丽公路景观绿化设计的相关内容提出设计标准。主要技术内容：美丽公路红线内绿化设计、硬质景观设计、文化景观设计、美丽公路路域生态环境设计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云南省交通规划设计研究院有限公司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李洪春18787455697 邮箱1277242588@qq.com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云南省公路工程棚洞设计规范</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和改建公路棚洞规划与设计。云南地区所有公路棚洞工程均可参照执行；云南以外地区可参考。主要技术内容：1.总则；2.主要术语和符号；3.棚洞勘测；4.总体设计；5.荷载；6.建筑材料；7.洞口与洞门；8.结构设计；9.结构计算；10.棚洞抗震设计；11.不良地质地段棚洞设计；12.辅助施工措施与动态设计；13.防水与排水；14.路基与路面；15.棚洞内安全设施；16.棚洞内防护与装饰；附录A.岩体与土体物理力学参数；附录B.棚洞标准内轮廓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云南省交通规划设计研究院有限公司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李洪春18787455697  邮箱1277242588@qq.com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云南省公路路堑边坡工程监测技术规程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在建和运营阶段的公路路堑边坡。重点规定公路路堑边坡的监测技术流程。其他省份和类似线性工程斜坡也可参考使用。主要的技术内容：1.公路路堑边坡现场调查;2.公路边坡的监测容;3.公路边坡监测方法和精度要求;4.公路边坡的数据处理方法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云南省交通规划设计研究院有限公司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李洪春18787455697  邮箱1277242588@qq.com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云南省工业废渣堆场岩土工程技术规程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工业废渣堆场的勘察、监测和隐患治理。主要技术内容：1.总则；2.术语；3.基本规定；4.各类工程勘察要求；5.工程地质测绘与调查；6.勘探与取样；7.原位测试与室内试验；8.岩土工程分析评价和成果报告；9.巡查与监测；10.加固与治理。</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中国有色金属工业昆明勘察设计研究院有限公司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眭素刚13888743218  邮箱 39069954@qq.com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云南省岩溶地区建筑地基基础技术规范</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适用于岩溶地区建筑工程的勘察和地基基础的设计、施工与检测。主要技术内容：1.总则；2.术语和符号；3.基本规定；4.勘察；5.设计；6.地基处理；7.施工；8.检测验收等。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中国有色金属工业昆明勘察设计研究院有限公司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眭素刚13888743218  邮箱 39069954@qq.com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云南省高密度聚乙烯孔网骨架塑钢复合稳态管应用技术规程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适用于高密度聚乙烯孔网骨架塑钢复合稳态管的设计、施工及技术应用。主要技术内容：基本规定、材料、管道系统设计、管道工程施工、水压试工验冲洗及消毒、验收、维护等。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云南傲远智能环保科技有限公司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李海13629665216    邮箱 593268032@qq.com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云南省电动桥式脚手架施工技术规程  </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适用于工业与民用建筑工程、桥梁工程的立面施工电动桥式脚手架设计、施工、验收。主要技术内容：设计、生产工艺及主要装备、施工、维修保养等。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云南工程建设总承包股份有限公司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欧阳文璟13888165891         邮箱610324573@qq.com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云南省埋地式高分子量聚乙烯排水管道应用技术规程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适用于埋地式高分子量聚乙烯排水管道的设计、施工及技术应用。主要技术内容：基本规定、一般要求、材料、设计、施工、检验、验收、维护等。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云南傲远智能环保科技有限公司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耿艳琼13888999317                  邮箱 476106472@qq.com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云南省绿色建筑验收标准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适用于新建、扩建或改建的绿色民用建筑工程质量验收。主要技术内容：室外环境 、结构与建筑材料工程、建筑装饰装修工程 、建筑给水排水工程 、供暖通风与空调工程、建筑电气与智能建筑工程 、建筑节能与室内环境工程 、附录等。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云南能投缘达建设集团有限公司            昆明市建筑设计研究院股份有限公司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浦绍雷18288607556           邮箱yuanda699@163.com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云南省温和地区近零能耗建筑技术规程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适用于新建、改建和扩建的近零能耗建筑设计、施工、运营和评价。主要技术内容：室内环境参数、、能效指标、技术参数、技术措施、评价等。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云南润晶工程技术（集团）股份有限公司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姜树新15887214028             邮箱 135240047@qq.com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云南省绿色建筑设计标准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适用于新建、改扩建民用建筑的设计。主要技术内容：绿色设计策划、场地与室外环境、建筑设计与室内环境、建筑材料、给水排水、暖通空调、建筑电气等。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昆明市建筑设计研究院股份有限公司       昆明能投缘达建设集团有限公司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乔蓉艳13888439977            邮箱709612114@qq.com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云南省不降板同层排水系统应用技术规程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适用于新建、改扩建居住类建筑，需要排水系统改造的老旧建筑。主要技术内容：设计、安装、装配式卫生间、 验收、维护管理等。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昆明市建筑设计研究院股份有限公司       昆明群之英科技有限公司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乔蓉艳13888439977                                       邮箱709612114@qq.com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云南省预制楼梯技术规程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适用于采购标准化预制楼梯的所有建筑。主要技术内容：设计、安装、验收、 维护管理等。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昆明市建筑设计研究院股份有限公司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昆明铁新建设工程管理有限公司</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0"/>
                <w:lang w:val="en-US" w:eastAsia="zh-CN" w:bidi="ar"/>
              </w:rPr>
              <w:t>乔蓉艳</w:t>
            </w:r>
            <w:r>
              <w:rPr>
                <w:rStyle w:val="11"/>
                <w:lang w:val="en-US" w:eastAsia="zh-CN" w:bidi="ar"/>
              </w:rPr>
              <w:t xml:space="preserve">13888439977  </w:t>
            </w:r>
            <w:r>
              <w:rPr>
                <w:rStyle w:val="10"/>
                <w:lang w:val="en-US" w:eastAsia="zh-CN" w:bidi="ar"/>
              </w:rPr>
              <w:t>邮箱709612114@qq.com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云南省太阳能热水系统与建筑一体化评价标准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适用于民用建筑太阳能与建筑一体化项目评价。主要技术内容：太阳能系统性能评价、系统与建筑集成的评价、系统安全及耐久性评价、 经济性评价等。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云南省建筑科学研究院</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雷浩13888121606             邮箱 464530127@qq.com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云南省市政道路信息模型应用标准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新建、改建、扩建和大修的市政道路全寿命周期信息模型的创建、应用和管理。主要技术内容：市政道路工程设计、施工、运营全生命期中信息模型的创建、应用与交付等，描述每项应用的数据准备、操作流程、输出成果，并对文件管理、协同管理、模型架构和模型内容等作出规定。</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中国电建集团昆明勘测设计研究院有限公司                       云南省市政工程质量监督站               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程熙竣18687114264    邮箱494819885@qq.com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云南省城市综合管廊工程应用技术规程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综合管廊工程的施工及验收。主要技术内容：土石方与地基基础工程、模板工程、钢筋工程、混凝土工程、砌体工程、管廊顶进施工、、防水工程、附属构筑物工程、电气工程、给排水管道工程、通风系统工程、智能系统工程、自动仪表工程、消防系统工程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云南省建设投资控股集团有限公司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刘睿迪13629666370        邮箱1339614601@qq.com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云南省城市桥梁健康监测系统技术规程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适用于既有和新建的各类城市桥梁服役期间的桥梁健康监测系统设计、实施和运行管理。主要技术内容：总则、术语和符号、基本规定、系统设计、系统实施、系统管理及维护等。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中国电建集团昆明勘测设计研究院有限公司                       云南省市政工程质量监督站                                                                             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程熙竣18687114264            邮箱494819885@qq.com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云南省装配式建筑工程监理规程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2"/>
                <w:lang w:val="en-US" w:eastAsia="zh-CN" w:bidi="ar"/>
              </w:rPr>
              <w:t>适用于装配式建筑工程预制构件驻厂监造和现场施工质量、进度、造价控制、信息技术应用管理、文件资料管理、安全生产管理和保修阶段的监理工作。主要技术内容：项目监理机构及监理设施</w:t>
            </w:r>
            <w:r>
              <w:rPr>
                <w:rStyle w:val="13"/>
                <w:rFonts w:eastAsia="仿宋"/>
                <w:lang w:val="en-US" w:eastAsia="zh-CN" w:bidi="ar"/>
              </w:rPr>
              <w:t xml:space="preserve"> </w:t>
            </w:r>
            <w:r>
              <w:rPr>
                <w:rStyle w:val="12"/>
                <w:lang w:val="en-US" w:eastAsia="zh-CN" w:bidi="ar"/>
              </w:rPr>
              <w:t>、监理规划及实施细则</w:t>
            </w:r>
            <w:r>
              <w:rPr>
                <w:rStyle w:val="13"/>
                <w:rFonts w:eastAsia="仿宋"/>
                <w:lang w:val="en-US" w:eastAsia="zh-CN" w:bidi="ar"/>
              </w:rPr>
              <w:t xml:space="preserve"> </w:t>
            </w:r>
            <w:r>
              <w:rPr>
                <w:rStyle w:val="12"/>
                <w:lang w:val="en-US" w:eastAsia="zh-CN" w:bidi="ar"/>
              </w:rPr>
              <w:t>、监理工作</w:t>
            </w:r>
            <w:r>
              <w:rPr>
                <w:rStyle w:val="13"/>
                <w:rFonts w:eastAsia="仿宋"/>
                <w:lang w:val="en-US" w:eastAsia="zh-CN" w:bidi="ar"/>
              </w:rPr>
              <w:t xml:space="preserve"> </w:t>
            </w:r>
            <w:r>
              <w:rPr>
                <w:rStyle w:val="12"/>
                <w:lang w:val="en-US" w:eastAsia="zh-CN" w:bidi="ar"/>
              </w:rPr>
              <w:t>、 预制构件驻厂监造、验收、信息技术应用管理</w:t>
            </w:r>
            <w:r>
              <w:rPr>
                <w:rStyle w:val="13"/>
                <w:rFonts w:eastAsia="仿宋"/>
                <w:lang w:val="en-US" w:eastAsia="zh-CN" w:bidi="ar"/>
              </w:rPr>
              <w:t xml:space="preserve"> </w:t>
            </w:r>
            <w:r>
              <w:rPr>
                <w:rStyle w:val="12"/>
                <w:lang w:val="en-US" w:eastAsia="zh-CN" w:bidi="ar"/>
              </w:rPr>
              <w:t>、监理资料管理</w:t>
            </w:r>
            <w:r>
              <w:rPr>
                <w:rStyle w:val="13"/>
                <w:rFonts w:eastAsia="仿宋"/>
                <w:lang w:val="en-US" w:eastAsia="zh-CN" w:bidi="ar"/>
              </w:rPr>
              <w:t xml:space="preserve"> </w:t>
            </w:r>
            <w:r>
              <w:rPr>
                <w:rStyle w:val="12"/>
                <w:lang w:val="en-US" w:eastAsia="zh-CN" w:bidi="ar"/>
              </w:rPr>
              <w:t>、相关服务等。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云南城市建设工程咨询有限公司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云南省设计院集团有限公司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云南省工程建设技术经济室</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赵星13759155030    邮箱 zx@ynmcs.com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云南省城市轨道交通结构安全保护技术规程</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适用于在建和已建成的城市轨道交通结构的安全保护。主要技术内容：1.对象；2.轨道交通工程控制保护区和特别保护区的界定； 3.外部作业工程的定义及分类；4.轨道条交通结构安全状况分类； 5.外部作业对轨道条交通结构的保护等级分类；6.轨道条交通结构安全控制指标；7.轨道交通结构安全保护行为规定等。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昆明理工大学</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刘利先18787480092  邮箱1773535933@qq.com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732"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96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云南省城市轨道交通车辆基地工艺设备安装工程施工质量验收标准</w:t>
            </w:r>
          </w:p>
        </w:tc>
        <w:tc>
          <w:tcPr>
            <w:tcW w:w="148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制定</w:t>
            </w:r>
          </w:p>
        </w:tc>
        <w:tc>
          <w:tcPr>
            <w:tcW w:w="3826"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适用于城市轨道交通车辆基地工艺设备安装质量检验方法和质量控制。主要技术内容：总则、工程质量检验方法、通用检验标准、专用设备检验标准、通用设备检验标准、检验表格等。</w:t>
            </w:r>
          </w:p>
        </w:tc>
        <w:tc>
          <w:tcPr>
            <w:tcW w:w="1919"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北京城建设计发展集团股份有限公司       云南省市政工程协会</w:t>
            </w:r>
          </w:p>
        </w:tc>
        <w:tc>
          <w:tcPr>
            <w:tcW w:w="1545"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2021年12月</w:t>
            </w:r>
            <w:bookmarkStart w:id="0" w:name="_GoBack"/>
            <w:bookmarkEnd w:id="0"/>
          </w:p>
        </w:tc>
        <w:tc>
          <w:tcPr>
            <w:tcW w:w="2325" w:type="dxa"/>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程惠娟13508806146  邮箱307094175@qq.com</w:t>
            </w:r>
          </w:p>
        </w:tc>
      </w:tr>
    </w:tbl>
    <w:p>
      <w:pPr>
        <w:rPr>
          <w:rFonts w:hint="eastAsia" w:ascii="仿宋_GB2312" w:hAnsi="仿宋_GB2312" w:eastAsia="仿宋_GB2312" w:cs="仿宋_GB2312"/>
          <w:color w:val="auto"/>
          <w:sz w:val="32"/>
          <w:szCs w:val="32"/>
          <w:shd w:val="clear" w:color="auto" w:fill="auto"/>
          <w:lang w:val="en-US" w:eastAsia="zh-CN"/>
        </w:rPr>
      </w:pPr>
    </w:p>
    <w:sectPr>
      <w:footerReference r:id="rId3" w:type="default"/>
      <w:footerReference r:id="rId4" w:type="even"/>
      <w:pgSz w:w="16838" w:h="11906" w:orient="landscape"/>
      <w:pgMar w:top="1587" w:right="1814" w:bottom="1587" w:left="1814"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C03D2"/>
    <w:rsid w:val="0003576D"/>
    <w:rsid w:val="000D67B8"/>
    <w:rsid w:val="00196488"/>
    <w:rsid w:val="00783686"/>
    <w:rsid w:val="007E4453"/>
    <w:rsid w:val="00A80BAF"/>
    <w:rsid w:val="00D80FEC"/>
    <w:rsid w:val="00E11357"/>
    <w:rsid w:val="00F1015D"/>
    <w:rsid w:val="1A0C673C"/>
    <w:rsid w:val="21DC03D2"/>
    <w:rsid w:val="28AC1FD1"/>
    <w:rsid w:val="335B426E"/>
    <w:rsid w:val="57541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qFormat/>
    <w:uiPriority w:val="99"/>
    <w:rPr>
      <w:sz w:val="18"/>
      <w:szCs w:val="18"/>
    </w:rPr>
  </w:style>
  <w:style w:type="character" w:customStyle="1" w:styleId="8">
    <w:name w:val="font21"/>
    <w:basedOn w:val="5"/>
    <w:qFormat/>
    <w:uiPriority w:val="0"/>
    <w:rPr>
      <w:rFonts w:hint="eastAsia" w:ascii="宋体" w:hAnsi="宋体" w:eastAsia="宋体" w:cs="宋体"/>
      <w:color w:val="000000"/>
      <w:sz w:val="28"/>
      <w:szCs w:val="28"/>
      <w:u w:val="none"/>
    </w:rPr>
  </w:style>
  <w:style w:type="character" w:customStyle="1" w:styleId="9">
    <w:name w:val="font51"/>
    <w:basedOn w:val="5"/>
    <w:qFormat/>
    <w:uiPriority w:val="0"/>
    <w:rPr>
      <w:rFonts w:ascii="Calibri" w:hAnsi="Calibri" w:cs="Calibri"/>
      <w:color w:val="000000"/>
      <w:sz w:val="28"/>
      <w:szCs w:val="28"/>
      <w:u w:val="none"/>
    </w:rPr>
  </w:style>
  <w:style w:type="character" w:customStyle="1" w:styleId="10">
    <w:name w:val="font81"/>
    <w:basedOn w:val="5"/>
    <w:qFormat/>
    <w:uiPriority w:val="0"/>
    <w:rPr>
      <w:rFonts w:hint="eastAsia" w:ascii="仿宋" w:hAnsi="仿宋" w:eastAsia="仿宋" w:cs="仿宋"/>
      <w:color w:val="000000"/>
      <w:sz w:val="24"/>
      <w:szCs w:val="24"/>
      <w:u w:val="none"/>
    </w:rPr>
  </w:style>
  <w:style w:type="character" w:customStyle="1" w:styleId="11">
    <w:name w:val="font41"/>
    <w:basedOn w:val="5"/>
    <w:qFormat/>
    <w:uiPriority w:val="0"/>
    <w:rPr>
      <w:rFonts w:hint="eastAsia" w:ascii="仿宋" w:hAnsi="仿宋" w:eastAsia="仿宋" w:cs="仿宋"/>
      <w:color w:val="000000"/>
      <w:sz w:val="24"/>
      <w:szCs w:val="24"/>
      <w:u w:val="none"/>
    </w:rPr>
  </w:style>
  <w:style w:type="character" w:customStyle="1" w:styleId="12">
    <w:name w:val="font91"/>
    <w:basedOn w:val="5"/>
    <w:qFormat/>
    <w:uiPriority w:val="0"/>
    <w:rPr>
      <w:rFonts w:hint="eastAsia" w:ascii="仿宋" w:hAnsi="仿宋" w:eastAsia="仿宋" w:cs="仿宋"/>
      <w:color w:val="000000"/>
      <w:sz w:val="24"/>
      <w:szCs w:val="24"/>
      <w:u w:val="none"/>
    </w:rPr>
  </w:style>
  <w:style w:type="character" w:customStyle="1" w:styleId="13">
    <w:name w:val="font61"/>
    <w:basedOn w:val="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15;&#20989;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便函3.2.wpt</Template>
  <Company>云南省住房和城乡建设厅</Company>
  <Pages>2</Pages>
  <Words>0</Words>
  <Characters>0</Characters>
  <Lines>1</Lines>
  <Paragraphs>1</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2020-05-29T02:30:00Z</dcterms:created>
  <dc:creator>沙喜溪</dc:creator>
  <cp:lastModifiedBy>普十三</cp:lastModifiedBy>
  <cp:lastPrinted>2020-05-29T02:34:00Z</cp:lastPrinted>
  <dcterms:modified xsi:type="dcterms:W3CDTF">2020-06-02T07:07:54Z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